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pPr>
        <w:pStyle w:val="ListBullet"/>
      </w:pPr>
      <w:r>
        <w:t>The purpose of this assessment is to evaluate privacy risks and data protection measures for the Application, a data platform ingesting customer and order data via Delta Live Tables.</w:t>
      </w:r>
    </w:p>
    <w:p>
      <w:pPr>
        <w:pStyle w:val="ListBullet"/>
      </w:pPr>
      <w:r>
        <w:t>Processing includes data cleansing, transformation, SCD Type 2 history, and aggregation for reporting.</w:t>
      </w:r>
    </w:p>
    <w:p>
      <w:pPr>
        <w:pStyle w:val="ListBullet"/>
      </w:pPr>
      <w:r>
        <w:t>The project scope is defined as enterprise data integration, with direct handling of personal and transactional data.</w:t>
      </w:r>
    </w:p>
    <w:p>
      <w:pPr>
        <w:pStyle w:val="Heading1"/>
      </w:pPr>
      <w:r>
        <w:t>Project Overview and Purpose of Processing</w:t>
      </w:r>
    </w:p>
    <w:p>
      <w:pPr>
        <w:pStyle w:val="ListBullet"/>
      </w:pPr>
      <w:r>
        <w:t>Ingestion of customer and order records from CSVs for business analytics and reporting.</w:t>
      </w:r>
    </w:p>
    <w:p>
      <w:pPr>
        <w:pStyle w:val="ListBullet"/>
      </w:pPr>
      <w:r>
        <w:t>Cleansing, transformation, and aggregation to provide historical and daily spend insights.</w:t>
      </w:r>
    </w:p>
    <w:p>
      <w:pPr>
        <w:pStyle w:val="ListBullet"/>
      </w:pPr>
      <w:r>
        <w:t>Implementation solely via Delta Live Tables per documented requirements.</w:t>
      </w:r>
    </w:p>
    <w:p>
      <w:pPr>
        <w:pStyle w:val="Heading1"/>
      </w:pPr>
      <w:r>
        <w:t>Description of Personal Data Categories Processed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Region (potentially sensitive)</w:t>
      </w:r>
    </w:p>
    <w:p>
      <w:pPr>
        <w:pStyle w:val="ListBullet"/>
      </w:pPr>
      <w:r>
        <w:t>Transactional data: OrderId, ItemName, PricePerUnit, Qty, Date, CustId</w:t>
      </w:r>
    </w:p>
    <w:p>
      <w:pPr>
        <w:pStyle w:val="ListBullet"/>
      </w:pPr>
      <w:r>
        <w:t>No explicit sensitive data (e.g., financial, health) identified, but EmailId may be considered personal data.</w:t>
      </w:r>
    </w:p>
    <w:p>
      <w:pPr>
        <w:pStyle w:val="Heading1"/>
      </w:pPr>
      <w:r>
        <w:t>Data Flow Architecture (collection, storage, processing, sharing)</w:t>
      </w:r>
    </w:p>
    <w:p>
      <w:pPr>
        <w:pStyle w:val="ListBullet"/>
      </w:pPr>
      <w:r>
        <w:t>Collection via batch CSV uploads located in identified file system paths.</w:t>
      </w:r>
    </w:p>
    <w:p>
      <w:pPr>
        <w:pStyle w:val="ListBullet"/>
      </w:pPr>
      <w:r>
        <w:t>Storage into managed Delta tables: customer, order, ordersummary, customeraggregatespend.</w:t>
      </w:r>
    </w:p>
    <w:p>
      <w:pPr>
        <w:pStyle w:val="ListBullet"/>
      </w:pPr>
      <w:r>
        <w:t>Processing in multi-stage pipeline: ingestion, cleansing, computation, join, SCD Type 2, aggregation.</w:t>
      </w:r>
    </w:p>
    <w:p>
      <w:pPr>
        <w:pStyle w:val="ListBullet"/>
      </w:pPr>
      <w:r>
        <w:t>No evidence of third-party external data sharing beyond internal tables.</w:t>
      </w:r>
    </w:p>
    <w:p>
      <w:pPr>
        <w:pStyle w:val="Heading1"/>
      </w:pPr>
      <w:r>
        <w:t>Data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684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84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Lawful Basis for Processing</w:t>
      </w:r>
    </w:p>
    <w:p>
      <w:pPr>
        <w:pStyle w:val="ListBullet"/>
      </w:pPr>
      <w:r>
        <w:t>Data processing presumed legitimate interest for business analytics and historical reporting.</w:t>
      </w:r>
    </w:p>
    <w:p>
      <w:pPr>
        <w:pStyle w:val="ListBullet"/>
      </w:pPr>
      <w:r>
        <w:t>Consent basis not explicit; organization must confirm alignment with GDPR Art. 6.</w:t>
      </w:r>
    </w:p>
    <w:p>
      <w:pPr>
        <w:pStyle w:val="Heading1"/>
      </w:pPr>
      <w:r>
        <w:t>Data Minimization Approach</w:t>
      </w:r>
    </w:p>
    <w:p>
      <w:pPr>
        <w:pStyle w:val="ListBullet"/>
      </w:pPr>
      <w:r>
        <w:t>Only listed fields (CustId, Name, EmailId, Region, and required order data) processed.</w:t>
      </w:r>
    </w:p>
    <w:p>
      <w:pPr>
        <w:pStyle w:val="ListBullet"/>
      </w:pPr>
      <w:r>
        <w:t>No non-essential data ingestion from sources as per requirement scope.</w:t>
      </w:r>
    </w:p>
    <w:p>
      <w:pPr>
        <w:pStyle w:val="ListBullet"/>
      </w:pPr>
      <w:r>
        <w:t>All non-listed fields out of scope.</w:t>
      </w:r>
    </w:p>
    <w:p>
      <w:pPr>
        <w:pStyle w:val="Heading1"/>
      </w:pPr>
      <w:r>
        <w:t>Consent Management Controls</w:t>
      </w:r>
    </w:p>
    <w:p>
      <w:pPr>
        <w:pStyle w:val="ListBullet"/>
      </w:pPr>
      <w:r>
        <w:t>No explicit consent mechanisms identified in requirements.</w:t>
      </w:r>
    </w:p>
    <w:p>
      <w:pPr>
        <w:pStyle w:val="ListBullet"/>
      </w:pPr>
      <w:r>
        <w:t>Organization is advised to implement notice and opt-out where customer EmailId is considered personal data.</w:t>
      </w:r>
    </w:p>
    <w:p>
      <w:pPr>
        <w:pStyle w:val="Heading1"/>
      </w:pPr>
      <w:r>
        <w:t>Third-Party / Vendor Data Sharing Implications</w:t>
      </w:r>
    </w:p>
    <w:p>
      <w:pPr>
        <w:pStyle w:val="ListBullet"/>
      </w:pPr>
      <w:r>
        <w:t>Data streams and repositories confined within the organization's data platform.</w:t>
      </w:r>
    </w:p>
    <w:p>
      <w:pPr>
        <w:pStyle w:val="ListBullet"/>
      </w:pPr>
      <w:r>
        <w:t>No direct indication of vendor, external, or third-party data transfers.</w:t>
      </w:r>
    </w:p>
    <w:p>
      <w:pPr>
        <w:pStyle w:val="Heading1"/>
      </w:pPr>
      <w:r>
        <w:t>Risk Identification</w:t>
      </w:r>
    </w:p>
    <w:p>
      <w:pPr>
        <w:pStyle w:val="ListBullet"/>
      </w:pPr>
      <w:r>
        <w:t>Confidentiality risks</w:t>
      </w:r>
    </w:p>
    <w:p>
      <w:pPr>
        <w:pStyle w:val="ListBullet"/>
      </w:pPr>
      <w:r>
        <w:t>Exposure of customer EmailId or identity information during ingestion, storage, or reporting.</w:t>
      </w:r>
    </w:p>
    <w:p>
      <w:pPr>
        <w:pStyle w:val="ListBullet"/>
      </w:pPr>
      <w:r>
        <w:t>Integrity risks</w:t>
      </w:r>
    </w:p>
    <w:p>
      <w:pPr>
        <w:pStyle w:val="ListBullet"/>
      </w:pPr>
      <w:r>
        <w:t>Corruption or accidental modification through cleansing operations or SCD Type 2 change handling.</w:t>
      </w:r>
    </w:p>
    <w:p>
      <w:pPr>
        <w:pStyle w:val="ListBullet"/>
      </w:pPr>
      <w:r>
        <w:t>Re-identification risks</w:t>
      </w:r>
    </w:p>
    <w:p>
      <w:pPr>
        <w:pStyle w:val="ListBullet"/>
      </w:pPr>
      <w:r>
        <w:t>Potential for individuals to be identified via combinations of CustId, Name, and EmailId.</w:t>
      </w:r>
    </w:p>
    <w:p>
      <w:pPr>
        <w:pStyle w:val="ListBullet"/>
      </w:pPr>
      <w:r>
        <w:t>Access management risks</w:t>
      </w:r>
    </w:p>
    <w:p>
      <w:pPr>
        <w:pStyle w:val="ListBullet"/>
      </w:pPr>
      <w:r>
        <w:t>Lack of explicit access controls or role-based permissions in requirements.</w:t>
      </w:r>
    </w:p>
    <w:p>
      <w:pPr>
        <w:pStyle w:val="Heading1"/>
      </w:pPr>
      <w:r>
        <w:t>Impact Assessment with Severity &amp; Likelihood Scoring</w:t>
      </w:r>
    </w:p>
    <w:p>
      <w:pPr>
        <w:pStyle w:val="ListBullet"/>
      </w:pPr>
      <w:r>
        <w:t>Unauthorized disclosure of EmailId: Moderate severity, likelihood medium (insecure pipelines possible).</w:t>
      </w:r>
    </w:p>
    <w:p>
      <w:pPr>
        <w:pStyle w:val="ListBullet"/>
      </w:pPr>
      <w:r>
        <w:t>Integrity errors due to cleansing/SCD Type 2: Low–Moderate, likelihood low (automated processing).</w:t>
      </w:r>
    </w:p>
    <w:p>
      <w:pPr>
        <w:pStyle w:val="ListBullet"/>
      </w:pPr>
      <w:r>
        <w:t>Re-identification risk: Low (small scope, no explicit sensitive fields beyond EmailId).</w:t>
      </w:r>
    </w:p>
    <w:p>
      <w:pPr>
        <w:pStyle w:val="Heading1"/>
      </w:pPr>
      <w:r>
        <w:t>Mitigation Strategies &amp; Security Controls (Encryption, DLP, IAM, Logging)</w:t>
      </w:r>
    </w:p>
    <w:p>
      <w:pPr>
        <w:pStyle w:val="ListBullet"/>
      </w:pPr>
      <w:r>
        <w:t>Enable encryption at rest and in transit for all Delta tables.</w:t>
      </w:r>
    </w:p>
    <w:p>
      <w:pPr>
        <w:pStyle w:val="ListBullet"/>
      </w:pPr>
      <w:r>
        <w:t>Apply DLP techniques to mask or redact EmailId where not required.</w:t>
      </w:r>
    </w:p>
    <w:p>
      <w:pPr>
        <w:pStyle w:val="ListBullet"/>
      </w:pPr>
      <w:r>
        <w:t>Implement robust IAM, restricting access by role (e.g., admin, analyst, support).</w:t>
      </w:r>
    </w:p>
    <w:p>
      <w:pPr>
        <w:pStyle w:val="ListBullet"/>
      </w:pPr>
      <w:r>
        <w:t>Audit logging of data access, changes to pipeline code, and Delta table updates.</w:t>
      </w:r>
    </w:p>
    <w:p>
      <w:pPr>
        <w:pStyle w:val="ListBullet"/>
      </w:pPr>
      <w:r>
        <w:t>Validation checks upon data import; error logging for cleansing or transformation failures.</w:t>
      </w:r>
    </w:p>
    <w:p>
      <w:pPr>
        <w:pStyle w:val="Heading1"/>
      </w:pPr>
      <w:r>
        <w:t>Residual Risk Evaluation</w:t>
      </w:r>
    </w:p>
    <w:p>
      <w:pPr>
        <w:pStyle w:val="ListBullet"/>
      </w:pPr>
      <w:r>
        <w:t>Some residual exposure of EmailId persists unless explicitly masked/redacted in reporting and outputs.</w:t>
      </w:r>
    </w:p>
    <w:p>
      <w:pPr>
        <w:pStyle w:val="ListBullet"/>
      </w:pPr>
      <w:r>
        <w:t>Ongoing risk of data integrity issues from pipeline transformation, to be continuously monitored through data quality checks.</w:t>
      </w:r>
    </w:p>
    <w:p>
      <w:pPr>
        <w:pStyle w:val="Heading1"/>
      </w:pPr>
      <w:r>
        <w:t>Compliance Mapping (GDPR Articles, Local Regulations)</w:t>
      </w:r>
    </w:p>
    <w:p>
      <w:pPr>
        <w:pStyle w:val="ListBullet"/>
      </w:pPr>
      <w:r>
        <w:t>GDPR Article 5: data minimization and limited retention adopted via explicit field scope.</w:t>
      </w:r>
    </w:p>
    <w:p>
      <w:pPr>
        <w:pStyle w:val="ListBullet"/>
      </w:pPr>
      <w:r>
        <w:t>Article 6: lawful basis required; implement documentation.</w:t>
      </w:r>
    </w:p>
    <w:p>
      <w:pPr>
        <w:pStyle w:val="ListBullet"/>
      </w:pPr>
      <w:r>
        <w:t>Article 25: privacy by design addressed through pipeline structure.</w:t>
      </w:r>
    </w:p>
    <w:p>
      <w:pPr>
        <w:pStyle w:val="ListBullet"/>
      </w:pPr>
      <w:r>
        <w:t>Article 32: security of processing — encryption, IAM, DLP controls recommended.</w:t>
      </w:r>
    </w:p>
    <w:p>
      <w:pPr>
        <w:pStyle w:val="ListBullet"/>
      </w:pPr>
      <w:r>
        <w:t>No indication of processing special categories (Article 9) or international transfers.</w:t>
      </w:r>
    </w:p>
    <w:p>
      <w:pPr>
        <w:pStyle w:val="Heading1"/>
      </w:pPr>
      <w:r>
        <w:t>Approval &amp; Sign-off Matrix</w:t>
      </w:r>
    </w:p>
    <w:p>
      <w:pPr>
        <w:pStyle w:val="ListBullet"/>
      </w:pPr>
      <w:r>
        <w:t>Data Protection Officer: [Assign DPO, legal/compliance review required]</w:t>
      </w:r>
    </w:p>
    <w:p>
      <w:pPr>
        <w:pStyle w:val="ListBullet"/>
      </w:pPr>
      <w:r>
        <w:t>Business Owner: [Assign owner, project sponsor or data lead]</w:t>
      </w:r>
    </w:p>
    <w:p>
      <w:pPr>
        <w:pStyle w:val="ListBullet"/>
      </w:pPr>
      <w:r>
        <w:t>Security Architect: [Assign, internal security review mandatory]</w:t>
      </w:r>
    </w:p>
    <w:p>
      <w:pPr>
        <w:pStyle w:val="ListBullet"/>
      </w:pPr>
      <w:r>
        <w:t>System Owner: [Designate accountable tech owner]</w:t>
      </w:r>
    </w:p>
    <w:p>
      <w:pPr>
        <w:pStyle w:val="ListBullet"/>
      </w:pPr>
      <w:r>
        <w:t>Stakeholders: [Include IT operations, analytics, and line-of-business contacts]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