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Non-Functional Requirements (NFR) Document</w:t>
      </w:r>
    </w:p>
    <w:p>
      <w:pPr>
        <w:pStyle w:val="Heading2"/>
      </w:pPr>
      <w:r>
        <w:t>Performance Requirements</w:t>
      </w:r>
    </w:p>
    <w:p>
      <w:pPr>
        <w:pStyle w:val="ListBullet"/>
      </w:pPr>
      <w:r>
        <w:t>Ingestion pipeline should process and load customer and order source CSV files within 30 minutes of file arrival.</w:t>
      </w:r>
    </w:p>
    <w:p>
      <w:pPr>
        <w:pStyle w:val="ListBullet"/>
      </w:pPr>
      <w:r>
        <w:t>Data cleansing, join, and aggregation processes must complete in under 10 minutes for typical daily volumes.</w:t>
      </w:r>
    </w:p>
    <w:p>
      <w:pPr>
        <w:pStyle w:val="ListBullet"/>
      </w:pPr>
      <w:r>
        <w:t>Computed TotalAmount and SCD Type 2 change handling should not introduce process latency beyond one batch interval.</w:t>
      </w:r>
    </w:p>
    <w:p>
      <w:pPr>
        <w:pStyle w:val="ListBullet"/>
      </w:pPr>
      <w:r>
        <w:t>Throughput target: minimum 100,000 rows per minute for each stage.</w:t>
      </w:r>
    </w:p>
    <w:p>
      <w:pPr>
        <w:pStyle w:val="ListBullet"/>
      </w:pPr>
      <w:r>
        <w:t>Latency for end-to-end Delta Live Tables pipeline should not exceed one hour from source drop to final aggregate completion.</w:t>
      </w:r>
    </w:p>
    <w:p>
      <w:pPr>
        <w:pStyle w:val="ListBullet"/>
      </w:pPr>
      <w:r>
        <w:t>Acceptance Criteria: All ingestion, cleansing, join, and aggregation tasks process given daily volume in under one hour.</w:t>
      </w:r>
    </w:p>
    <w:p>
      <w:pPr>
        <w:pStyle w:val="ListBullet"/>
      </w:pPr>
      <w:r>
        <w:t>Constraints: Based on parallelism and resource allocation for Delta Live Tables, actual times may vary.</w:t>
      </w:r>
    </w:p>
    <w:p>
      <w:pPr>
        <w:pStyle w:val="ListBullet"/>
      </w:pPr>
      <w:r>
        <w:t>Engineering Considerations: Monitor and optimize Spark job execution plans as necessary.</w:t>
      </w:r>
    </w:p>
    <w:p>
      <w:pPr>
        <w:pStyle w:val="Heading2"/>
      </w:pPr>
      <w:r>
        <w:t>Scalability Requirements</w:t>
      </w:r>
    </w:p>
    <w:p>
      <w:pPr>
        <w:pStyle w:val="ListBullet"/>
      </w:pPr>
      <w:r>
        <w:t>System must support horizontal scaling for increases in daily data volume, up to 10x baseline load.</w:t>
      </w:r>
    </w:p>
    <w:p>
      <w:pPr>
        <w:pStyle w:val="ListBullet"/>
      </w:pPr>
      <w:r>
        <w:t>Clustering and partitioning strategies for Delta tables should facilitate efficient query and update operations as volume grows.</w:t>
      </w:r>
    </w:p>
    <w:p>
      <w:pPr>
        <w:pStyle w:val="ListBullet"/>
      </w:pPr>
      <w:r>
        <w:t>Solution should scale to support future ingestion of additional source tables with minimal refactoring.</w:t>
      </w:r>
    </w:p>
    <w:p>
      <w:pPr>
        <w:pStyle w:val="ListBullet"/>
      </w:pPr>
      <w:r>
        <w:t>Acceptance Criteria: Pipeline maintains sub-hour processing with volume spikes up to 10x current.</w:t>
      </w:r>
    </w:p>
    <w:p>
      <w:pPr>
        <w:pStyle w:val="ListBullet"/>
      </w:pPr>
      <w:r>
        <w:t>Dependencies: Underlying Databricks Delta Live Tables infrastructure.</w:t>
      </w:r>
    </w:p>
    <w:p>
      <w:pPr>
        <w:pStyle w:val="ListBullet"/>
      </w:pPr>
      <w:r>
        <w:t>Constraints: Partitioning and auto-scaling configuration must be aligned with data growth.</w:t>
      </w:r>
    </w:p>
    <w:p>
      <w:pPr>
        <w:pStyle w:val="ListBullet"/>
      </w:pPr>
      <w:r>
        <w:t>Engineering Considerations: Use Delta table partitioning on Date or CustId for customeraggregatespend and ordersummary.</w:t>
      </w:r>
    </w:p>
    <w:p>
      <w:pPr>
        <w:pStyle w:val="Heading2"/>
      </w:pPr>
      <w:r>
        <w:t>Availability Requirements</w:t>
      </w:r>
    </w:p>
    <w:p>
      <w:pPr>
        <w:pStyle w:val="ListBullet"/>
      </w:pPr>
      <w:r>
        <w:t>Pipeline must be available to run daily with 99% uptime.</w:t>
      </w:r>
    </w:p>
    <w:p>
      <w:pPr>
        <w:pStyle w:val="ListBullet"/>
      </w:pPr>
      <w:r>
        <w:t>Data should not be lost across batch executions.</w:t>
      </w:r>
    </w:p>
    <w:p>
      <w:pPr>
        <w:pStyle w:val="ListBullet"/>
      </w:pPr>
      <w:r>
        <w:t>Recovery mechanisms must restore pipeline runs in the event of transient Databricks infrastructure failures.</w:t>
      </w:r>
    </w:p>
    <w:p>
      <w:pPr>
        <w:pStyle w:val="ListBullet"/>
      </w:pPr>
      <w:r>
        <w:t>Acceptance Criteria: Less than 8 hours of total downtime per year.</w:t>
      </w:r>
    </w:p>
    <w:p>
      <w:pPr>
        <w:pStyle w:val="ListBullet"/>
      </w:pPr>
      <w:r>
        <w:t>Dependencies: Reliability of Databricks workspace, source file landing, and Delta Lake storage.</w:t>
      </w:r>
    </w:p>
    <w:p>
      <w:pPr>
        <w:pStyle w:val="ListBullet"/>
      </w:pPr>
      <w:r>
        <w:t>Constraints: Workspace and network-level outages may impact pipeline availability.</w:t>
      </w:r>
    </w:p>
    <w:p>
      <w:pPr>
        <w:pStyle w:val="ListBullet"/>
      </w:pPr>
      <w:r>
        <w:t>Engineering Considerations: Implement retry logic for ingestion and DLT pipeline job restarts.</w:t>
      </w:r>
    </w:p>
    <w:p>
      <w:pPr>
        <w:pStyle w:val="Heading2"/>
      </w:pPr>
      <w:r>
        <w:t>Reliability &amp; Resilience Requirements</w:t>
      </w:r>
    </w:p>
    <w:p>
      <w:pPr>
        <w:pStyle w:val="ListBullet"/>
      </w:pPr>
      <w:r>
        <w:t>MTTR (Mean Time to Recovery) should be less than 2 hours for failed pipeline runs.</w:t>
      </w:r>
    </w:p>
    <w:p>
      <w:pPr>
        <w:pStyle w:val="ListBullet"/>
      </w:pPr>
      <w:r>
        <w:t>MTBF (Mean Time Between Failures) must exceed 30 days.</w:t>
      </w:r>
    </w:p>
    <w:p>
      <w:pPr>
        <w:pStyle w:val="ListBullet"/>
      </w:pPr>
      <w:r>
        <w:t>Disaster recovery procedures should ensure data can be restored in less than 4 hours from backup.</w:t>
      </w:r>
    </w:p>
    <w:p>
      <w:pPr>
        <w:pStyle w:val="ListBullet"/>
      </w:pPr>
      <w:r>
        <w:t>Pipeline should gracefully handle and log malformed CSV data or schema inconsistencies.</w:t>
      </w:r>
    </w:p>
    <w:p>
      <w:pPr>
        <w:pStyle w:val="ListBullet"/>
      </w:pPr>
      <w:r>
        <w:t>Acceptance Criteria: No data loss across recoverable failures; pipeline resumes from last good state.</w:t>
      </w:r>
    </w:p>
    <w:p>
      <w:pPr>
        <w:pStyle w:val="ListBullet"/>
      </w:pPr>
      <w:r>
        <w:t>Constraints: Backup configurations are dependent on Delta Lake retention settings.</w:t>
      </w:r>
    </w:p>
    <w:p>
      <w:pPr>
        <w:pStyle w:val="ListBullet"/>
      </w:pPr>
      <w:r>
        <w:t>Engineering Considerations: Leverage DLT checkpointing and Delta Lake time travel.</w:t>
      </w:r>
    </w:p>
    <w:p>
      <w:pPr>
        <w:pStyle w:val="Heading2"/>
      </w:pPr>
      <w:r>
        <w:t>Security Requirements</w:t>
      </w:r>
    </w:p>
    <w:p>
      <w:pPr>
        <w:pStyle w:val="ListBullet"/>
      </w:pPr>
      <w:r>
        <w:t>Access to source and target data paths must be restricted by role-based access controls (RBAC).</w:t>
      </w:r>
    </w:p>
    <w:p>
      <w:pPr>
        <w:pStyle w:val="ListBullet"/>
      </w:pPr>
      <w:r>
        <w:t>All storage in Delta tables must be encrypted at rest.</w:t>
      </w:r>
    </w:p>
    <w:p>
      <w:pPr>
        <w:pStyle w:val="ListBullet"/>
      </w:pPr>
      <w:r>
        <w:t>Audit logging required for pipeline execution and data changes.</w:t>
      </w:r>
    </w:p>
    <w:p>
      <w:pPr>
        <w:pStyle w:val="ListBullet"/>
      </w:pPr>
      <w:r>
        <w:t>Data ingestion must not expose sensitive data in clear text on non-secure paths.</w:t>
      </w:r>
    </w:p>
    <w:p>
      <w:pPr>
        <w:pStyle w:val="ListBullet"/>
      </w:pPr>
      <w:r>
        <w:t>Acceptance Criteria: Only authorized users can run, view, and edit Delta Live Tables pipelines and underlying datasets.</w:t>
      </w:r>
    </w:p>
    <w:p>
      <w:pPr>
        <w:pStyle w:val="ListBullet"/>
      </w:pPr>
      <w:r>
        <w:t>Dependencies: Databricks workspace RBAC, cloud storage encryption.</w:t>
      </w:r>
    </w:p>
    <w:p>
      <w:pPr>
        <w:pStyle w:val="ListBullet"/>
      </w:pPr>
      <w:r>
        <w:t>Constraints: No explicit security or access controls specified in requirements; enterprise defaults apply.</w:t>
      </w:r>
    </w:p>
    <w:p>
      <w:pPr>
        <w:pStyle w:val="ListBullet"/>
      </w:pPr>
      <w:r>
        <w:t>Engineering Considerations: Implement end-to-end encryption and enable audit logs.</w:t>
      </w:r>
    </w:p>
    <w:p>
      <w:pPr>
        <w:pStyle w:val="Heading2"/>
      </w:pPr>
      <w:r>
        <w:t>Compliance Requirements</w:t>
      </w:r>
    </w:p>
    <w:p>
      <w:pPr>
        <w:pStyle w:val="ListBullet"/>
      </w:pPr>
      <w:r>
        <w:t>Solution must align with GDPR and enterprise data governance standards for storage and processing.</w:t>
      </w:r>
    </w:p>
    <w:p>
      <w:pPr>
        <w:pStyle w:val="ListBullet"/>
      </w:pPr>
      <w:r>
        <w:t>Data processed must adhere to company data retention and deletion policies.</w:t>
      </w:r>
    </w:p>
    <w:p>
      <w:pPr>
        <w:pStyle w:val="ListBullet"/>
      </w:pPr>
      <w:r>
        <w:t>Support for regulatory audits by maintaining lineage, transformation, and pipeline execution metadata.</w:t>
      </w:r>
    </w:p>
    <w:p>
      <w:pPr>
        <w:pStyle w:val="ListBullet"/>
      </w:pPr>
      <w:r>
        <w:t>Acceptance Criteria: All audit and lineage events should be accessible for 90 days.</w:t>
      </w:r>
    </w:p>
    <w:p>
      <w:pPr>
        <w:pStyle w:val="ListBullet"/>
      </w:pPr>
      <w:r>
        <w:t>Dependencies: Underlying cloud and Databricks compliance frameworks.</w:t>
      </w:r>
    </w:p>
    <w:p>
      <w:pPr>
        <w:pStyle w:val="ListBullet"/>
      </w:pPr>
      <w:r>
        <w:t>Engineering Considerations: Utilize Unity Catalog or similar governance for cataloging assets.</w:t>
      </w:r>
    </w:p>
    <w:p>
      <w:pPr>
        <w:pStyle w:val="Heading2"/>
      </w:pPr>
      <w:r>
        <w:t>Maintainability Requirements</w:t>
      </w:r>
    </w:p>
    <w:p>
      <w:pPr>
        <w:pStyle w:val="ListBullet"/>
      </w:pPr>
      <w:r>
        <w:t>All transformation logic must be version-controlled in source repository.</w:t>
      </w:r>
    </w:p>
    <w:p>
      <w:pPr>
        <w:pStyle w:val="ListBullet"/>
      </w:pPr>
      <w:r>
        <w:t>Code, pipeline definitions, and Delta table schemas must be documented and kept up-to-date.</w:t>
      </w:r>
    </w:p>
    <w:p>
      <w:pPr>
        <w:pStyle w:val="ListBullet"/>
      </w:pPr>
      <w:r>
        <w:t>CI/CD deployment pipelines should be available for automation of DLT job deployments.</w:t>
      </w:r>
    </w:p>
    <w:p>
      <w:pPr>
        <w:pStyle w:val="ListBullet"/>
      </w:pPr>
      <w:r>
        <w:t>Acceptance Criteria: No critical code resides outside repository.</w:t>
      </w:r>
    </w:p>
    <w:p>
      <w:pPr>
        <w:pStyle w:val="ListBullet"/>
      </w:pPr>
      <w:r>
        <w:t>Dependencies: Source control platform, CI/CD tooling.</w:t>
      </w:r>
    </w:p>
    <w:p>
      <w:pPr>
        <w:pStyle w:val="ListBullet"/>
      </w:pPr>
      <w:r>
        <w:t>Constraints: No DevOps, scheduling, or orchestration specifics outlined.</w:t>
      </w:r>
    </w:p>
    <w:p>
      <w:pPr>
        <w:pStyle w:val="ListBullet"/>
      </w:pPr>
      <w:r>
        <w:t>Engineering Considerations: Adhere to enterprise code review, modularization, and pipeline packaging standards.</w:t>
      </w:r>
    </w:p>
    <w:p>
      <w:pPr>
        <w:pStyle w:val="Heading2"/>
      </w:pPr>
      <w:r>
        <w:t>Observability Requirements</w:t>
      </w:r>
    </w:p>
    <w:p>
      <w:pPr>
        <w:pStyle w:val="ListBullet"/>
      </w:pPr>
      <w:r>
        <w:t>All DLT pipeline runs must generate execution, error, and data quality logs.</w:t>
      </w:r>
    </w:p>
    <w:p>
      <w:pPr>
        <w:pStyle w:val="ListBullet"/>
      </w:pPr>
      <w:r>
        <w:t>Monitoring dashboards should report pipeline health, throughput, error rates, and job runtimes.</w:t>
      </w:r>
    </w:p>
    <w:p>
      <w:pPr>
        <w:pStyle w:val="ListBullet"/>
      </w:pPr>
      <w:r>
        <w:t>Alerts must be raised for pipeline failures, delayed runs, or data quality violations.</w:t>
      </w:r>
    </w:p>
    <w:p>
      <w:pPr>
        <w:pStyle w:val="ListBullet"/>
      </w:pPr>
      <w:r>
        <w:t>Acceptance Criteria: Operations staff have access to logs and can diagnose failures within 30 minutes.</w:t>
      </w:r>
    </w:p>
    <w:p>
      <w:pPr>
        <w:pStyle w:val="ListBullet"/>
      </w:pPr>
      <w:r>
        <w:t>Dependencies: Azure/GCP/AWS monitoring tools and Databricks job/event logs.</w:t>
      </w:r>
    </w:p>
    <w:p>
      <w:pPr>
        <w:pStyle w:val="ListBullet"/>
      </w:pPr>
      <w:r>
        <w:t>Constraints: Monitoring and alerting requirements not specified in input.</w:t>
      </w:r>
    </w:p>
    <w:p>
      <w:pPr>
        <w:pStyle w:val="ListBullet"/>
      </w:pPr>
      <w:r>
        <w:t>Engineering Considerations: Integrate Delta Live Tables event logs and monitoring with enterprise alerting system.</w:t>
      </w:r>
    </w:p>
    <w:p>
      <w:pPr>
        <w:pStyle w:val="Heading2"/>
      </w:pPr>
      <w:r>
        <w:t>Usability &amp; Accessibility Requirements</w:t>
      </w:r>
    </w:p>
    <w:p>
      <w:pPr>
        <w:pStyle w:val="ListBullet"/>
      </w:pPr>
      <w:r>
        <w:t>Operational documentation and runbooks must be provided for all standard and exception scenarios.</w:t>
      </w:r>
    </w:p>
    <w:p>
      <w:pPr>
        <w:pStyle w:val="ListBullet"/>
      </w:pPr>
      <w:r>
        <w:t>All UIs, runbooks, and logs should meet WCAG 2.1 accessibility standards.</w:t>
      </w:r>
    </w:p>
    <w:p>
      <w:pPr>
        <w:pStyle w:val="ListBullet"/>
      </w:pPr>
      <w:r>
        <w:t>Acceptance Criteria: Support personnel can access and utilize all operational tools and documentation.</w:t>
      </w:r>
    </w:p>
    <w:p>
      <w:pPr>
        <w:pStyle w:val="ListBullet"/>
      </w:pPr>
      <w:r>
        <w:t>Constraints: No user interface development is in scope for the pipeline.</w:t>
      </w:r>
    </w:p>
    <w:p>
      <w:pPr>
        <w:pStyle w:val="Heading2"/>
      </w:pPr>
      <w:r>
        <w:t>Service Level Agreements (SLAs) and Service Boundaries</w:t>
      </w:r>
    </w:p>
    <w:p>
      <w:pPr>
        <w:pStyle w:val="ListBullet"/>
      </w:pPr>
      <w:r>
        <w:t>Daily pipeline must meet agreed data freshness SLAs (end-to-end load completion within one hour of source drop).</w:t>
      </w:r>
    </w:p>
    <w:p>
      <w:pPr>
        <w:pStyle w:val="ListBullet"/>
      </w:pPr>
      <w:r>
        <w:t>Data availability for downstream pipelines or reports must be documented.</w:t>
      </w:r>
    </w:p>
    <w:p>
      <w:pPr>
        <w:pStyle w:val="ListBullet"/>
      </w:pPr>
      <w:r>
        <w:t>Service boundaries do not extend to user interfaces or analytics consumption layers.</w:t>
      </w:r>
    </w:p>
    <w:p>
      <w:pPr>
        <w:pStyle w:val="ListBullet"/>
      </w:pPr>
      <w:r>
        <w:t>Acceptance Criteria: Data for ordersummary and customeraggregatespend must be available by 6am daily.</w:t>
      </w:r>
    </w:p>
    <w:p>
      <w:pPr>
        <w:pStyle w:val="ListBullet"/>
      </w:pPr>
      <w:r>
        <w:t>Dependencies: Timely source data arrival and stable Databricks platform.</w:t>
      </w:r>
    </w:p>
    <w:p>
      <w:pPr>
        <w:pStyle w:val="Heading2"/>
      </w:pPr>
      <w:r>
        <w:t>Definitions and References</w:t>
      </w:r>
    </w:p>
    <w:p>
      <w:pPr>
        <w:pStyle w:val="ListBullet"/>
      </w:pPr>
      <w:r>
        <w:t>All non-functional requirements reference ISO/IEC 25010 quality attributes: Performance Efficiency, Scalability, Availability, Reliability, Security, Compliance, Maintainability, Observability, Usability, and SLA fulfillment.</w:t>
      </w:r>
    </w:p>
    <w:p>
      <w:r>
        <w:t>---</w:t>
      </w:r>
    </w:p>
    <w:p>
      <w:pPr>
        <w:pStyle w:val="Heading2"/>
      </w:pPr>
      <w:r>
        <w:t>PlantUML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1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07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