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截至 2026年9月18日 · 原停工交接的补充，不覆盖旧稿</w:t>
      </w:r>
    </w:p>
    <w:p>
      <w:pPr>
        <w:pStyle w:val="Title"/>
      </w:pPr>
      <w:r>
        <w:t>H8子树复用</w:t>
        <w:br/>
        <w:t>四条策略验证已返回</w:t>
      </w:r>
    </w:p>
    <w:p>
      <w:r>
        <w:rPr>
          <w:b/>
        </w:rPr>
        <w:t>执行完整；原版2/2完成，复用版0/2完成。继续停工，不授权重跑。</w:t>
      </w:r>
    </w:p>
    <w:p>
      <w:r>
        <w:rPr>
          <w:b w:val="0"/>
        </w:rPr>
        <w:t>适用范围：两个已经使用过的C11中间状态、同一路线组合、每个状态各运行原版与复用版。不是四个独立场景，也不是完整Controller/KBM车辆执行链。[R1/R2]</w:t>
      </w:r>
    </w:p>
    <w:p>
      <w:pPr>
        <w:pStyle w:val="Heading1"/>
      </w:pPr>
      <w:r>
        <w:t>01  任务结果与实际计算耗时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154"/>
        <w:gridCol w:w="2268"/>
        <w:gridCol w:w="1757"/>
        <w:gridCol w:w="2324"/>
      </w:tblGrid>
      <w:tr>
        <w:trPr>
          <w:cantSplit/>
          <w:tblHeader/>
        </w:trPr>
        <w:tc>
          <w:tcPr>
            <w:tcW w:type="dxa" w:w="1134"/>
            <w:shd w:fill="EAF0F5"/>
          </w:tcPr>
          <w:p>
            <w:pPr>
              <w:spacing w:after="100" w:before="100" w:line="259" w:lineRule="auto"/>
            </w:pPr>
            <w:r>
              <w:rPr>
                <w:b/>
                <w:sz w:val="18"/>
              </w:rPr>
              <w:t>起点简写</w:t>
            </w:r>
          </w:p>
        </w:tc>
        <w:tc>
          <w:tcPr>
            <w:tcW w:type="dxa" w:w="2154"/>
            <w:shd w:fill="EAF0F5"/>
          </w:tcPr>
          <w:p>
            <w:pPr>
              <w:spacing w:after="100" w:before="100" w:line="259" w:lineRule="auto"/>
            </w:pPr>
            <w:r>
              <w:rPr>
                <w:b/>
                <w:sz w:val="18"/>
              </w:rPr>
              <w:t>原版结果</w:t>
            </w:r>
          </w:p>
        </w:tc>
        <w:tc>
          <w:tcPr>
            <w:tcW w:type="dxa" w:w="2268"/>
            <w:shd w:fill="EAF0F5"/>
          </w:tcPr>
          <w:p>
            <w:pPr>
              <w:spacing w:after="100" w:before="100" w:line="259" w:lineRule="auto"/>
            </w:pPr>
            <w:r>
              <w:rPr>
                <w:b/>
                <w:sz w:val="18"/>
              </w:rPr>
              <w:t>复用版结果</w:t>
            </w:r>
          </w:p>
        </w:tc>
        <w:tc>
          <w:tcPr>
            <w:tcW w:type="dxa" w:w="1757"/>
            <w:shd w:fill="EAF0F5"/>
          </w:tcPr>
          <w:p>
            <w:pPr>
              <w:spacing w:after="100" w:before="100" w:line="259" w:lineRule="auto"/>
            </w:pPr>
            <w:r>
              <w:rPr>
                <w:b/>
                <w:sz w:val="18"/>
              </w:rPr>
              <w:t>原版搜索CPU</w:t>
              <w:br/>
              <w:t>累计/秒</w:t>
            </w:r>
          </w:p>
        </w:tc>
        <w:tc>
          <w:tcPr>
            <w:tcW w:type="dxa" w:w="2324"/>
            <w:shd w:fill="EAF0F5"/>
          </w:tcPr>
          <w:p>
            <w:pPr>
              <w:spacing w:after="100" w:before="100" w:line="259" w:lineRule="auto"/>
            </w:pPr>
            <w:r>
              <w:rPr>
                <w:b/>
                <w:sz w:val="18"/>
              </w:rPr>
              <w:t>复用搜索CPU</w:t>
              <w:br/>
              <w:t>累计/秒</w:t>
            </w:r>
          </w:p>
        </w:tc>
      </w:tr>
      <w:tr>
        <w:trPr>
          <w:cantSplit/>
        </w:trPr>
        <w:tc>
          <w:tcPr>
            <w:tcW w:type="dxa" w:w="1134"/>
            <w:shd w:fill="F6F8FA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01 / 第14步</w:t>
            </w:r>
          </w:p>
        </w:tc>
        <w:tc>
          <w:tcPr>
            <w:tcW w:type="dxa" w:w="2154"/>
            <w:shd w:fill="F6F8FA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97步 / 48.5秒</w:t>
              <w:br/>
              <w:t>两车均停稳</w:t>
            </w:r>
          </w:p>
        </w:tc>
        <w:tc>
          <w:tcPr>
            <w:tcW w:type="dxa" w:w="2268"/>
            <w:shd w:fill="F6F8FA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128步 / 64秒</w:t>
              <w:br/>
              <w:t>CAP，未完成</w:t>
            </w:r>
          </w:p>
        </w:tc>
        <w:tc>
          <w:tcPr>
            <w:tcW w:type="dxa" w:w="1757"/>
            <w:shd w:fill="F6F8FA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31.33</w:t>
            </w:r>
          </w:p>
        </w:tc>
        <w:tc>
          <w:tcPr>
            <w:tcW w:type="dxa" w:w="2324"/>
            <w:shd w:fill="F6F8FA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47.59</w:t>
            </w:r>
          </w:p>
        </w:tc>
      </w:tr>
      <w:tr>
        <w:trPr>
          <w:cantSplit/>
        </w:trPr>
        <w:tc>
          <w:tcPr>
            <w:tcW w:type="dxa" w:w="1134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05 / 第11步</w:t>
            </w:r>
          </w:p>
        </w:tc>
        <w:tc>
          <w:tcPr>
            <w:tcW w:type="dxa" w:w="2154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74步 / 37秒</w:t>
              <w:br/>
              <w:t>两车均停稳</w:t>
            </w:r>
          </w:p>
        </w:tc>
        <w:tc>
          <w:tcPr>
            <w:tcW w:type="dxa" w:w="2268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128步 / 64秒</w:t>
              <w:br/>
              <w:t>CAP，未完成</w:t>
            </w:r>
          </w:p>
        </w:tc>
        <w:tc>
          <w:tcPr>
            <w:tcW w:type="dxa" w:w="1757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23.60</w:t>
            </w:r>
          </w:p>
        </w:tc>
        <w:tc>
          <w:tcPr>
            <w:tcW w:type="dxa" w:w="2324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18"/>
              </w:rPr>
              <w:t>41.02</w:t>
            </w:r>
          </w:p>
        </w:tc>
      </w:tr>
    </w:tbl>
    <w:p>
      <w:r>
        <w:rPr>
          <w:b w:val="0"/>
        </w:rPr>
        <w:t>任务时间是模型时间；搜索CPU是实际计算时间。双方第二次决策即分歧、后续轨迹和步数不同，候选又未完成，因此这些累计时间不能换算成“同一完成任务的提速比例”。[R1/R3]</w:t>
      </w:r>
    </w:p>
    <w:p>
      <w:r>
        <w:rPr>
          <w:b w:val="0"/>
        </w:rPr>
        <w:t>单次搜索平均CPU：第一对322.95 → 371.83毫秒；第二对318.91 → 320.49毫秒。当前实现既未完成两条任务，也没有建立效率收益。记录配额16个有效CPU、单进程，四个区间均无新增CPU限流事件。[R1]</w:t>
      </w:r>
    </w:p>
    <w:p>
      <w:pPr>
        <w:pStyle w:val="Heading1"/>
      </w:pPr>
      <w:r>
        <w:t>02  不是程序崩溃，也不是“安全停车成功”</w:t>
      </w:r>
    </w:p>
    <w:p>
      <w:r>
        <w:rPr>
          <w:b w:val="0"/>
        </w:rPr>
        <w:t>4/4条记录完成，427/427次搜索完成，RC=0，结束检查PASS；无新的教师样本、训练或模型前向。4条执行轨迹的保存记录中无硬安全终止。两条候选最终A/B速度均为0、目标均未到达，完整任务回报仍为null。[R1]</w:t>
      </w:r>
    </w:p>
    <w:p>
      <w:r>
        <w:rPr>
          <w:b w:val="0"/>
        </w:rPr>
        <w:t>两条候选各晋升127次，均未回退；合计继承2323次历史贡献、执行2137次尾部补充。回报与时域重建的算术一致，不意味着这些继承贡献等同全新独立模拟，也不保证任务表现。[R1/R3]</w:t>
      </w:r>
    </w:p>
    <w:p>
      <w:r>
        <w:rPr>
          <w:b w:val="0"/>
        </w:rPr>
        <w:t>CAP只表示64秒窗口内未完成；不得由此认定永久死锁或几何无解。当前属于需保留的科学负结果，不触发自动改参数、延长时限或换种子。[R2]</w:t>
      </w:r>
    </w:p>
    <w:p>
      <w:r>
        <w:br w:type="page"/>
      </w:r>
    </w:p>
    <w:p>
      <w:pPr>
        <w:pStyle w:val="Heading1"/>
      </w:pPr>
      <w:r>
        <w:t>03  本次核验范围与未验证事项</w:t>
      </w:r>
    </w:p>
    <w:p>
      <w:r>
        <w:rPr>
          <w:b w:val="0"/>
        </w:rPr>
        <w:t>本地逐项核对1028项清单、63份来源绑定；候选源码与前次小试原字节相同，运行协议与原交接归档设计相同。427份逐步记录的状态/RNG连续性、已保存动作合法性、奖励分项算术、累计回报、计时与终止摘要一致。[R3]</w:t>
      </w:r>
    </w:p>
    <w:p>
      <w:r>
        <w:rPr>
          <w:b w:val="0"/>
        </w:rPr>
        <w:t>另对256份完整树快照、254份晋升快照重算访问次数、折扣回报和Q，并核对首奖励删除、后缀来源及补尾长度。最大回报求和舍入差约1.36×10⁻¹²，符合原协议容差。[R3]</w:t>
      </w:r>
    </w:p>
    <w:p>
      <w:r>
        <w:rPr>
          <w:b w:val="0"/>
        </w:rPr>
        <w:t>没有重新运行车辆转移、碰撞几何、随机模拟或MCTS；算术核对不替代物理安全认证。晋升快照省略中间状态；完整树中保存的节点状态与样本路径已比对，未重新生成。云端实时进程、文件系统及计费均未查询。[R3]</w:t>
      </w:r>
    </w:p>
    <w:p>
      <w:pPr>
        <w:pStyle w:val="Heading1"/>
      </w:pPr>
      <w:r>
        <w:t>04  对上一份交接的唯一动态更新</w:t>
      </w:r>
    </w:p>
    <w:p>
      <w:r>
        <w:rPr>
          <w:b/>
        </w:rPr>
        <w:t>将“policy4已交付、尚未收到执行结果”替换为“policy4已执行并复核：原版2/2完成，候选0/2完成，科学目标未达到”。旧主文和原始实验不覆盖；本补充与CURRENT_STATE.json作为最新入口。</w:t>
      </w:r>
    </w:p>
    <w:p>
      <w:r>
        <w:rPr>
          <w:b w:val="0"/>
        </w:rPr>
        <w:t>32状态、512条回报继续保持原冻结身份；本次实验声明未写入该数据集，本地也未重新审计全部512条。此前网络、缓存负结果和H8两步小试分别保留，不把本次结果回填到历史分母。</w:t>
      </w:r>
    </w:p>
    <w:p>
      <w:r>
        <w:rPr>
          <w:b w:val="0"/>
        </w:rPr>
        <w:t>不要再次运行 run_dual_subtree_policy4.sh。本次无新执行脚本，不授权重跑、补采、训练、部署、删除或云端写回。用户明确恢复研究后，首先可利用保存轨迹与树快照进行只读失效机制分析；这只是待讨论建议。</w:t>
      </w:r>
    </w:p>
    <w:p>
      <w:pPr>
        <w:pStyle w:val="Heading1"/>
      </w:pPr>
      <w:r>
        <w:t>05  快速接手与证据入口</w:t>
      </w:r>
    </w:p>
    <w:p>
      <w:r>
        <w:rPr>
          <w:b w:val="0"/>
        </w:rPr>
        <w:t>正式仓库：/root/MineSim-Dynamic</w:t>
        <w:br/>
        <w:t>记录结果目录：/root/autodl-tmp/minesim_dual_subtree_h8_policy4_v1</w:t>
        <w:br/>
        <w:t>环境快照：conda minesim / Python 3.9.25；Git前后相同但保留未跟踪项“?? ^C”，不是clean。</w:t>
      </w:r>
    </w:p>
    <w:p>
      <w:r>
        <w:rPr>
          <w:b w:val="0"/>
          <w:sz w:val="16"/>
        </w:rPr>
        <w:t>Git HEAD：112d2bd0f3412fc83b13d5587d2b41402d2d0f5e</w:t>
      </w:r>
    </w:p>
    <w:p>
      <w:r>
        <w:rPr>
          <w:b w:val="0"/>
        </w:rPr>
        <w:t>阅读顺序：本补充 → CURRENT_STATE.json → REPORT.md → 原34页完整交接。</w:t>
        <w:br/>
        <w:t>R1：evidence/RESULT.json、native_RESULT.json；R2：evidence/PROTOCOL.json；R3：REVIEW.json、POLICY_METRICS.json及本地复核源码；原始上传ZIP位于evidence/policy4_result_original.zip。</w:t>
      </w:r>
    </w:p>
    <w:p>
      <w:r>
        <w:rPr>
          <w:b w:val="0"/>
          <w:sz w:val="17"/>
        </w:rPr>
        <w:t>本次原始运行：2026-09-18 09:58:29.262130—10:01:10.815150 UTC（至CAPTURE，不含最后打包）；上传原ZIP与SHA保留于PACKAGE_MANIFEST及INTEGRITY_INITIAL。所有新补充仅生成于对话容器，未写回AutoDL。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35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V1.1 · 2026-09-18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788A"/>
        <w:sz w:val="16"/>
      </w:rPr>
      <w:t>MINESIM-DYNAMIC  /  HANDOFF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SC" w:hAnsi="Noto Sans CJK SC" w:eastAsia="Noto Sans CJK SC"/>
      <w:color w:val="2636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6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636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6364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 H8四条策略验证交接补充 V1.1</dc:title>
  <dc:subject>policy4结果已返回，原版完成、复用版CAP，继续停工</dc:subject>
  <dc:creator>MineSim 项目交接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