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c9208fc5b94ff3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fghfgh                                                                                                                                                   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sdsdf,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2023-05-26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both"/>
      </w:pPr>
      <w:r>
        <w:rPr>
          <w:rFonts w:ascii="Times New Roman" w:hAnsi="Times New Roman" w:cs="Times New Roman"/>
          <w:sz w:val="24"/>
          <w:szCs w:val="24"/>
          <w:b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dcff0b103c431f" /><Relationship Type="http://schemas.openxmlformats.org/officeDocument/2006/relationships/numbering" Target="/word/numbering.xml" Id="rId1" /></Relationships>
</file>