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3f5ca26d1c44f4a"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вапвп</w:t>
            </w:r>
          </w:p>
          <w:tcPr>
            <w:tcW w:w="4672" w:type="dxa"/>
          </w:tcPr>
        </w:tc>
        <w:tc>
          <w:p>
            <w:pPr>
              <w:pStyle w:val="a3"/>
              <w:rPr>
                <w:sz w:val="24"/>
                <w:szCs w:val="24"/>
                <w:rFonts w:ascii="Times New Roman" w:hAnsi="Times New Roman" w:cs="Times New Roman"/>
              </w:rPr>
              <w:jc w:val="right"/>
            </w:pPr>
            <w:r>
              <w:rPr>
                <w:rFonts w:ascii="Times New Roman" w:hAnsi="Times New Roman" w:cs="Times New Roman"/>
                <w:sz w:val="24"/>
                <w:szCs w:val="24"/>
              </w:rPr>
              <w:t>__.__.202_</w:t>
            </w:r>
          </w:p>
          <w:tcPr>
            <w:tcW w:w="4673" w:type="dxa"/>
          </w:tcPr>
        </w:tc>
      </w:tr>
    </w:tbl>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both"/>
      </w:pPr>
      <w:r>
        <w:rPr>
          <w:rFonts w:ascii="Times New Roman" w:hAnsi="Times New Roman" w:cs="Times New Roman"/>
          <w:sz w:val="24"/>
          <w:szCs w:val="24"/>
        </w:rPr>
        <w:t>Муниципальное унитарное предприятие "Энергетический ресурс" Некрасовского муниципального района именуемое в дальнейшем "Заказчик", в лице Директора Иванова И.И., действующего на основании Устава, с одной стороны, и ООО "Сервисное предприятие авторемонт", именуемое в дальнейшем "Подрядчик", в лице Генерального директора Капралова Д.М.,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впав,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2023-04-02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3e863b77541446af" /><Relationship Type="http://schemas.openxmlformats.org/officeDocument/2006/relationships/numbering" Target="/word/numbering.xml" Id="rId1" /></Relationships>
</file>