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5cb403c50444b45"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fgfg</w:t>
            </w:r>
          </w:p>
          <w:tcPr>
            <w:tcW w:w="4672" w:type="dxa"/>
          </w:tcPr>
        </w:tc>
        <w:tc>
          <w:p>
            <w:pPr>
              <w:pStyle w:val="a3"/>
              <w:rPr>
                <w:sz w:val="24"/>
                <w:szCs w:val="24"/>
                <w:rFonts w:ascii="Times New Roman" w:hAnsi="Times New Roman" w:cs="Times New Roman"/>
              </w:rPr>
              <w:jc w:val="right"/>
            </w:pPr>
            <w:r>
              <w:rPr>
                <w:rFonts w:ascii="Times New Roman" w:hAnsi="Times New Roman" w:cs="Times New Roman"/>
                <w:sz w:val="24"/>
                <w:szCs w:val="24"/>
              </w:rPr>
              <w:t>__.__.202_</w:t>
            </w:r>
          </w:p>
          <w:tcPr>
            <w:tcW w:w="4673" w:type="dxa"/>
          </w:tcPr>
        </w:tc>
      </w:tr>
    </w:tbl>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4234234,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2023-04-23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3a45aeca36e24c7e" /><Relationship Type="http://schemas.openxmlformats.org/officeDocument/2006/relationships/numbering" Target="/word/numbering.xml" Id="rId1" /></Relationships>
</file>