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3e27865a5054193"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contractType № __</w:t>
      </w:r>
    </w:p>
    <w:p>
      <w:pPr>
        <w:pStyle w:val="a3"/>
        <w:rPr>
          <w:sz w:val="24"/>
          <w:szCs w:val="24"/>
          <w:rFonts w:ascii="Times New Roman" w:hAnsi="Times New Roman" w:cs="Times New Roman"/>
        </w:rPr>
        <w:jc w:val="center"/>
      </w:pPr>
      <w:r>
        <w:rPr>
          <w:rFonts w:ascii="Times New Roman" w:hAnsi="Times New Roman" w:cs="Times New Roman"/>
          <w:sz w:val="24"/>
          <w:szCs w:val="24"/>
        </w:rPr>
        <w:t>place                                                 __.__.202_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jc w:val="center"/>
      </w:pPr>
      <w:r>
        <w:rPr>
          <w:rFonts w:ascii="Times New Roman" w:hAnsi="Times New Roman" w:cs="Times New Roman"/>
          <w:sz w:val="24"/>
          <w:szCs w:val="24"/>
          <w:b/>
        </w:rPr>
        <w:t/>
      </w:r>
    </w:p>
    <w:p>
      <w:pPr>
        <w:pStyle w:val="a3"/>
        <w:rPr>
          <w:sz w:val="24"/>
          <w:szCs w:val="24"/>
          <w:rFonts w:ascii="Times New Roman" w:hAnsi="Times New Roman" w:cs="Times New Roman"/>
        </w:rPr>
        <w:jc w:val="both"/>
      </w:pPr>
      <w:r>
        <w:rPr>
          <w:rFonts w:ascii="Times New Roman" w:hAnsi="Times New Roman" w:cs="Times New Roman"/>
          <w:sz w:val="24"/>
          <w:szCs w:val="24"/>
        </w:rPr>
        <w:t>customerName именуемое в дальнейшем "Заказчик", в лице customerDirectorTypeNameR customerDirectorNameR, действующего на основании Устава, с одной стороны, и executorName, именуемое в дальнейшем "executor", в лице executorDirectorTypeNameR executorDirectorNameR, действующего на основании Устава, с другой стороны, baseOfContract заключили настоящий договор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договора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договора,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subjectOfContract,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dateEnd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Цена договора и порядок расчетов</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Цена настоящего договора составляет cost руб.</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Уплата Заказчиком Исполнителю цены договора осуществляется путем перечисления средств на расчетный счет Исполнителя, указанный в настоящем договоре.</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МОУ "Некрасовская средняя школа" </w:t>
            </w:r>
          </w:p>
          <w:p>
            <w:pPr>
              <w:pStyle w:val="a3"/>
              <w:rPr>
                <w:sz w:val="24"/>
                <w:szCs w:val="24"/>
                <w:rFonts w:ascii="Times New Roman" w:hAnsi="Times New Roman" w:cs="Times New Roman"/>
              </w:rPr>
              <w:jc w:val="left"/>
            </w:pPr>
            <w:r>
              <w:rPr>
                <w:rFonts w:ascii="Times New Roman" w:hAnsi="Times New Roman" w:cs="Times New Roman"/>
                <w:sz w:val="24"/>
                <w:szCs w:val="24"/>
              </w:rPr>
              <w:t>ИНН 7701031</w:t>
            </w:r>
          </w:p>
          <w:p>
            <w:pPr>
              <w:pStyle w:val="a3"/>
              <w:rPr>
                <w:sz w:val="24"/>
                <w:szCs w:val="24"/>
                <w:rFonts w:ascii="Times New Roman" w:hAnsi="Times New Roman" w:cs="Times New Roman"/>
              </w:rPr>
              <w:jc w:val="left"/>
            </w:pPr>
            <w:r>
              <w:rPr>
                <w:rFonts w:ascii="Times New Roman" w:hAnsi="Times New Roman" w:cs="Times New Roman"/>
                <w:sz w:val="24"/>
                <w:szCs w:val="24"/>
              </w:rPr>
              <w:t>КПП 7701002</w:t>
            </w:r>
          </w:p>
          <w:p>
            <w:pPr>
              <w:pStyle w:val="a3"/>
              <w:rPr>
                <w:sz w:val="24"/>
                <w:szCs w:val="24"/>
                <w:rFonts w:ascii="Times New Roman" w:hAnsi="Times New Roman" w:cs="Times New Roman"/>
              </w:rPr>
              <w:jc w:val="left"/>
            </w:pPr>
            <w:r>
              <w:rPr>
                <w:rFonts w:ascii="Times New Roman" w:hAnsi="Times New Roman" w:cs="Times New Roman"/>
                <w:sz w:val="24"/>
                <w:szCs w:val="24"/>
              </w:rPr>
              <w:t>ОГРН 3411330222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Матросова, д. 17</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403551030012010078</w:t>
            </w:r>
          </w:p>
          <w:p>
            <w:pPr>
              <w:pStyle w:val="a3"/>
              <w:rPr>
                <w:sz w:val="24"/>
                <w:szCs w:val="24"/>
                <w:rFonts w:ascii="Times New Roman" w:hAnsi="Times New Roman" w:cs="Times New Roman"/>
              </w:rPr>
              <w:jc w:val="left"/>
            </w:pPr>
            <w:r>
              <w:rPr>
                <w:rFonts w:ascii="Times New Roman" w:hAnsi="Times New Roman" w:cs="Times New Roman"/>
                <w:sz w:val="24"/>
                <w:szCs w:val="24"/>
              </w:rPr>
              <w:t>к/с 3010250001000123</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Сергеев А.Р.</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16ab3a8928fb46bd" /><Relationship Type="http://schemas.openxmlformats.org/officeDocument/2006/relationships/numbering" Target="/word/numbering.xml" Id="rId1" /></Relationships>
</file>