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d6933f2574a04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"Договор подряда № __"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kljl;jk									__.__.202_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по заданию Заказчика работу, указанную в пункте 1.2 настоящего Договора, и сдать ее результат Заказчику, а Заказчик обязуется принять результат работы и оплатить его.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klklp';,,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2023-05-13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both"/>
      </w:pPr>
      <w:r>
        <w:rPr>
          <w:rFonts w:ascii="Times New Roman" w:hAnsi="Times New Roman" w:cs="Times New Roman"/>
          <w:sz w:val="24"/>
          <w:szCs w:val="24"/>
          <w:b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e8fda01f6c491b" /><Relationship Type="http://schemas.openxmlformats.org/officeDocument/2006/relationships/numbering" Target="/word/numbering.xml" Id="rId1" /></Relationships>
</file>