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9e9480cfac8b45b5" /></Relationships>
</file>

<file path=word/document.xml><?xml version="1.0" encoding="utf-8"?>
<w:document xmlns:w="http://schemas.openxmlformats.org/wordprocessingml/2006/main">
  <w:body>
    <w:p>
      <w:pPr>
        <w:pStyle w:val="a3"/>
        <w:rPr>
          <w:sz w:val="24"/>
          <w:szCs w:val="24"/>
          <w:rFonts w:ascii="Times New Roman" w:hAnsi="Times New Roman" w:cs="Times New Roman"/>
          <w:b/>
        </w:rPr>
        <w:jc w:val="center"/>
      </w:pPr>
      <w:r>
        <w:rPr>
          <w:rFonts w:ascii="Times New Roman" w:hAnsi="Times New Roman" w:cs="Times New Roman"/>
          <w:sz w:val="24"/>
          <w:szCs w:val="24"/>
          <w:b/>
        </w:rPr>
        <w:t>"Договор подряда № __"</w:t>
      </w:r>
    </w:p>
    <w:p>
      <w:pPr>
        <w:pStyle w:val="a3"/>
        <w:rPr>
          <w:sz w:val="24"/>
          <w:szCs w:val="24"/>
          <w:rFonts w:ascii="Times New Roman" w:hAnsi="Times New Roman" w:cs="Times New Roman"/>
        </w:rPr>
        <w:jc w:val="both"/>
      </w:pPr>
      <w:r>
        <w:rPr>
          <w:rFonts w:ascii="Times New Roman" w:hAnsi="Times New Roman" w:cs="Times New Roman"/>
          <w:sz w:val="24"/>
          <w:szCs w:val="24"/>
        </w:rPr>
        <w:t>"ООО Муниципальное образовательное учреждение "Некрасовская средняя общеобразовательная школа" именуемое в дальнейшем "Заказчик", в лице Директора Сергеева А.Р., действующего на основании Устава, с одной стороны, и Муниципальное унитарное предприятие "Энергетический ресурс" Некрасовского муниципального района, именуемое в дальнейшем "Подрядчик", в лице Директора Иванова И.И., действующего на основании Устава, с другой стороны, на основании п. 4 ст. 93 федерального закона "О контрактной системе в сфере закупок товаров, работ, услуг для обеспечения государственных и муниципальных нужд" от 05.04.2013 N 44-ФЗ, заключили настоящий Контракт о нижеследующем:"</w:t>
      </w:r>
    </w:p>
    <w:p>
      <w:pPr>
        <w:pStyle w:val="a3"/>
        <w:rPr>
          <w:sz w:val="24"/>
          <w:szCs w:val="24"/>
          <w:rFonts w:ascii="Times New Roman" w:hAnsi="Times New Roman" w:cs="Times New Roman"/>
        </w:rPr>
        <w:jc w:val="center"/>
      </w:pPr>
      <w:r>
        <w:rPr>
          <w:rFonts w:ascii="Times New Roman" w:hAnsi="Times New Roman" w:cs="Times New Roman"/>
          <w:sz w:val="24"/>
          <w:szCs w:val="24"/>
        </w:rPr>
        <w:t/>
      </w:r>
    </w:p>
    <w:p>
      <w:pPr>
        <w:pStyle w:val="a3"/>
        <w:rPr>
          <w:sz w:val="24"/>
          <w:szCs w:val="24"/>
          <w:rFonts w:ascii="Times New Roman" w:hAnsi="Times New Roman" w:cs="Times New Roman"/>
          <w:b/>
        </w:rPr>
        <w:jc w:val="center"/>
      </w:pPr>
      <w:r>
        <w:rPr>
          <w:rFonts w:ascii="Times New Roman" w:hAnsi="Times New Roman" w:cs="Times New Roman"/>
          <w:sz w:val="24"/>
          <w:szCs w:val="24"/>
          <w:b/>
        </w:rPr>
        <w:t/>
      </w:r>
    </w:p>
    <w:p>
      <w:pPr>
        <w:pStyle w:val="a3"/>
        <w:rPr>
          <w:sz w:val="24"/>
          <w:szCs w:val="24"/>
          <w:rFonts w:ascii="Times New Roman" w:hAnsi="Times New Roman" w:cs="Times New Roman"/>
        </w:rPr>
        <w:jc w:val="center"/>
      </w:pPr>
      <w:r>
        <w:rPr>
          <w:rFonts w:ascii="Times New Roman" w:hAnsi="Times New Roman" w:cs="Times New Roman"/>
          <w:sz w:val="24"/>
          <w:szCs w:val="24"/>
        </w:rPr>
        <w:t>рп Некрасовское                                            __.__.202_ г.</w:t>
      </w:r>
    </w:p>
    <w:p>
      <w:pPr>
        <w:pStyle w:val="a3"/>
        <w:rPr>
          <w:sz w:val="24"/>
          <w:szCs w:val="24"/>
          <w:rFonts w:ascii="Times New Roman" w:hAnsi="Times New Roman" w:cs="Times New Roman"/>
        </w:rPr>
        <w:jc w:val="center"/>
      </w:pPr>
      <w:r>
        <w:rPr>
          <w:rFonts w:ascii="Times New Roman" w:hAnsi="Times New Roman" w:cs="Times New Roman"/>
          <w:sz w:val="24"/>
          <w:szCs w:val="24"/>
        </w:rPr>
        <w:t/>
      </w:r>
    </w:p>
    <w:p>
      <w:pPr>
        <w:pStyle w:val="a3"/>
        <w:rPr>
          <w:sz w:val="24"/>
          <w:szCs w:val="24"/>
          <w:rFonts w:ascii="Times New Roman" w:hAnsi="Times New Roman" w:cs="Times New Roman"/>
          <w:b/>
        </w:rPr>
        <w:numPr>
          <w:ilvl w:val="0"/>
          <w:numId w:val="1"/>
        </w:numPr>
        <w:jc w:val="center"/>
      </w:pPr>
      <w:r>
        <w:rPr>
          <w:rFonts w:ascii="Times New Roman" w:hAnsi="Times New Roman" w:cs="Times New Roman"/>
          <w:sz w:val="24"/>
          <w:szCs w:val="24"/>
          <w:b/>
        </w:rPr>
        <w:t>Предмет Контракта</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Подрядчик обязуется выполнить по заданию Заказчика работу, указанную в пункте 1.2 настоящего Контракта, и сдать ее результат Заказчику, а Заказчик обязуется принять результат работы и оплатить его.</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Подрядчик обязуется выполнить следующую работу: Проверка, именуемую в дальнейшем "Работа".</w:t>
      </w:r>
    </w:p>
    <w:p>
      <w:pPr>
        <w:pStyle w:val="a3"/>
        <w:rPr>
          <w:sz w:val="24"/>
          <w:szCs w:val="24"/>
          <w:rFonts w:ascii="Times New Roman" w:hAnsi="Times New Roman" w:cs="Times New Roman"/>
        </w:rPr>
        <w:jc w:val="center"/>
      </w:pPr>
      <w:r>
        <w:rPr>
          <w:rFonts w:ascii="Times New Roman" w:hAnsi="Times New Roman" w:cs="Times New Roman"/>
          <w:sz w:val="24"/>
          <w:szCs w:val="24"/>
        </w:rPr>
        <w:t/>
      </w:r>
    </w:p>
    <w:p>
      <w:pPr>
        <w:pStyle w:val="a3"/>
        <w:rPr>
          <w:sz w:val="24"/>
          <w:szCs w:val="24"/>
          <w:rFonts w:ascii="Times New Roman" w:hAnsi="Times New Roman" w:cs="Times New Roman"/>
          <w:b/>
        </w:rPr>
        <w:numPr>
          <w:ilvl w:val="0"/>
          <w:numId w:val="1"/>
        </w:numPr>
        <w:jc w:val="center"/>
      </w:pPr>
      <w:r>
        <w:rPr>
          <w:rFonts w:ascii="Times New Roman" w:hAnsi="Times New Roman" w:cs="Times New Roman"/>
          <w:sz w:val="24"/>
          <w:szCs w:val="24"/>
          <w:b/>
        </w:rPr>
        <w:t>Права и обязанности сторон</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Подрядчик обязуется:</w:t>
      </w:r>
    </w:p>
    <w:p>
      <w:pPr>
        <w:pStyle w:val="a3"/>
        <w:rPr>
          <w:sz w:val="24"/>
          <w:szCs w:val="24"/>
          <w:rFonts w:ascii="Times New Roman" w:hAnsi="Times New Roman" w:cs="Times New Roman"/>
        </w:rPr>
        <w:numPr>
          <w:ilvl w:val="2"/>
          <w:numId w:val="1"/>
        </w:numPr>
        <w:jc w:val="both"/>
      </w:pPr>
      <w:r>
        <w:rPr>
          <w:rFonts w:ascii="Times New Roman" w:hAnsi="Times New Roman" w:cs="Times New Roman"/>
          <w:sz w:val="24"/>
          <w:szCs w:val="24"/>
        </w:rPr>
        <w:t>Подрядчик обязуется выполнить Работу с надлежащим качеством, из своих материалов, своими силами и средствами.</w:t>
      </w:r>
    </w:p>
    <w:p>
      <w:pPr>
        <w:pStyle w:val="a3"/>
        <w:rPr>
          <w:sz w:val="24"/>
          <w:szCs w:val="24"/>
          <w:rFonts w:ascii="Times New Roman" w:hAnsi="Times New Roman" w:cs="Times New Roman"/>
        </w:rPr>
        <w:numPr>
          <w:ilvl w:val="2"/>
          <w:numId w:val="1"/>
        </w:numPr>
        <w:jc w:val="both"/>
      </w:pPr>
      <w:r>
        <w:rPr>
          <w:rFonts w:ascii="Times New Roman" w:hAnsi="Times New Roman" w:cs="Times New Roman"/>
          <w:sz w:val="24"/>
          <w:szCs w:val="24"/>
        </w:rPr>
        <w:t>Подрядчик обязуется выполнить Работу в срок до 2023-05-19 г.</w:t>
      </w:r>
    </w:p>
    <w:p>
      <w:pPr>
        <w:pStyle w:val="a3"/>
        <w:rPr>
          <w:sz w:val="24"/>
          <w:szCs w:val="24"/>
          <w:rFonts w:ascii="Times New Roman" w:hAnsi="Times New Roman" w:cs="Times New Roman"/>
        </w:rPr>
        <w:jc w:val="center"/>
      </w:pPr>
      <w:r>
        <w:rPr>
          <w:rFonts w:ascii="Times New Roman" w:hAnsi="Times New Roman" w:cs="Times New Roman"/>
          <w:sz w:val="24"/>
          <w:szCs w:val="24"/>
        </w:rPr>
        <w:t/>
      </w:r>
    </w:p>
    <w:p>
      <w:pPr>
        <w:pStyle w:val="a3"/>
        <w:rPr>
          <w:sz w:val="24"/>
          <w:szCs w:val="24"/>
          <w:rFonts w:ascii="Times New Roman" w:hAnsi="Times New Roman" w:cs="Times New Roman"/>
          <w:b/>
        </w:rPr>
        <w:numPr>
          <w:ilvl w:val="0"/>
          <w:numId w:val="1"/>
        </w:numPr>
        <w:jc w:val="center"/>
      </w:pPr>
      <w:r>
        <w:rPr>
          <w:rFonts w:ascii="Times New Roman" w:hAnsi="Times New Roman" w:cs="Times New Roman"/>
          <w:sz w:val="24"/>
          <w:szCs w:val="24"/>
          <w:b/>
        </w:rPr>
        <w:t>Цена Контракта и порядок расчетов</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Цена настоящего Контракта составляет 2200.22 руб.</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Уплата Заказчиком Исполнителю цены Контракта осуществляется путем перечисления средств на расчетный счет Исполнителя, указанный в настоящем Контракте.</w:t>
      </w:r>
    </w:p>
    <w:p>
      <w:pPr>
        <w:pStyle w:val="a3"/>
        <w:rPr>
          <w:sz w:val="24"/>
          <w:szCs w:val="24"/>
          <w:rFonts w:ascii="Times New Roman" w:hAnsi="Times New Roman" w:cs="Times New Roman"/>
        </w:rPr>
        <w:jc w:val="center"/>
      </w:pPr>
      <w:r>
        <w:rPr>
          <w:rFonts w:ascii="Times New Roman" w:hAnsi="Times New Roman" w:cs="Times New Roman"/>
          <w:sz w:val="24"/>
          <w:szCs w:val="24"/>
        </w:rPr>
        <w:t/>
      </w:r>
    </w:p>
    <w:p>
      <w:pPr>
        <w:pStyle w:val="a3"/>
        <w:rPr>
          <w:sz w:val="24"/>
          <w:szCs w:val="24"/>
          <w:rFonts w:ascii="Times New Roman" w:hAnsi="Times New Roman" w:cs="Times New Roman"/>
          <w:b/>
        </w:rPr>
        <w:numPr>
          <w:ilvl w:val="0"/>
          <w:numId w:val="1"/>
        </w:numPr>
        <w:jc w:val="center"/>
      </w:pPr>
      <w:r>
        <w:rPr>
          <w:rFonts w:ascii="Times New Roman" w:hAnsi="Times New Roman" w:cs="Times New Roman"/>
          <w:sz w:val="24"/>
          <w:szCs w:val="24"/>
          <w:b/>
        </w:rPr>
        <w:t>Ответственность сторон</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За неисполнение или ненадлежащее исполнение Контракта Стороны несут ответственность в соответствии с законодательством Российской Федерации и условиями Контракта.</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В случае полного (частичного) неисполнения условий Контракта одной из Сторон эта Сторона обязана возместить другой Стороне причиненные убытки в части, непокрытой неустойкой.</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В случае просрочки исполнения Подрядчиком обязательств, предусмотренных Контрактом, Подрядчик уплачивает Заказчику пени. Пеня начисляется за каждый день просрочки исполнения Подрядчиком обязательства, предусмотренного Контрактом, начиная со дня, следующего после дня истечения установленного Контрактом срока исполнения обязательства. Размер пени составляет одна трехсотая действующей на дату уплаты пени ключевой ставки Центрального банка Российской Федерации от цены Контракта (отдельного этапа исполнения Контракта), уменьшенной на сумму, пропорциональную объему обязательств, предусмотренных Контрактом (соответствующим отдельным этапом исполнения Контракта) и фактически исполненных Подрядчиком.</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В случае просрочки исполнения Заказчиком обязательств, предусмотренных Контрактом, Подрядчик вправе потребовать уплату пени в размере одной трехсотой действующей на дату уплаты пеней ключевой ставки Центрального банка Российской Федерации от не уплаченной в срок суммы. Пеня начисляется за каждый день просрочки исполнения обязательства, предусмотренного Контрактом, начиная со дня, следующего после дня истечения установленного Контрактом срока исполнения обязательства.</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Применение неустойки (штрафа, пени) не освобождает Стороны от исполнения обязательств по Контракту.</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В случае расторжения Контракта в связи с односторонним отказом Стороны от исполнения Контракта другая Сторона вправе потребовать возмещения только фактически понесенного ущерба, непосредственно обусловленного обстоятельствами, являющимися основанием для принятия решения об одностороннем отказе от исполнения Контракта.</w:t>
      </w:r>
    </w:p>
    <w:p>
      <w:pPr>
        <w:pStyle w:val="a3"/>
        <w:rPr>
          <w:sz w:val="24"/>
          <w:szCs w:val="24"/>
          <w:rFonts w:ascii="Times New Roman" w:hAnsi="Times New Roman" w:cs="Times New Roman"/>
        </w:rPr>
        <w:jc w:val="center"/>
      </w:pPr>
      <w:r>
        <w:rPr>
          <w:rFonts w:ascii="Times New Roman" w:hAnsi="Times New Roman" w:cs="Times New Roman"/>
          <w:sz w:val="24"/>
          <w:szCs w:val="24"/>
        </w:rPr>
        <w:t/>
      </w:r>
    </w:p>
    <w:p>
      <w:pPr>
        <w:pStyle w:val="a3"/>
        <w:rPr>
          <w:sz w:val="24"/>
          <w:szCs w:val="24"/>
          <w:rFonts w:ascii="Times New Roman" w:hAnsi="Times New Roman" w:cs="Times New Roman"/>
          <w:b/>
        </w:rPr>
        <w:numPr>
          <w:ilvl w:val="0"/>
          <w:numId w:val="1"/>
        </w:numPr>
        <w:jc w:val="center"/>
      </w:pPr>
      <w:r>
        <w:rPr>
          <w:rFonts w:ascii="Times New Roman" w:hAnsi="Times New Roman" w:cs="Times New Roman"/>
          <w:sz w:val="24"/>
          <w:szCs w:val="24"/>
          <w:b/>
        </w:rPr>
        <w:t>Реквизиты</w:t>
      </w:r>
    </w:p>
    <w:tbl>
      <w:tblPr>
        <w:tblW w:w="0" w:type="auto"/>
        <w:tblLook w:val="04A0" w:firstRow="true" w:lastRow="false" w:firstColumn="true" w:lastColumn="false" w:noHBand="false" w:noVBand="true"/>
      </w:tblPr>
      <w:tblGrid>
        <w:gridCol w:w="4672"/>
        <w:gridCol w:w="4673"/>
      </w:tblGrid>
      <w:tr>
        <w:tc>
          <w:p>
            <w:pPr>
              <w:pStyle w:val="a3"/>
              <w:rPr>
                <w:sz w:val="24"/>
                <w:szCs w:val="24"/>
                <w:rFonts w:ascii="Times New Roman" w:hAnsi="Times New Roman" w:cs="Times New Roman"/>
              </w:rPr>
              <w:jc w:val="left"/>
            </w:pPr>
            <w:r>
              <w:rPr>
                <w:rFonts w:ascii="Times New Roman" w:hAnsi="Times New Roman" w:cs="Times New Roman"/>
                <w:sz w:val="24"/>
                <w:szCs w:val="24"/>
              </w:rPr>
              <w:t>МОУ "Некрасовская средняя школа" </w:t>
            </w:r>
          </w:p>
          <w:p>
            <w:pPr>
              <w:pStyle w:val="a3"/>
              <w:rPr>
                <w:sz w:val="24"/>
                <w:szCs w:val="24"/>
                <w:rFonts w:ascii="Times New Roman" w:hAnsi="Times New Roman" w:cs="Times New Roman"/>
              </w:rPr>
              <w:jc w:val="left"/>
            </w:pPr>
            <w:r>
              <w:rPr>
                <w:rFonts w:ascii="Times New Roman" w:hAnsi="Times New Roman" w:cs="Times New Roman"/>
                <w:sz w:val="24"/>
                <w:szCs w:val="24"/>
              </w:rPr>
              <w:t>ИНН 7701031</w:t>
            </w:r>
          </w:p>
          <w:p>
            <w:pPr>
              <w:pStyle w:val="a3"/>
              <w:rPr>
                <w:sz w:val="24"/>
                <w:szCs w:val="24"/>
                <w:rFonts w:ascii="Times New Roman" w:hAnsi="Times New Roman" w:cs="Times New Roman"/>
              </w:rPr>
              <w:jc w:val="left"/>
            </w:pPr>
            <w:r>
              <w:rPr>
                <w:rFonts w:ascii="Times New Roman" w:hAnsi="Times New Roman" w:cs="Times New Roman"/>
                <w:sz w:val="24"/>
                <w:szCs w:val="24"/>
              </w:rPr>
              <w:t>КПП 7701002</w:t>
            </w:r>
          </w:p>
          <w:p>
            <w:pPr>
              <w:pStyle w:val="a3"/>
              <w:rPr>
                <w:sz w:val="24"/>
                <w:szCs w:val="24"/>
                <w:rFonts w:ascii="Times New Roman" w:hAnsi="Times New Roman" w:cs="Times New Roman"/>
              </w:rPr>
              <w:jc w:val="left"/>
            </w:pPr>
            <w:r>
              <w:rPr>
                <w:rFonts w:ascii="Times New Roman" w:hAnsi="Times New Roman" w:cs="Times New Roman"/>
                <w:sz w:val="24"/>
                <w:szCs w:val="24"/>
              </w:rPr>
              <w:t>ОГРН 3411330222</w:t>
            </w:r>
          </w:p>
          <w:p>
            <w:pPr>
              <w:pStyle w:val="a3"/>
              <w:rPr>
                <w:sz w:val="24"/>
                <w:szCs w:val="24"/>
                <w:rFonts w:ascii="Times New Roman" w:hAnsi="Times New Roman" w:cs="Times New Roman"/>
              </w:rPr>
              <w:jc w:val="left"/>
            </w:pPr>
            <w:r>
              <w:rPr>
                <w:rFonts w:ascii="Times New Roman" w:hAnsi="Times New Roman" w:cs="Times New Roman"/>
                <w:sz w:val="24"/>
                <w:szCs w:val="24"/>
              </w:rPr>
              <w:t>Адрес Ярославская обл., Некрасовский р-н, рп. Некрасовское, ул. Матросова, д. 17</w:t>
            </w:r>
          </w:p>
          <w:p>
            <w:pPr>
              <w:pStyle w:val="a3"/>
              <w:rPr>
                <w:sz w:val="24"/>
                <w:szCs w:val="24"/>
                <w:rFonts w:ascii="Times New Roman" w:hAnsi="Times New Roman" w:cs="Times New Roman"/>
              </w:rPr>
              <w:jc w:val="left"/>
            </w:pPr>
            <w:r>
              <w:rPr>
                <w:rFonts w:ascii="Times New Roman" w:hAnsi="Times New Roman" w:cs="Times New Roman"/>
                <w:sz w:val="24"/>
                <w:szCs w:val="24"/>
              </w:rPr>
              <w:t>Банк ПАО "Сбербанк"</w:t>
            </w:r>
          </w:p>
          <w:p>
            <w:pPr>
              <w:pStyle w:val="a3"/>
              <w:rPr>
                <w:sz w:val="24"/>
                <w:szCs w:val="24"/>
                <w:rFonts w:ascii="Times New Roman" w:hAnsi="Times New Roman" w:cs="Times New Roman"/>
              </w:rPr>
              <w:jc w:val="left"/>
            </w:pPr>
            <w:r>
              <w:rPr>
                <w:rFonts w:ascii="Times New Roman" w:hAnsi="Times New Roman" w:cs="Times New Roman"/>
                <w:sz w:val="24"/>
                <w:szCs w:val="24"/>
              </w:rPr>
              <w:t>БИК 7752251</w:t>
            </w:r>
          </w:p>
          <w:p>
            <w:pPr>
              <w:pStyle w:val="a3"/>
              <w:rPr>
                <w:sz w:val="24"/>
                <w:szCs w:val="24"/>
                <w:rFonts w:ascii="Times New Roman" w:hAnsi="Times New Roman" w:cs="Times New Roman"/>
              </w:rPr>
              <w:jc w:val="left"/>
            </w:pPr>
            <w:r>
              <w:rPr>
                <w:rFonts w:ascii="Times New Roman" w:hAnsi="Times New Roman" w:cs="Times New Roman"/>
                <w:sz w:val="24"/>
                <w:szCs w:val="24"/>
              </w:rPr>
              <w:t>р/с 403551030012010078</w:t>
            </w:r>
          </w:p>
          <w:p>
            <w:pPr>
              <w:pStyle w:val="a3"/>
              <w:rPr>
                <w:sz w:val="24"/>
                <w:szCs w:val="24"/>
                <w:rFonts w:ascii="Times New Roman" w:hAnsi="Times New Roman" w:cs="Times New Roman"/>
              </w:rPr>
              <w:jc w:val="left"/>
            </w:pPr>
            <w:r>
              <w:rPr>
                <w:rFonts w:ascii="Times New Roman" w:hAnsi="Times New Roman" w:cs="Times New Roman"/>
                <w:sz w:val="24"/>
                <w:szCs w:val="24"/>
              </w:rPr>
              <w:t>к/с 3010250001000123</w:t>
            </w:r>
          </w:p>
          <w:p>
            <w:pPr>
              <w:pStyle w:val="a3"/>
              <w:rPr>
                <w:sz w:val="24"/>
                <w:szCs w:val="24"/>
                <w:rFonts w:ascii="Times New Roman" w:hAnsi="Times New Roman" w:cs="Times New Roman"/>
              </w:rPr>
              <w:jc w:val="left"/>
            </w:pPr>
            <w:r>
              <w:rPr>
                <w:rFonts w:ascii="Times New Roman" w:hAnsi="Times New Roman" w:cs="Times New Roman"/>
                <w:sz w:val="24"/>
                <w:szCs w:val="24"/>
              </w:rPr>
              <w:t>Директор _________  Сергеев А.Р.</w:t>
            </w:r>
          </w:p>
          <w:tcPr>
            <w:tcW w:w="4672" w:type="dxa"/>
          </w:tcPr>
        </w:tc>
        <w:tc>
          <w:p>
            <w:pPr>
              <w:pStyle w:val="a3"/>
              <w:rPr>
                <w:sz w:val="24"/>
                <w:szCs w:val="24"/>
                <w:rFonts w:ascii="Times New Roman" w:hAnsi="Times New Roman" w:cs="Times New Roman"/>
              </w:rPr>
              <w:jc w:val="left"/>
            </w:pPr>
            <w:r>
              <w:rPr>
                <w:rFonts w:ascii="Times New Roman" w:hAnsi="Times New Roman" w:cs="Times New Roman"/>
                <w:sz w:val="24"/>
                <w:szCs w:val="24"/>
              </w:rPr>
              <w:t>МУП "Энергоресурс" </w:t>
            </w:r>
          </w:p>
          <w:p>
            <w:pPr>
              <w:pStyle w:val="a3"/>
              <w:rPr>
                <w:sz w:val="24"/>
                <w:szCs w:val="24"/>
                <w:rFonts w:ascii="Times New Roman" w:hAnsi="Times New Roman" w:cs="Times New Roman"/>
              </w:rPr>
              <w:jc w:val="left"/>
            </w:pPr>
            <w:r>
              <w:rPr>
                <w:rFonts w:ascii="Times New Roman" w:hAnsi="Times New Roman" w:cs="Times New Roman"/>
                <w:sz w:val="24"/>
                <w:szCs w:val="24"/>
              </w:rPr>
              <w:t>ИНН 7701071</w:t>
            </w:r>
          </w:p>
          <w:p>
            <w:pPr>
              <w:pStyle w:val="a3"/>
              <w:rPr>
                <w:sz w:val="24"/>
                <w:szCs w:val="24"/>
                <w:rFonts w:ascii="Times New Roman" w:hAnsi="Times New Roman" w:cs="Times New Roman"/>
              </w:rPr>
              <w:jc w:val="left"/>
            </w:pPr>
            <w:r>
              <w:rPr>
                <w:rFonts w:ascii="Times New Roman" w:hAnsi="Times New Roman" w:cs="Times New Roman"/>
                <w:sz w:val="24"/>
                <w:szCs w:val="24"/>
              </w:rPr>
              <w:t>КПП 7701001</w:t>
            </w:r>
          </w:p>
          <w:p>
            <w:pPr>
              <w:pStyle w:val="a3"/>
              <w:rPr>
                <w:sz w:val="24"/>
                <w:szCs w:val="24"/>
                <w:rFonts w:ascii="Times New Roman" w:hAnsi="Times New Roman" w:cs="Times New Roman"/>
              </w:rPr>
              <w:jc w:val="left"/>
            </w:pPr>
            <w:r>
              <w:rPr>
                <w:rFonts w:ascii="Times New Roman" w:hAnsi="Times New Roman" w:cs="Times New Roman"/>
                <w:sz w:val="24"/>
                <w:szCs w:val="24"/>
              </w:rPr>
              <w:t>ОГРН 1235550001</w:t>
            </w:r>
          </w:p>
          <w:p>
            <w:pPr>
              <w:pStyle w:val="a3"/>
              <w:rPr>
                <w:sz w:val="24"/>
                <w:szCs w:val="24"/>
                <w:rFonts w:ascii="Times New Roman" w:hAnsi="Times New Roman" w:cs="Times New Roman"/>
              </w:rPr>
              <w:jc w:val="left"/>
            </w:pPr>
            <w:r>
              <w:rPr>
                <w:rFonts w:ascii="Times New Roman" w:hAnsi="Times New Roman" w:cs="Times New Roman"/>
                <w:sz w:val="24"/>
                <w:szCs w:val="24"/>
              </w:rPr>
              <w:t>Адрес Ярославская обл., Некрасовский р-н, рп. Некрасовское, ул. Советская, д. 175</w:t>
            </w:r>
          </w:p>
          <w:p>
            <w:pPr>
              <w:pStyle w:val="a3"/>
              <w:rPr>
                <w:sz w:val="24"/>
                <w:szCs w:val="24"/>
                <w:rFonts w:ascii="Times New Roman" w:hAnsi="Times New Roman" w:cs="Times New Roman"/>
              </w:rPr>
              <w:jc w:val="left"/>
            </w:pPr>
            <w:r>
              <w:rPr>
                <w:rFonts w:ascii="Times New Roman" w:hAnsi="Times New Roman" w:cs="Times New Roman"/>
                <w:sz w:val="24"/>
                <w:szCs w:val="24"/>
              </w:rPr>
              <w:t>Банк ПАО "Сбербанк"</w:t>
            </w:r>
          </w:p>
          <w:p>
            <w:pPr>
              <w:pStyle w:val="a3"/>
              <w:rPr>
                <w:sz w:val="24"/>
                <w:szCs w:val="24"/>
                <w:rFonts w:ascii="Times New Roman" w:hAnsi="Times New Roman" w:cs="Times New Roman"/>
              </w:rPr>
              <w:jc w:val="left"/>
            </w:pPr>
            <w:r>
              <w:rPr>
                <w:rFonts w:ascii="Times New Roman" w:hAnsi="Times New Roman" w:cs="Times New Roman"/>
                <w:sz w:val="24"/>
                <w:szCs w:val="24"/>
              </w:rPr>
              <w:t>БИК 7752251</w:t>
            </w:r>
          </w:p>
          <w:p>
            <w:pPr>
              <w:pStyle w:val="a3"/>
              <w:rPr>
                <w:sz w:val="24"/>
                <w:szCs w:val="24"/>
                <w:rFonts w:ascii="Times New Roman" w:hAnsi="Times New Roman" w:cs="Times New Roman"/>
              </w:rPr>
              <w:jc w:val="left"/>
            </w:pPr>
            <w:r>
              <w:rPr>
                <w:rFonts w:ascii="Times New Roman" w:hAnsi="Times New Roman" w:cs="Times New Roman"/>
                <w:sz w:val="24"/>
                <w:szCs w:val="24"/>
              </w:rPr>
              <w:t>р/с 40301030000000065</w:t>
            </w:r>
          </w:p>
          <w:p>
            <w:pPr>
              <w:pStyle w:val="a3"/>
              <w:rPr>
                <w:sz w:val="24"/>
                <w:szCs w:val="24"/>
                <w:rFonts w:ascii="Times New Roman" w:hAnsi="Times New Roman" w:cs="Times New Roman"/>
              </w:rPr>
              <w:jc w:val="left"/>
            </w:pPr>
            <w:r>
              <w:rPr>
                <w:rFonts w:ascii="Times New Roman" w:hAnsi="Times New Roman" w:cs="Times New Roman"/>
                <w:sz w:val="24"/>
                <w:szCs w:val="24"/>
              </w:rPr>
              <w:t>к/с 3010110000000022</w:t>
            </w:r>
          </w:p>
          <w:p>
            <w:pPr>
              <w:pStyle w:val="a3"/>
              <w:rPr>
                <w:sz w:val="24"/>
                <w:szCs w:val="24"/>
                <w:rFonts w:ascii="Times New Roman" w:hAnsi="Times New Roman" w:cs="Times New Roman"/>
              </w:rPr>
              <w:jc w:val="left"/>
            </w:pPr>
            <w:r>
              <w:rPr>
                <w:rFonts w:ascii="Times New Roman" w:hAnsi="Times New Roman" w:cs="Times New Roman"/>
                <w:sz w:val="24"/>
                <w:szCs w:val="24"/>
              </w:rPr>
              <w:t>Директор _________  Иванов И.И.</w:t>
            </w:r>
          </w:p>
          <w:tcPr>
            <w:tcW w:w="4673" w:type="dxa"/>
          </w:tcPr>
        </w:tc>
      </w:tr>
    </w:tbl>
  </w:body>
</w:document>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EA2E5F"/>
    <w:multiLevelType w:val="multilevel"/>
    <w:tmpl w:val="E49CBF64"/>
    <w:lvl w:ilvl="0">
      <w:start w:val="1"/>
      <w:numFmt w:val="decimal"/>
      <w:lvlText w:val="%1."/>
      <w:lvlJc w:val="left"/>
      <w:pPr>
        <w:ind w:start="720" w:hanging="360"/>
      </w:pPr>
      <w:rPr>
        <w:rFonts w:hint="default"/>
      </w:rPr>
    </w:lvl>
    <w:lvl w:ilvl="1">
      <w:start w:val="1"/>
      <w:numFmt w:val="decimal"/>
      <w:isLgl/>
      <w:lvlText w:val="%1.%2."/>
      <w:lvlJc w:val="left"/>
      <w:pPr>
        <w:ind w:start="1080" w:hanging="360"/>
      </w:pPr>
      <w:rPr>
        <w:rFonts w:hint="default"/>
      </w:rPr>
    </w:lvl>
    <w:lvl w:ilvl="2">
      <w:start w:val="1"/>
      <w:numFmt w:val="decimal"/>
      <w:isLgl/>
      <w:lvlText w:val="%1.%2.%3."/>
      <w:lvlJc w:val="left"/>
      <w:pPr>
        <w:ind w:start="1800" w:hanging="720"/>
      </w:pPr>
      <w:rPr>
        <w:rFonts w:hint="default"/>
      </w:rPr>
    </w:lvl>
    <w:lvl w:ilvl="3">
      <w:start w:val="1"/>
      <w:numFmt w:val="decimal"/>
      <w:isLgl/>
      <w:lvlText w:val="%1.%2.%3.%4."/>
      <w:lvlJc w:val="left"/>
      <w:pPr>
        <w:ind w:start="2160" w:hanging="720"/>
      </w:pPr>
      <w:rPr>
        <w:rFonts w:hint="default"/>
      </w:rPr>
    </w:lvl>
    <w:lvl w:ilvl="4">
      <w:start w:val="1"/>
      <w:numFmt w:val="decimal"/>
      <w:isLgl/>
      <w:lvlText w:val="%1.%2.%3.%4.%5."/>
      <w:lvlJc w:val="left"/>
      <w:pPr>
        <w:ind w:start="2880" w:hanging="1080"/>
      </w:pPr>
      <w:rPr>
        <w:rFonts w:hint="default"/>
      </w:rPr>
    </w:lvl>
    <w:lvl w:ilvl="5">
      <w:start w:val="1"/>
      <w:numFmt w:val="decimal"/>
      <w:isLgl/>
      <w:lvlText w:val="%1.%2.%3.%4.%5.%6."/>
      <w:lvlJc w:val="left"/>
      <w:pPr>
        <w:ind w:start="3240" w:hanging="1080"/>
      </w:pPr>
      <w:rPr>
        <w:rFonts w:hint="default"/>
      </w:rPr>
    </w:lvl>
    <w:lvl w:ilvl="6">
      <w:start w:val="1"/>
      <w:numFmt w:val="decimal"/>
      <w:isLgl/>
      <w:lvlText w:val="%1.%2.%3.%4.%5.%6.%7."/>
      <w:lvlJc w:val="left"/>
      <w:pPr>
        <w:ind w:start="3960" w:hanging="1440"/>
      </w:pPr>
      <w:rPr>
        <w:rFonts w:hint="default"/>
      </w:rPr>
    </w:lvl>
    <w:lvl w:ilvl="7">
      <w:start w:val="1"/>
      <w:numFmt w:val="decimal"/>
      <w:isLgl/>
      <w:lvlText w:val="%1.%2.%3.%4.%5.%6.%7.%8."/>
      <w:lvlJc w:val="left"/>
      <w:pPr>
        <w:ind w:start="4320" w:hanging="1440"/>
      </w:pPr>
      <w:rPr>
        <w:rFonts w:hint="default"/>
      </w:rPr>
    </w:lvl>
    <w:lvl w:ilvl="8">
      <w:start w:val="1"/>
      <w:numFmt w:val="decimal"/>
      <w:isLgl/>
      <w:lvlText w:val="%1.%2.%3.%4.%5.%6.%7.%8.%9."/>
      <w:lvlJc w:val="left"/>
      <w:pPr>
        <w:ind w:start="5040" w:hanging="1800"/>
      </w:pPr>
      <w:rPr>
        <w:rFonts w:hint="default"/>
      </w:rPr>
    </w:lvl>
  </w:abstractNum>
  <w:num w:numId="1">
    <w:abstractNumId w:val="0"/>
  </w:num>
</w:numbering>
</file>

<file path=word/styles.xml><?xml version="1.0" encoding="utf-8"?>
<w:styles xmlns:w="http://schemas.openxmlformats.org/wordprocessingml/2006/main">
  <w:style w:type="paragraph" w:styleId="a3">
    <w:name w:val="No Spacing"/>
    <w:uiPriority w:val="1"/>
    <w:qFormat/>
    <w:pPr>
      <w:spacing w:after="0" w:line="240" w:lineRule="auto"/>
    </w:pPr>
  </w:style>
</w:styles>
</file>

<file path=word/_rels/document.xml.rels>&#65279;<?xml version="1.0" encoding="utf-8"?><Relationships xmlns="http://schemas.openxmlformats.org/package/2006/relationships"><Relationship Type="http://schemas.openxmlformats.org/officeDocument/2006/relationships/styles" Target="/word/styles.xml" Id="Rb1b8250eef514a87" /><Relationship Type="http://schemas.openxmlformats.org/officeDocument/2006/relationships/numbering" Target="/word/numbering.xml" Id="rId1" /></Relationships>
</file>