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Andrew Gumbs</w:t>
      </w:r>
      <w:r w:rsidDel="00000000" w:rsidR="00000000" w:rsidRPr="00000000">
        <w:rPr>
          <w:rtl w:val="0"/>
        </w:rPr>
        <w:t xml:space="preserve"> is one of the world’s leading experts in minimally invasive surgery, specializing in advanced laparoscopy and gastrointestinal oncology. He combines exceptional surgical precision with deep translational insight, bringing innovative technologies and minimally invasive techniques into clinical practice. His scientific and educational contributions have shaped modern surgical standards across both Europe and the United States.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1609725" cy="1409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9725" cy="1409700"/>
                    </a:xfrm>
                    <a:prstGeom prst="rect"/>
                    <a:ln/>
                  </pic:spPr>
                </pic:pic>
              </a:graphicData>
            </a:graphic>
          </wp:inline>
        </w:drawing>
      </w:r>
      <w:r w:rsidDel="00000000" w:rsidR="00000000" w:rsidRPr="00000000">
        <w:rPr/>
        <w:drawing>
          <wp:inline distB="114300" distT="114300" distL="114300" distR="114300">
            <wp:extent cx="4206589" cy="419960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06589" cy="419960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