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 Hans Herbert Steiner</w:t>
      </w:r>
      <w:r w:rsidDel="00000000" w:rsidR="00000000" w:rsidRPr="00000000">
        <w:rPr>
          <w:rtl w:val="0"/>
        </w:rPr>
        <w:t xml:space="preserve"> is a distinguished leader in German health innovation and hospital management, widely recognized for his contributions to modernizing clinical infrastructures and fostering strategic collaborations between medicine, academia, and industry. With a long-standing career in healthcare administration, he has been instrumental in developing forward-looking concepts for integrated care, digital transformation, and sustainable hospital development. His expertise and strategic vision make him a key voice in shaping the future of healthcare delivery in Germany and Europe.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5719770"/>
            <wp:effectExtent b="0" l="0" r="0" t="0"/>
            <wp:docPr descr="Hans Herbert Steiner, Vizerektor Nürnberg" id="1" name="image1.jpg"/>
            <a:graphic>
              <a:graphicData uri="http://schemas.openxmlformats.org/drawingml/2006/picture">
                <pic:pic>
                  <pic:nvPicPr>
                    <pic:cNvPr descr="Hans Herbert Steiner, Vizerektor Nürnber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571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