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Acknowledgements.</w:t>
      </w:r>
      <w:r>
        <w:t xml:space="preserve"> </w:t>
      </w:r>
      <w:r>
        <w:t xml:space="preserve">The authors thank the Department of Computer Engineering at Çukurova University</w:t>
      </w:r>
      <w:r>
        <w:t xml:space="preserve"> </w:t>
      </w:r>
      <w:r>
        <w:t xml:space="preserve">for the laboratory environment in which this work was carried out.</w:t>
      </w:r>
    </w:p>
    <w:p>
      <w:pPr>
        <w:pStyle w:val="BodyText"/>
      </w:pPr>
      <w:r>
        <w:rPr>
          <w:b/>
          <w:bCs/>
        </w:rPr>
        <w:t xml:space="preserve">Word count:</w:t>
      </w:r>
      <w:r>
        <w:t xml:space="preserve"> </w:t>
      </w:r>
      <w:r>
        <w:t xml:space="preserve">7,092 words in the main text (Sections 1 to 6, table captions and notes included; tables, references, declarations and figure captions excluded). Abstract 236 words.</w:t>
      </w:r>
    </w:p>
    <w:bookmarkStart w:id="18" w:name="abstract"/>
    <w:p>
      <w:pPr>
        <w:pStyle w:val="Heading1"/>
      </w:pPr>
      <w:r>
        <w:t xml:space="preserve">Abstract</w:t>
      </w:r>
    </w:p>
    <w:p>
      <w:pPr>
        <w:pStyle w:val="FirstParagraph"/>
      </w:pPr>
      <w:r>
        <w:t xml:space="preserve">Wildfire susceptibility models are usually tested inside the region where they were trained. How well they work in other regions is rarely measured. In this study, six pre-fire land surface temperature and dryness predictors from Landsat and MODIS were added to a terrain, land-cover and greenness baseline. Random forests were trained and tested in five large Mediterranean fires: Manavgat and Muğla 2021 (Türkiye), Bejís 2022 (Spain), North Evia 2021 (Greece) and Montiferru 2021 (Italy). Burned areas were taken from the MODIS MCD64A1 product. Skill was measured as the area under the receiver operating characteristic curve (ROC-AUC) with spatially blocked validation. Three results were found. First, the evaluation area changes the score. The same model was scored on the burn scar and a 2 km band around it, instead of the whole study region. This cost 0.133 ROC-AUC [0.060, 0.207] over seven scars, and 0.160 [0.090, 0.230] with the region as the unit. Second, local skill transferred at most weakly. The thermal predictors added +0.045 to +0.148 within regions, but only +0.007 [−0.020, +0.038] across twenty transfer directions and +0.024 [−0.004, +0.049] when the study areas were made comparable. The static baseline did not transfer better, and label-free domain adaptation did not help. Third, similarity between regions did not predict transfer: the most similar pair failed in both directions (0.438, 0.345). Transfer skill should therefore be measured in the target region before a model is used there.</w:t>
      </w:r>
    </w:p>
    <w:p>
      <w:pPr>
        <w:pStyle w:val="BodyText"/>
      </w:pPr>
      <w:r>
        <w:rPr>
          <w:b/>
          <w:bCs/>
        </w:rPr>
        <w:t xml:space="preserve">Keywords:</w:t>
      </w:r>
      <w:r>
        <w:t xml:space="preserve"> </w:t>
      </w:r>
      <w:r>
        <w:t xml:space="preserve">wildfire; model transferability; evaluation extent; land surface temperature; spatial cross-validation; domain adaptation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Fire susceptibility maps are usually made in the same way</w:t>
      </w:r>
      <w:r>
        <w:t xml:space="preserve"> </w:t>
      </w:r>
      <w:r>
        <w:t xml:space="preserve">(Jodhani et al. 2026; Vibhandik et al. 2026)</w:t>
      </w:r>
      <w:r>
        <w:t xml:space="preserve">. Predictors are collected over a study region and matched with a</w:t>
      </w:r>
      <w:r>
        <w:t xml:space="preserve"> </w:t>
      </w:r>
      <w:r>
        <w:t xml:space="preserve">record of burned areas. A classifier, most often a random forest</w:t>
      </w:r>
      <w:r>
        <w:t xml:space="preserve"> </w:t>
      </w:r>
      <w:r>
        <w:t xml:space="preserve">(Breiman 2001)</w:t>
      </w:r>
      <w:r>
        <w:t xml:space="preserve">, is then trained.</w:t>
      </w:r>
      <w:r>
        <w:t xml:space="preserve"> </w:t>
      </w:r>
      <w:r>
        <w:t xml:space="preserve">The map is reported with a cross-validated score from the same region.</w:t>
      </w:r>
      <w:r>
        <w:t xml:space="preserve"> </w:t>
      </w:r>
      <w:r>
        <w:rPr>
          <w:b/>
          <w:bCs/>
        </w:rPr>
        <w:t xml:space="preserve">How well the model works</w:t>
      </w:r>
      <w:r>
        <w:rPr>
          <w:b/>
          <w:bCs/>
        </w:rPr>
        <w:t xml:space="preserve"> </w:t>
      </w:r>
      <w:r>
        <w:rPr>
          <w:b/>
          <w:bCs/>
        </w:rPr>
        <w:t xml:space="preserve">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Random folds also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does not show how the model works on a fire</w:t>
      </w:r>
      <w:r>
        <w:t xml:space="preserve"> </w:t>
      </w:r>
      <w:r>
        <w:t xml:space="preserve">it has not seen.</w:t>
      </w:r>
    </w:p>
    <w:p>
      <w:pPr>
        <w:pStyle w:val="BodyText"/>
      </w:pPr>
      <w:r>
        <w:t xml:space="preserve">A regional product built from local models is expected to work outside its training area. This is</w:t>
      </w:r>
      <w:r>
        <w:t xml:space="preserve"> </w:t>
      </w:r>
      <w:r>
        <w:t xml:space="preserve">rarely tested. Fire-danger indices did not transfer well between fire environments in Peru</w:t>
      </w:r>
      <w:r>
        <w:t xml:space="preserve"> </w:t>
      </w:r>
      <w:r>
        <w:t xml:space="preserve">(Podschwit et al. 2022)</w:t>
      </w:r>
      <w:r>
        <w:t xml:space="preserve">. Regional fire-occurrence models in the Alps and the Mediterranean Basin</w:t>
      </w:r>
      <w:r>
        <w:t xml:space="preserve"> </w:t>
      </w:r>
      <w:r>
        <w:t xml:space="preserve">transferred well only under similar conditions</w:t>
      </w:r>
      <w:r>
        <w:t xml:space="preserve"> </w:t>
      </w:r>
      <w:r>
        <w:t xml:space="preserve">(Bekar et al. 2020)</w:t>
      </w:r>
      <w:r>
        <w:t xml:space="preserve">. Two recent studies also found that</w:t>
      </w:r>
      <w:r>
        <w:t xml:space="preserve"> </w:t>
      </w:r>
      <w:r>
        <w:t xml:space="preserve">transfer mainly succeeds between similar regions</w:t>
      </w:r>
      <w:r>
        <w:t xml:space="preserve"> </w:t>
      </w:r>
      <w:r>
        <w:t xml:space="preserve">(Liu and Mostafavi 2025; Dimarco et al. 2026)</w:t>
      </w:r>
      <w:r>
        <w:t xml:space="preserve">. All of these studies use</w:t>
      </w:r>
      <w:r>
        <w:t xml:space="preserve"> </w:t>
      </w:r>
      <w:r>
        <w:t xml:space="preserve">mainly static predictors, which describe a place. It is not known whether dynamic, season-specific</w:t>
      </w:r>
      <w:r>
        <w:t xml:space="preserve"> </w:t>
      </w:r>
      <w:r>
        <w:t xml:space="preserve">predictors behave in the same way.</w:t>
      </w:r>
    </w:p>
    <w:bookmarkEnd w:id="19"/>
    <w:bookmarkStart w:id="20" w:name="pre-fire-thermal-dryness-as-a-test-case"/>
    <w:p>
      <w:pPr>
        <w:pStyle w:val="Heading2"/>
      </w:pPr>
      <w:r>
        <w:t xml:space="preserve">1.2 Pre-fire thermal dryness as a test case</w:t>
      </w:r>
    </w:p>
    <w:p>
      <w:pPr>
        <w:pStyle w:val="FirstParagraph"/>
      </w:pPr>
      <w:r>
        <w:t xml:space="preserve">Pre-fire thermal dryness is the dynamic predictor class that is most expected to transfer. Static</w:t>
      </w:r>
      <w:r>
        <w:t xml:space="preserve"> </w:t>
      </w:r>
      <w:r>
        <w:t xml:space="preserve">predictors change little between years, so they cannot explain why one summer burned and another</w:t>
      </w:r>
      <w:r>
        <w:t xml:space="preserve"> </w:t>
      </w:r>
      <w:r>
        <w:t xml:space="preserve">did not. Surface state changes, and satellite thermal data give partial access to it (Section 2.1).</w:t>
      </w:r>
      <w:r>
        <w:t xml:space="preserve"> </w:t>
      </w:r>
      <w:r>
        <w:t xml:space="preserve">The link between moisture stress and burning is physical and general. Therefore, if thermal</w:t>
      </w:r>
      <w:r>
        <w:t xml:space="preserve"> </w:t>
      </w:r>
      <w:r>
        <w:t xml:space="preserve">predictors do not transfer, the failure cannot easily be blamed on a local variable. The normalised</w:t>
      </w:r>
      <w:r>
        <w:t xml:space="preserve"> </w:t>
      </w:r>
      <w:r>
        <w:t xml:space="preserve">channels were expected to transfer best, because they should be less affected by temperature</w:t>
      </w:r>
      <w:r>
        <w:t xml:space="preserve"> </w:t>
      </w:r>
      <w:r>
        <w:t xml:space="preserve">differences between regions. They did not transfer better than the absolute channels (Section</w:t>
      </w:r>
      <w:r>
        <w:t xml:space="preserve"> </w:t>
      </w:r>
      <w:r>
        <w:t xml:space="preserve">S1.6).</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with a controlled design. The model, the predictors and the fitting were</w:t>
      </w:r>
      <w:r>
        <w:t xml:space="preserve"> </w:t>
      </w:r>
      <w:r>
        <w:t xml:space="preserve">kept fixed, and only the scored cells were changed. The score fell by</w:t>
      </w:r>
      <w:r>
        <w:t xml:space="preserve"> </w:t>
      </w:r>
      <w:r>
        <w:rPr>
          <w:b/>
          <w:bCs/>
        </w:rPr>
        <w:t xml:space="preserve">0.133 ROC-AUC</w:t>
      </w:r>
      <w:r>
        <w:t xml:space="preserve"> </w:t>
      </w:r>
      <w:r>
        <w:t xml:space="preserve">over seven</w:t>
      </w:r>
      <w:r>
        <w:t xml:space="preserve"> </w:t>
      </w:r>
      <w:r>
        <w:t xml:space="preserve">scars, and by 0.160 with the region as the unit. The loss came from the unburned cells near the</w:t>
      </w:r>
      <w:r>
        <w:t xml:space="preserve"> </w:t>
      </w:r>
      <w:r>
        <w:t xml:space="preserve">fire, not from class balance (Section 4.3). The same test shows that four of our own between-region</w:t>
      </w:r>
      <w:r>
        <w:t xml:space="preserve"> </w:t>
      </w:r>
      <w:r>
        <w:t xml:space="preserve">quantities depend on the study areas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At the burn scar itself,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and gains above</w:t>
      </w:r>
      <w:r>
        <w:t xml:space="preserve"> </w:t>
      </w:r>
      <w:r>
        <w:t xml:space="preserve">about 0.05 were excluded (Section 4.4). The static baseline did not transfer better. On matched</w:t>
      </w:r>
      <w:r>
        <w:t xml:space="preserve"> </w:t>
      </w:r>
      <w:r>
        <w:t xml:space="preserve">areas, transfer stayed</w:t>
      </w:r>
      <w:r>
        <w:t xml:space="preserve"> </w:t>
      </w:r>
      <w:r>
        <w:rPr>
          <w:b/>
          <w:bCs/>
        </w:rPr>
        <w:t xml:space="preserve">0.197</w:t>
      </w:r>
      <w:r>
        <w:t xml:space="preserve"> </w:t>
      </w:r>
      <w:r>
        <w:t xml:space="preserve">below the 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from predictor distance to niche overlap and the agreement of</w:t>
      </w:r>
      <w:r>
        <w:t xml:space="preserve"> </w:t>
      </w:r>
      <w:r>
        <w:t xml:space="preserve">predictor-burning relationships. On the original study areas, no measure predicted transfer</w:t>
      </w:r>
      <w:r>
        <w:t xml:space="preserve"> </w:t>
      </w:r>
      <w:r>
        <w:t xml:space="preserve">(Section 4.6). With ten independent region pairs, this shows a failure to find an ordering, not</w:t>
      </w:r>
      <w:r>
        <w:t xml:space="preserve"> </w:t>
      </w:r>
      <w:r>
        <w:t xml:space="preserve">proof that none exists.</w:t>
      </w:r>
    </w:p>
    <w:p>
      <w:pPr>
        <w:pStyle w:val="BodyText"/>
      </w:pPr>
      <w:r>
        <w:t xml:space="preserve">Label-free domain adaptation</w:t>
      </w:r>
      <w:r>
        <w:t xml:space="preserve"> </w:t>
      </w:r>
      <w:r>
        <w:t xml:space="preserve">(Sun et al. 2016)</w:t>
      </w:r>
      <w:r>
        <w:t xml:space="preserve"> </w:t>
      </w:r>
      <w:r>
        <w:t xml:space="preserve">also did not improve transfer. The analysis code,</w:t>
      </w:r>
      <w:r>
        <w:t xml:space="preserve"> </w:t>
      </w:r>
      <w:r>
        <w:t xml:space="preserve">configuration and frozen outputs are public, so the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did not transfer</w:t>
      </w:r>
      <w:r>
        <w:t xml:space="preserve"> </w:t>
      </w:r>
      <w:r>
        <w:t xml:space="preserve">well between 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rank it as the most important reason to be careful when AUC</w:t>
      </w:r>
      <w:r>
        <w:t xml:space="preserve"> </w:t>
      </w:r>
      <w:r>
        <w:t xml:space="preserve">values are compared. A larger area adds more easy absences and raises the score.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at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All five are large,</w:t>
      </w:r>
      <w:r>
        <w:t xml:space="preserve"> </w:t>
      </w:r>
      <w:r>
        <w:t xml:space="preserve">well-documented fires. They were not sampled from a defined population of fires, so the results</w:t>
      </w:r>
      <w:r>
        <w:t xml:space="preserve"> </w:t>
      </w:r>
      <w:r>
        <w:t xml:space="preserve">describe these events. Each region is a rectangle in EPSG:4326 around the fire. It was not clipped to</w:t>
      </w:r>
      <w:r>
        <w:t xml:space="preserve"> </w:t>
      </w:r>
      <w:r>
        <w:t xml:space="preserve">the fire perimeter, so unburned cells around each fire form the negative class. The rectangles were</w:t>
      </w:r>
      <w:r>
        <w:t xml:space="preserve"> </w:t>
      </w:r>
      <w:r>
        <w:t xml:space="preserve">not all fixed before any outcome was seen; the record for each region is given in Section S3.3 and</w:t>
      </w:r>
      <w:r>
        <w:t xml:space="preserve"> </w:t>
      </w:r>
      <w:r>
        <w:t xml:space="preserve">Table S19. The North Evia rectangle was extended after the first one showed a very high burned</w:t>
      </w:r>
      <w:r>
        <w:t xml:space="preserve"> </w:t>
      </w:r>
      <w:r>
        <w:t xml:space="preserve">fraction; the first rectangle is kept as a sensitivity arm (Section S1.1). A sixth region, Kozan</w:t>
      </w:r>
      <w:r>
        <w:t xml:space="preserve"> </w:t>
      </w:r>
      <w:r>
        <w:t xml:space="preserve">2023, was used as a negative control and was excluded by the gate 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are used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w:t>
      </w:r>
      <w:r>
        <w:t xml:space="preserve">, through</w:t>
      </w:r>
      <w:r>
        <w:t xml:space="preserve"> </w:t>
      </w:r>
      <w:r>
        <w:t xml:space="preserve">Google Earth Engine</w:t>
      </w:r>
      <w:r>
        <w:t xml:space="preserve"> </w:t>
      </w:r>
      <w:r>
        <w:t xml:space="preserve">(Gorelick et al. 2017)</w:t>
      </w:r>
      <w:r>
        <w:t xml:space="preserve">. Its errors</w:t>
      </w:r>
      <w:r>
        <w:t xml:space="preserve"> </w:t>
      </w:r>
      <w:r>
        <w:t xml:space="preserve">(Boschetti et al. 2019)</w:t>
      </w:r>
      <w:r>
        <w:t xml:space="preserve"> </w:t>
      </w:r>
      <w:r>
        <w:t xml:space="preserve">limit every model in this study.</w:t>
      </w:r>
      <w:r>
        <w:t xml:space="preserve"> </w:t>
      </w:r>
      <w:r>
        <w:t xml:space="preserve">The analysis grid is built from the 30 m reference grid of the processing pipeline in blocks of</w:t>
      </w:r>
      <w:r>
        <w:t xml:space="preserve"> </w:t>
      </w:r>
      <w:r>
        <w:t xml:space="preserve">17 × 17 pixels. A cell is about 510 m north to south and 390 to 407 m east to west, with an area of</w:t>
      </w:r>
      <w:r>
        <w:t xml:space="preserve"> </w:t>
      </w:r>
      <w:r>
        <w:t xml:space="preserve">0.199 to 0.208 km² (a MODIS cell is 0.215 km²). A cell is labelled burned when any of its pixels has</w:t>
      </w:r>
      <w:r>
        <w:t xml:space="preserve"> </w:t>
      </w:r>
      <w:r>
        <w:t xml:space="preserve">a burn date in the label window. This rule can widen a scar by up to one cell at its edge. Water</w:t>
      </w:r>
      <w:r>
        <w:t xml:space="preserve"> </w:t>
      </w:r>
      <w:r>
        <w:t xml:space="preserve">cells are removed by the population filter of 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and the within-region gain stayed positive in all regions (Section</w:t>
      </w:r>
      <w:r>
        <w:t xml:space="preserve"> </w:t>
      </w:r>
      <w:r>
        <w:t xml:space="preserve">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It raises the number of burned cells</w:t>
      </w:r>
      <w:r>
        <w:t xml:space="preserve"> </w:t>
      </w:r>
      <w:r>
        <w:t xml:space="preserve">in the primary population from 784 to 2,935.</w:t>
      </w:r>
      <w:r>
        <w:t xml:space="preserve"> </w:t>
      </w:r>
      <w:r>
        <w:t xml:space="preserve">“Original label”</w:t>
      </w:r>
      <w:r>
        <w:t xml:space="preserve"> </w:t>
      </w:r>
      <w:r>
        <w:t xml:space="preserve">in this paper means the label before</w:t>
      </w:r>
      <w:r>
        <w:t xml:space="preserve"> </w:t>
      </w:r>
      <w:r>
        <w:t xml:space="preserve">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It is rejected as a cropland</w:t>
      </w:r>
      <w:r>
        <w:t xml:space="preserve"> </w:t>
      </w:r>
      <w:r>
        <w:t xml:space="preserve">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from Landsat 8</w:t>
      </w:r>
      <w:r>
        <w:t xml:space="preserve"> </w:t>
      </w:r>
      <w:r>
        <w:t xml:space="preserve">surface temperature. They are screened for quality and composited as the median of the predictor</w:t>
      </w:r>
      <w:r>
        <w:t xml:space="preserve"> </w:t>
      </w:r>
      <w:r>
        <w:t xml:space="preserve">window. The six channels are current LST, its anomaly against the four baseline years, the TVDI</w:t>
      </w:r>
      <w:r>
        <w:t xml:space="preserve"> </w:t>
      </w:r>
      <w:r>
        <w:t xml:space="preserve">(Sandholt et al. 2002)</w:t>
      </w:r>
      <w:r>
        <w:t xml:space="preserve">, its difference from the baseline years, a downscaled LST and a fused LST. The last two use MODIS MOD11A1</w:t>
      </w:r>
      <w:r>
        <w:t xml:space="preserve"> </w:t>
      </w:r>
      <w:r>
        <w:t xml:space="preserve">v061 daily LST</w:t>
      </w:r>
      <w:r>
        <w:t xml:space="preserve"> </w:t>
      </w:r>
      <w:r>
        <w:t xml:space="preserve">(Wan et al. 2021)</w:t>
      </w:r>
      <w:r>
        <w:t xml:space="preserve"> </w:t>
      </w:r>
      <w:r>
        <w:t xml:space="preserve">to fill gaps in Landsat (0.11 % to 9.70 % of pixels, depending on the</w:t>
      </w:r>
      <w:r>
        <w:t xml:space="preserve"> </w:t>
      </w:r>
      <w:r>
        <w:t xml:space="preserve">region). TVDI edges are fitted inside each area and window, so a TVDI value does not mean the same</w:t>
      </w:r>
      <w:r>
        <w:t xml:space="preserve"> </w:t>
      </w:r>
      <w:r>
        <w:t xml:space="preserve">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Two principal components explain 92 % to 98 % of their variance</w:t>
      </w:r>
      <w:r>
        <w:t xml:space="preserve"> </w:t>
      </w:r>
      <w:r>
        <w:t xml:space="preserve">(</w:t>
      </w:r>
      <w:r>
        <w:rPr>
          <w:rStyle w:val="VerbatimChar"/>
        </w:rPr>
        <w:t xml:space="preserve">paper/labelfix_rerun/labels/r4_dimensionality.json</w:t>
      </w:r>
      <w:r>
        <w:t xml:space="preserve">). Counts over the nine numeric predictors are</w:t>
      </w:r>
      <w:r>
        <w:t xml:space="preserve"> </w:t>
      </w:r>
      <w:r>
        <w:t xml:space="preserve">therefore read with care.</w:t>
      </w:r>
    </w:p>
    <w:p>
      <w:pPr>
        <w:pStyle w:val="BodyText"/>
      </w:pPr>
      <w:r>
        <w:rPr>
          <w:b/>
          <w:bCs/>
        </w:rPr>
        <w:t xml:space="preserve">Land cover.</w:t>
      </w:r>
      <w:r>
        <w:t xml:space="preserve"> </w:t>
      </w:r>
      <w:r>
        <w:t xml:space="preserve">WorldCover v200 is built from 2021 images. This is after the fire for the four 2021</w:t>
      </w:r>
      <w:r>
        <w:t xml:space="preserve"> </w:t>
      </w:r>
      <w:r>
        <w:t xml:space="preserve">events. Burned land may therefore be under-represented in its pre-fire vegetation class. The wide</w:t>
      </w:r>
      <w:r>
        <w:t xml:space="preserve"> </w:t>
      </w:r>
      <w:r>
        <w:t xml:space="preserve">gate margins (Section 4.1) make it unlikely that this changes a gate decision.</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Missing thermal values (6 % to 58 % of valid</w:t>
      </w:r>
      <w:r>
        <w:t xml:space="preserve"> </w:t>
      </w:r>
      <w:r>
        <w:t xml:space="preserve">cells, depending on the region) are filled inside the model pipeline (Section 3.6). The</w:t>
      </w:r>
      <w:r>
        <w:t xml:space="preserve"> </w:t>
      </w:r>
      <w:r>
        <w:rPr>
          <w:b/>
          <w:bCs/>
        </w:rPr>
        <w:t xml:space="preserve">primary</w:t>
      </w:r>
      <w:r>
        <w:t xml:space="preserve"> </w:t>
      </w:r>
      <w:r>
        <w:t xml:space="preserve">population contains cells in which tree, shrub and grass cover together reach 0.50. Cropland and</w:t>
      </w:r>
      <w:r>
        <w:t xml:space="preserve"> </w:t>
      </w:r>
      <w:r>
        <w:t xml:space="preserve">water are therefore excluded. A</w:t>
      </w:r>
      <w:r>
        <w:t xml:space="preserve"> </w:t>
      </w:r>
      <w:r>
        <w:rPr>
          <w:b/>
          <w:bCs/>
        </w:rPr>
        <w:t xml:space="preserve">secondary</w:t>
      </w:r>
      <w:r>
        <w:t xml:space="preserve"> </w:t>
      </w:r>
      <w:r>
        <w:t xml:space="preserve">population of all valid cells is used only as a</w:t>
      </w:r>
      <w:r>
        <w:t xml:space="preserve"> </w:t>
      </w:r>
      <w:r>
        <w:t xml:space="preserve">within-region sensitivity arm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arms of Section 3.9 are the only exception. The classifier is a</w:t>
      </w:r>
      <w:r>
        <w:t xml:space="preserve"> </w:t>
      </w:r>
      <w:r>
        <w:t xml:space="preserve">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 same settings are used in every arm.</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(about 1, 5 and 10 km) are reported.</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w:t>
      </w:r>
    </w:p>
    <w:p>
      <w:pPr>
        <w:pStyle w:val="BodyText"/>
      </w:pPr>
      <w:r>
        <w:t xml:space="preserve">Uncertainty is estimated with a spatial-block bootstrap: blocks are resampled with replacement,</w:t>
      </w:r>
      <w:r>
        <w:t xml:space="preserve"> </w:t>
      </w:r>
      <w:r>
        <w:t xml:space="preserve">1000 times, with seed 42, and the 2.5 and 97.5 percentiles give the interval. Differences are paired</w:t>
      </w:r>
      <w:r>
        <w:t xml:space="preserve"> </w:t>
      </w:r>
      <w:r>
        <w:t xml:space="preserve">within each replicate. The block size is given with every result. Quantities with one value per</w:t>
      </w:r>
      <w:r>
        <w:t xml:space="preserve"> </w:t>
      </w:r>
      <w:r>
        <w:t xml:space="preserve">direction are resampled over the ten region pairs. This is the</w:t>
      </w:r>
      <w:r>
        <w:t xml:space="preserve"> </w:t>
      </w:r>
      <w:r>
        <w:rPr>
          <w:b/>
          <w:bCs/>
        </w:rPr>
        <w:t xml:space="preserve">primary resampling unit</w:t>
      </w:r>
      <w:r>
        <w:t xml:space="preserve"> </w:t>
      </w:r>
      <w:r>
        <w:t xml:space="preserve">for</w:t>
      </w:r>
      <w:r>
        <w:t xml:space="preserve"> </w:t>
      </w:r>
      <w:r>
        <w:t xml:space="preserve">direction-level intervals; other units are given in Section S1.23. Quantities with one value per</w:t>
      </w:r>
      <w:r>
        <w:t xml:space="preserve"> </w:t>
      </w:r>
      <w:r>
        <w:t xml:space="preserve">scar or target region get a Student</w:t>
      </w:r>
      <w:r>
        <w:t xml:space="preserve"> </w:t>
      </w:r>
      <w:r>
        <w:rPr>
          <w:i/>
          <w:iCs/>
        </w:rPr>
        <w:t xml:space="preserve">t</w:t>
      </w:r>
      <w:r>
        <w:t xml:space="preserve"> </w:t>
      </w:r>
      <w:r>
        <w:t xml:space="preserve">interval. The effective sample is therefore ten pairs or five</w:t>
      </w:r>
      <w:r>
        <w:t xml:space="preserve"> </w:t>
      </w:r>
      <w:r>
        <w:t xml:space="preserve">regions for direction-level intervals, and at most seven scars from three regions for scar-level</w:t>
      </w:r>
      <w:r>
        <w:t xml:space="preserve"> </w:t>
      </w:r>
      <w:r>
        <w:t xml:space="preserve">intervals.</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blind-domain-adaptation"/>
    <w:p>
      <w:pPr>
        <w:pStyle w:val="Heading2"/>
      </w:pPr>
      <w:r>
        <w:t xml:space="preserve">3.9 Label-blind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Only target feature statistics, never target labels, are used. The value of λ was not</w:t>
      </w:r>
      <w:r>
        <w:t xml:space="preserve"> </w:t>
      </w:r>
      <w:r>
        <w:t xml:space="preserve">chosen by performance; its effect is reported in Section S1.2. Details are in Section S3.8.</w:t>
      </w:r>
    </w:p>
    <w:bookmarkEnd w:id="35"/>
    <w:bookmarkStart w:id="36"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shows a direction, not weakness. A reversal between two regions</w:t>
      </w:r>
      <w:r>
        <w:t xml:space="preserve"> </w:t>
      </w:r>
      <w:r>
        <w:t xml:space="preserve">is called supported only when the two values are on opposite sides of 0.5</w:t>
      </w:r>
      <w:r>
        <w:t xml:space="preserve"> </w:t>
      </w:r>
      <w:r>
        <w:rPr>
          <w:b/>
          <w:bCs/>
        </w:rPr>
        <w:t xml:space="preserve">and</w:t>
      </w:r>
      <w:r>
        <w:t xml:space="preserve"> </w:t>
      </w:r>
      <w:r>
        <w:t xml:space="preserve">each region’s own</w:t>
      </w:r>
      <w:r>
        <w:t xml:space="preserve"> </w:t>
      </w:r>
      <w:r>
        <w:t xml:space="preserve">interval excludes 0.5. This is a per-comparison criterion. A Holm correction over each family of</w:t>
      </w:r>
      <w:r>
        <w:t xml:space="preserve"> </w:t>
      </w:r>
      <w:r>
        <w:t xml:space="preserve">feature-by-pair comparisons is also reported (Section S1.20).</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 and</w:t>
      </w:r>
      <w:r>
        <w:rPr>
          <w:b/>
          <w:bCs/>
        </w:rPr>
        <w:t xml:space="preserve"> </w:t>
      </w:r>
      <w:r>
        <w:rPr>
          <w:b/>
          <w:bCs/>
        </w:rPr>
        <w:t xml:space="preserve">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All its unburned cells are next to the fire. Four evaluations use it</w:t>
      </w:r>
      <w:r>
        <w:t xml:space="preserve"> </w:t>
      </w:r>
      <w:r>
        <w:t xml:space="preserve">(Table 2). A scores the out-of-fold predictions of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therefore the same model scored on a</w:t>
      </w:r>
      <w:r>
        <w:t xml:space="preserve"> </w:t>
      </w:r>
      <w:r>
        <w:t xml:space="preserve">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 on</w:t>
      </w:r>
      <w:r>
        <w:t xml:space="preserve"> </w:t>
      </w:r>
      <m:oMath>
        <m:sSub>
          <m:e>
            <m:r>
              <m:t>H</m:t>
            </m:r>
          </m:e>
          <m:sub>
            <m:r>
              <m:t>K</m:t>
            </m:r>
          </m:sub>
        </m:sSub>
      </m:oMath>
      <w:r>
        <w:t xml:space="preserve">. Three controls reuse the predictions of A: a prevalence-matched sample, a negative-pool swap</w:t>
      </w:r>
      <w:r>
        <w:t xml:space="preserve"> </w:t>
      </w:r>
      <w:r>
        <w:t xml:space="preserve">and a positive-pool swap (Section S1.9.3).</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collar frame is defined from burned cells.</w:t>
      </w:r>
      <w:r>
        <w:t xml:space="preserve"> </w:t>
      </w:r>
      <w:r>
        <w:t xml:space="preserve">It is used to show how the evaluation area</w:t>
      </w:r>
      <w:r>
        <w:t xml:space="preserve"> </w:t>
      </w:r>
      <w:r>
        <w:t xml:space="preserve">changes the metric. It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The random-forest seed is fixed, so</w:t>
      </w:r>
      <w:r>
        <w:t xml:space="preserve"> </w:t>
      </w:r>
      <w:r>
        <w:t xml:space="preserve">direction-level intervals are conditional on one fitted source model. Across five bootstrap seeds,</w:t>
      </w:r>
      <w:r>
        <w:t xml:space="preserve"> </w:t>
      </w:r>
      <w:r>
        <w:t xml:space="preserve">every transfer verdict at 1 km blocking is stable; at 5 km, three verdicts change (Section S1.21).</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w:t>
      </w:r>
      <w:r>
        <w:t xml:space="preserve"> </w:t>
      </w:r>
      <w:r>
        <w:t xml:space="preserve">(</w:t>
      </w:r>
      <w:r>
        <w:rPr>
          <w:rStyle w:val="VerbatimChar"/>
        </w:rPr>
        <w:t xml:space="preserve">paper/labelfix_rerun/round7/sklearn152/</w:t>
      </w:r>
      <w:r>
        <w:t xml:space="preserve">). Exact reproduction therefore needs the archived</w:t>
      </w:r>
      <w:r>
        <w:t xml:space="preserve"> </w:t>
      </w:r>
      <w:r>
        <w:t xml:space="preserve">environment. The label correction and the re-run were done by the corresponding author; they were</w:t>
      </w:r>
      <w:r>
        <w:t xml:space="preserve"> </w:t>
      </w:r>
      <w:r>
        <w:t xml:space="preserve">not repeated independently by the author of the pipeline. Where a result depends on a design choice,</w:t>
      </w:r>
      <w:r>
        <w:t xml:space="preserve"> </w:t>
      </w:r>
      <w:r>
        <w:t xml:space="preserve">the dependence is reported (Sections S1 and S3.6). Analyses added after the main results are</w:t>
      </w:r>
      <w:r>
        <w:t xml:space="preserve"> </w:t>
      </w:r>
      <w:r>
        <w:t xml:space="preserve">listed in Section S1.23.</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run simulated reviews, and to draft and edit text. Every</w:t>
      </w:r>
      <w:r>
        <w:t xml:space="preserve"> </w:t>
      </w:r>
      <w:r>
        <w:t xml:space="preserve">input is identified by SHA-256, and reported numbers are checked against tracked outputs by</w:t>
      </w:r>
      <w:r>
        <w:t xml:space="preserve"> </w:t>
      </w:r>
      <w:r>
        <w:rPr>
          <w:rStyle w:val="VerbatimChar"/>
        </w:rPr>
        <w:t xml:space="preserve">paper/figures/check_all.py</w:t>
      </w:r>
      <w:r>
        <w:t xml:space="preserve">. The corresponding 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Season, year and population all</w:t>
      </w:r>
      <w:r>
        <w:t xml:space="preserve"> </w:t>
      </w:r>
      <w:r>
        <w:t xml:space="preserve">differ between the two arms, because the 2022 arm is defined by removing the 2021 scar (Sections</w:t>
      </w:r>
      <w:r>
        <w:t xml:space="preserve"> </w:t>
      </w:r>
      <w:r>
        <w:t xml:space="preserve">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and the negative control failed it. Kozan 2023</w:t>
      </w:r>
      <w:r>
        <w:t xml:space="preserve"> </w:t>
      </w:r>
      <w:r>
        <w:t xml:space="preserve">had a natural-vegetation fraction of 0.017 against the threshold of 0.50 and was excluded. The five</w:t>
      </w:r>
      <w:r>
        <w:t xml:space="preserve"> </w:t>
      </w:r>
      <w:r>
        <w:t xml:space="preserve">admitted regions had fractions of 0.723 to 0.991. The gate therefore separates the cases clearly,</w:t>
      </w:r>
      <w:r>
        <w:t xml:space="preserve"> </w:t>
      </w:r>
      <w:r>
        <w:t xml:space="preserve">although one negative control cannot show that it always works. The extended North Evia rectangle</w:t>
      </w:r>
      <w:r>
        <w:t xml:space="preserve"> </w:t>
      </w:r>
      <w:r>
        <w:t xml:space="preserve">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the point estimates stayed positive, from +0.047 to +0.154, but they</w:t>
      </w:r>
      <w:r>
        <w:t xml:space="preserve"> </w:t>
      </w:r>
      <w:r>
        <w:t xml:space="preserve">rest on only 6 to 33 blocks that contain burned cells, so they are indicative. The gain also stayed</w:t>
      </w:r>
      <w:r>
        <w:t xml:space="preserve"> </w:t>
      </w:r>
      <w:r>
        <w:t xml:space="preserve">positive, with interval support in all five regions, when the predictor window was closed up to two</w:t>
      </w:r>
      <w:r>
        <w:t xml:space="preserve"> </w:t>
      </w:r>
      <w:r>
        <w:t xml:space="preserve">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2/10/20 cells ≈ 1/5/10 km. Baseline and Thermal columns are</w:t>
      </w:r>
      <w:r>
        <w:t xml:space="preserve"> </w:t>
      </w:r>
      <w:r>
        <w:t xml:space="preserve">ROC-AUC; the 95 % CI belongs to ΔAUC. Source: the pipeline’s step8b/step8c outputs (block 2) and</w:t>
      </w:r>
      <w:r>
        <w:t xml:space="preserve"> </w:t>
      </w:r>
      <w:r>
        <w:t xml:space="preserve">its large-block robustness outputs (blocks 10 and 20); Manavgat from</w:t>
      </w:r>
      <w:r>
        <w:t xml:space="preserve"> </w:t>
      </w:r>
      <w:r>
        <w:rPr>
          <w:rStyle w:val="VerbatimChar"/>
        </w:rPr>
        <w:t xml:space="preserve">paper/labelfix_rerun/pipeline/</w:t>
      </w:r>
      <w:r>
        <w:t xml:space="preserve">.</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The 10-cell row, with 16 to 70 blocks containing burned cells in every region, is the</w:t>
      </w:r>
      <w:r>
        <w:t xml:space="preserve"> </w:t>
      </w:r>
      <w:r>
        <w:t xml:space="preserve">coarsest blocking that this design supports. Block counts are 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No transfer is</w:t>
      </w:r>
      <w:r>
        <w:t xml:space="preserve"> </w:t>
      </w:r>
      <w:r>
        <w:t xml:space="preserve">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group of at least 50 burned cells</w:t>
      </w:r>
      <w:r>
        <w:t xml:space="preserve"> </w:t>
      </w:r>
      <w:r>
        <w:t xml:space="preserve">with all cells within 2 km of it.</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held-out scar area; row A is the whole region and is shown to make the</w:t>
      </w:r>
      <w:r>
        <w:t xml:space="preserve"> </w:t>
      </w:r>
      <w:r>
        <w:t xml:space="preserve">mismatch visible. Means and Student</w:t>
      </w:r>
      <w:r>
        <w:t xml:space="preserve"> </w:t>
      </w:r>
      <w:r>
        <w:rPr>
          <w:i/>
          <w:iCs/>
        </w:rPr>
        <w:t xml:space="preserve">t</w:t>
      </w:r>
      <w:r>
        <w:t xml:space="preserve"> </w:t>
      </w:r>
      <w:r>
        <w:t xml:space="preserve">intervals over the seven scars that admit row C (four in</w:t>
      </w:r>
      <w:r>
        <w:t xml:space="preserve"> </w:t>
      </w:r>
      <w:r>
        <w:t xml:space="preserve">Muğla, two in Montiferru, one in Evia).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loses 0.133 AUC when it is scored at the fire.</w:t>
      </w:r>
      <w:r>
        <w:t xml:space="preserve"> </w:t>
      </w:r>
      <w:r>
        <w:t xml:space="preserve">Rows A and B use one model and one</w:t>
      </w:r>
      <w:r>
        <w:t xml:space="preserve"> </w:t>
      </w:r>
      <w:r>
        <w:t xml:space="preserve">set of predictions. Only the scored cells differ. This change alone costs</w:t>
      </w:r>
      <w:r>
        <w:t xml:space="preserve"> </w:t>
      </w:r>
      <w:r>
        <w:rPr>
          <w:b/>
          <w:bCs/>
        </w:rPr>
        <w:t xml:space="preserve">0.133 [+0.060, +0.207]</w:t>
      </w:r>
      <w:r>
        <w:t xml:space="preserve">,</w:t>
      </w:r>
      <w:r>
        <w:t xml:space="preserve"> </w:t>
      </w:r>
      <w:r>
        <w:t xml:space="preserve">about three fifths of the 0.227 [+0.147, +0.308] fall from A to C. Row A is repeated across the scars</w:t>
      </w:r>
      <w:r>
        <w:t xml:space="preserve"> </w:t>
      </w:r>
      <w:r>
        <w:t xml:space="preserve">of a region, so the scar-level interval is too narrow. With the region as the unit, the cost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w:t>
      </w:r>
      <w:r>
        <w:t xml:space="preserve"> </w:t>
      </w:r>
      <w:r>
        <w:t xml:space="preserve">five regions (</w:t>
      </w:r>
      <w:r>
        <w:rPr>
          <w:rStyle w:val="VerbatimChar"/>
        </w:rPr>
        <w:t xml:space="preserve">paper/labelfix_rerun/round7/round7_summary.json</w:t>
      </w:r>
      <w:r>
        <w:t xml:space="preserve">). With the region as the unit, the</w:t>
      </w:r>
      <w:r>
        <w:t xml:space="preserve"> </w:t>
      </w:r>
      <w:r>
        <w:t xml:space="preserve">fall from A to C is +0.266 [−0.022, +0.553].</w:t>
      </w:r>
      <w:r>
        <w:t xml:space="preserve"> </w:t>
      </w:r>
      <w:r>
        <w:rPr>
          <w:b/>
          <w:bCs/>
        </w:rPr>
        <w:t xml:space="preserve">Only the frame cost is established at the region</w:t>
      </w:r>
      <w:r>
        <w:rPr>
          <w:b/>
          <w:bCs/>
        </w:rPr>
        <w:t xml:space="preserve"> </w:t>
      </w:r>
      <w:r>
        <w:rPr>
          <w:b/>
          <w:bCs/>
        </w:rPr>
        <w:t xml:space="preserve">level.</w:t>
      </w:r>
      <w:r>
        <w:t xml:space="preserve"> </w:t>
      </w:r>
      <w:r>
        <w:t xml:space="preserve">A region-wide score is therefore an upper bound for the same model at the fire.</w:t>
      </w:r>
    </w:p>
    <w:p>
      <w:pPr>
        <w:pStyle w:val="BodyText"/>
      </w:pPr>
      <w:r>
        <w:rPr>
          <w:b/>
          <w:bCs/>
        </w:rPr>
        <w:t xml:space="preserve">The cost comes from the unburned cells.</w:t>
      </w:r>
      <w:r>
        <w:t xml:space="preserve"> </w:t>
      </w:r>
      <w:r>
        <w:t xml:space="preserve">Over nine scars, scoring the predictions on a random</w:t>
      </w:r>
      <w:r>
        <w:t xml:space="preserve"> </w:t>
      </w:r>
      <w:r>
        <w:t xml:space="preserve">sample with the same burned fraction as the scar area changed nothing (−0.002 [−0.005, +0.001]). This</w:t>
      </w:r>
      <w:r>
        <w:t xml:space="preserve"> </w:t>
      </w:r>
      <w:r>
        <w:t xml:space="preserve">is expected, because ROC-AUC does not depend on class balance. Scoring them on the scar area cost</w:t>
      </w:r>
      <w:r>
        <w:t xml:space="preserve"> </w:t>
      </w:r>
      <w:r>
        <w:t xml:space="preserve">+0.149 [+0.087, +0.211]. Replacing only the unburned cells explained 0.139 [0.098, 0.181] of this, and</w:t>
      </w:r>
      <w:r>
        <w:t xml:space="preserve"> </w:t>
      </w:r>
      <w:r>
        <w:t xml:space="preserve">replacing only the burned cells −0.002 [−0.055, +0.051] (Section S1.9.1). Unburned cells next to a</w:t>
      </w:r>
      <w:r>
        <w:t xml:space="preserve"> </w:t>
      </w:r>
      <w:r>
        <w:t xml:space="preserve">fire are similar to the burned cells, while a whole region also contains easy distant cells.</w:t>
      </w:r>
    </w:p>
    <w:p>
      <w:pPr>
        <w:pStyle w:val="BodyText"/>
      </w:pPr>
      <w:r>
        <w:rPr>
          <w:b/>
          <w:bCs/>
        </w:rPr>
        <w:t xml:space="preserve">Withholding the fire and moving 2,800 km cost nothing measurable.</w:t>
      </w:r>
      <w:r>
        <w:t xml:space="preserve"> </w:t>
      </w:r>
      <w:r>
        <w:t xml:space="preserve">B minus C, the effect of</w:t>
      </w:r>
      <w:r>
        <w:t xml:space="preserve"> </w:t>
      </w:r>
      <w:r>
        <w:t xml:space="preserve">withholding the scar, is</w:t>
      </w:r>
      <w:r>
        <w:t xml:space="preserve"> </w:t>
      </w:r>
      <w:r>
        <w:rPr>
          <w:b/>
          <w:bCs/>
        </w:rPr>
        <w:t xml:space="preserve">+0.094 [−0.012, +0.200]</w:t>
      </w:r>
      <w:r>
        <w:t xml:space="preserve">. C minus D, the effect of using a model from</w:t>
      </w:r>
      <w:r>
        <w:t xml:space="preserve"> </w:t>
      </w:r>
      <w:r>
        <w:t xml:space="preserve">306 to 2,802 km away, is</w:t>
      </w:r>
      <w:r>
        <w:t xml:space="preserve"> </w:t>
      </w:r>
      <w:r>
        <w:rPr>
          <w:b/>
          <w:bCs/>
        </w:rPr>
        <w:t xml:space="preserve">−0.007 [−0.070, +0.057]</w:t>
      </w:r>
      <w:r>
        <w:t xml:space="preserve">. Both intervals include zero, and both arms are</w:t>
      </w:r>
      <w:r>
        <w:t xml:space="preserve"> </w:t>
      </w:r>
      <w:r>
        <w:t xml:space="preserve">close to chance. With seven scars, this design can only bound a fire-specific effect at about 0.20.</w:t>
      </w:r>
    </w:p>
    <w:p>
      <w:pPr>
        <w:pStyle w:val="BodyText"/>
      </w:pPr>
      <w:r>
        <w:rPr>
          <w:b/>
          <w:bCs/>
        </w:rPr>
        <w:t xml:space="preserve">At the fire, the thermal gain is not established.</w:t>
      </w:r>
      <w:r>
        <w:t xml:space="preserve"> </w:t>
      </w:r>
      <w:r>
        <w:t xml:space="preserve">The same evaluations were applied to the</w:t>
      </w:r>
      <w:r>
        <w:t xml:space="preserve"> </w:t>
      </w:r>
      <w:r>
        <w:t xml:space="preserve">thermal gain at 5 km blocking. In the three regions of Table 2 the region-wide gain is +0.095. On the</w:t>
      </w:r>
      <w:r>
        <w:t xml:space="preserve"> </w:t>
      </w:r>
      <w:r>
        <w:t xml:space="preserve">scar area, the same predictions give +0.021 [−0.059, +0.100]. Leave-one-scar-out gives +0.024</w:t>
      </w:r>
      <w:r>
        <w:t xml:space="preserve"> </w:t>
      </w:r>
      <w:r>
        <w:t xml:space="preserve">[−0.040, +0.089], and a foreign model +0.008 [−0.021, +0.038]. The fall from +0.095 therefore happens</w:t>
      </w:r>
      <w:r>
        <w:t xml:space="preserve"> </w:t>
      </w:r>
      <w:r>
        <w:t xml:space="preserve">when the frame changes, not when the training data change (Section 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w:t>
      </w:r>
      <w:r>
        <w:t xml:space="preserve"> </w:t>
      </w:r>
      <w:r>
        <w:t xml:space="preserve">on the original areas. Mean transfer rose from 0.527 to 0.589, and the number of directions below</w:t>
      </w:r>
      <w:r>
        <w:t xml:space="preserve"> </w:t>
      </w:r>
      <w:r>
        <w:t xml:space="preserve">chance fell from seven to five. The thermal gain rose from +0.007 to +0.024. The static baseline rose</w:t>
      </w:r>
      <w:r>
        <w:t xml:space="preserve"> </w:t>
      </w:r>
      <w:r>
        <w:t xml:space="preserve">with it, from 0.519 to 0.565.</w:t>
      </w:r>
    </w:p>
    <w:p>
      <w:pPr>
        <w:pStyle w:val="BodyText"/>
        <w:keepNext/>
      </w:pPr>
      <w:r>
        <w:rPr>
          <w:b/>
          <w:bCs/>
        </w:rPr>
        <w:t xml:space="preserve">Table 3. Cross-region transfer as drawn and on the equalised collars.</w:t>
      </w:r>
      <w:r>
        <w:t xml:space="preserve"> </w:t>
      </w:r>
      <w:r>
        <w:t xml:space="preserve">Twenty ordered</w:t>
      </w:r>
      <w:r>
        <w:t xml:space="preserve"> </w:t>
      </w:r>
      <w:r>
        <w:t xml:space="preserve">directions, primary population, thermal feature set unless stated. Support counts use the 10-cell</w:t>
      </w:r>
      <w:r>
        <w:t xml:space="preserve"> </w:t>
      </w:r>
      <w:r>
        <w:t xml:space="preserve">(~5 km) target-block bootstrap; the paired contribution Δ (thermal minus baseline) uses the</w:t>
      </w:r>
      <w:r>
        <w:t xml:space="preserve"> </w:t>
      </w:r>
      <w:r>
        <w:t xml:space="preserve">pair-cluster bootstrap, 1000 replicates. W − T is the within-region thermal increment minus the</w:t>
      </w:r>
      <w:r>
        <w:t xml:space="preserve"> </w:t>
      </w:r>
      <w:r>
        <w:t xml:space="preserve">transfer increment, averaged by target region, with a Student</w:t>
      </w:r>
      <w:r>
        <w:t xml:space="preserve"> </w:t>
      </w:r>
      <w:r>
        <w:rPr>
          <w:i/>
          <w:iCs/>
        </w:rPr>
        <w:t xml:space="preserve">t</w:t>
      </w:r>
      <w:r>
        <w:t xml:space="preserve"> </w:t>
      </w:r>
      <w:r>
        <w:t xml:space="preserve">interval over the five targets.</w:t>
      </w:r>
      <w:r>
        <w:t xml:space="preserve"> </w:t>
      </w:r>
      <w:r>
        <w:t xml:space="preserve">Sources:</w:t>
      </w:r>
      <w:r>
        <w:t xml:space="preserve"> </w:t>
      </w:r>
      <w:r>
        <w:rPr>
          <w:rStyle w:val="VerbatimChar"/>
        </w:rPr>
        <w:t xml:space="preserve">paper/labelfix_rerun/round5/collar/aoi_frame_transfer.csv</w:t>
      </w:r>
      <w:r>
        <w:t xml:space="preserve">,</w:t>
      </w:r>
      <w:r>
        <w:t xml:space="preserve"> </w:t>
      </w:r>
      <w:r>
        <w:rPr>
          <w:rStyle w:val="VerbatimChar"/>
        </w:rPr>
        <w:t xml:space="preserve">paper/labelfix_rerun/code/equalised_delta_interval.json</w:t>
      </w:r>
      <w:r>
        <w:t xml:space="preserve">,</w:t>
      </w:r>
      <w:r>
        <w:t xml:space="preserve"> </w:t>
      </w:r>
      <w:r>
        <w:rPr>
          <w:rStyle w:val="VerbatimChar"/>
        </w:rPr>
        <w:t xml:space="preserve">paper/labelfix_rerun/inference/equivalence.json</w:t>
      </w:r>
      <w:r>
        <w:t xml:space="preserve">.</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still</w:t>
      </w:r>
      <w:r>
        <w:t xml:space="preserve"> </w:t>
      </w:r>
      <w:r>
        <w:t xml:space="preserve">includes zero under the primary resampling unit. Two of the five other units exclude zero</w:t>
      </w:r>
      <w:r>
        <w:t xml:space="preserve"> </w:t>
      </w:r>
      <w:r>
        <w:t xml:space="preserve">(clustering by target or by source region; Section S1.23). An equivalence test shows that the gain is</w:t>
      </w:r>
      <w:r>
        <w:t xml:space="preserve"> </w:t>
      </w:r>
      <w:r>
        <w:t xml:space="preserve">within ±0.05 of zero under four of five units, and a gain above 0.047 is not supported. The</w:t>
      </w:r>
      <w:r>
        <w:t xml:space="preserve"> </w:t>
      </w:r>
      <w:r>
        <w:t xml:space="preserve">difference between within-region and transfer gains (W − T) is positive on the original areas and on</w:t>
      </w:r>
      <w:r>
        <w:t xml:space="preserve"> </w:t>
      </w:r>
      <w:r>
        <w:t xml:space="preserve">the 10 km collar, but not on the 5 km 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 the ninety</w:t>
      </w:r>
      <w:r>
        <w:t xml:space="preserve"> </w:t>
      </w:r>
      <w:r>
        <w:t xml:space="preserve">feature-by-pair comparisons (adjusted</w:t>
      </w:r>
      <w:r>
        <w:t xml:space="preserve"> </w:t>
      </w:r>
      <w:r>
        <w:rPr>
          <w:i/>
          <w:iCs/>
        </w:rPr>
        <w:t xml:space="preserve">p</w:t>
      </w:r>
      <w:r>
        <w:t xml:space="preserve"> </w:t>
      </w:r>
      <w:r>
        <w:t xml:space="preserve">= 0.33 and 0.79; Section S1.20). All other supported</w:t>
      </w:r>
      <w:r>
        <w:t xml:space="preserve"> </w:t>
      </w:r>
      <w:r>
        <w:t xml:space="preserve">elevation reversals disappear on the collar.</w:t>
      </w:r>
    </w:p>
    <w:p>
      <w:pPr>
        <w:pStyle w:val="BodyText"/>
      </w:pPr>
      <w:r>
        <w:rPr>
          <w:b/>
          <w:bCs/>
        </w:rPr>
        <w:t xml:space="preserve">Hotter surfaces burned less, and the Manavgat exception is terrain.</w:t>
      </w:r>
      <w:r>
        <w:t xml:space="preserve"> </w:t>
      </w:r>
      <w:r>
        <w:t xml:space="preserve">At the point estimates, a</w:t>
      </w:r>
      <w:r>
        <w:t xml:space="preserve"> </w:t>
      </w:r>
      <w:r>
        <w:t xml:space="preserve">hotter pre-fire surface burned</w:t>
      </w:r>
      <w:r>
        <w:t xml:space="preserve"> </w:t>
      </w:r>
      <w:r>
        <w:rPr>
          <w:i/>
          <w:iCs/>
        </w:rPr>
        <w:t xml:space="preserve">less</w:t>
      </w:r>
      <w:r>
        <w:t xml:space="preserve"> </w:t>
      </w:r>
      <w:r>
        <w:t xml:space="preserve">in four of five regions. This is the opposite of what the</w:t>
      </w:r>
      <w:r>
        <w:t xml:space="preserve"> </w:t>
      </w:r>
      <w:r>
        <w:t xml:space="preserve">dryness idea predicts. In Manavgat the burned cells are hotter (current LST 0.665 on the full frame),</w:t>
      </w:r>
      <w:r>
        <w:t xml:space="preserve"> </w:t>
      </w:r>
      <w:r>
        <w:t xml:space="preserve">but they are also low-lying. When elevation is held constant, Manavgat’s LST association falls to</w:t>
      </w:r>
      <w:r>
        <w:t xml:space="preserve"> </w:t>
      </w:r>
      <w:r>
        <w:t xml:space="preserve">0.455 on the full frame and 0.403 on the collar, and to 0.446 and 0.409 after removing the linear</w:t>
      </w:r>
      <w:r>
        <w:t xml:space="preserve"> </w:t>
      </w:r>
      <w:r>
        <w:t xml:space="preserve">effect of elevation (</w:t>
      </w:r>
      <w:r>
        <w:rPr>
          <w:rStyle w:val="VerbatimChar"/>
        </w:rPr>
        <w:t xml:space="preserve">paper/labelfix_rerun/round7/r7b_lst_given_terrain.csv</w:t>
      </w:r>
      <w:r>
        <w:t xml:space="preserve">; Section S1.11). Manavgat</w:t>
      </w:r>
      <w:r>
        <w:t xml:space="preserve"> </w:t>
      </w:r>
      <w:r>
        <w:t xml:space="preserve">therefore shares the common sign once terrain is held. The absolute thermal channels behave here as</w:t>
      </w:r>
      <w:r>
        <w:t xml:space="preserve"> </w:t>
      </w:r>
      <w:r>
        <w:t xml:space="preserve">land-surface descriptors rather 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This is one of about forty uncorrected tests, on a frame defined by the</w:t>
      </w:r>
      <w:r>
        <w:t xml:space="preserve"> </w:t>
      </w:r>
      <w:r>
        <w:t xml:space="preserve">labels, so it is reported but not used (Section S1.20).</w:t>
      </w:r>
    </w:p>
    <w:p>
      <w:pPr>
        <w:pStyle w:val="BodyText"/>
      </w:pPr>
      <w:r>
        <w:rPr>
          <w:b/>
          <w:bCs/>
        </w:rPr>
        <w:t xml:space="preserve">Two other results depend on the frame.</w:t>
      </w:r>
      <w:r>
        <w:t xml:space="preserve"> </w:t>
      </w:r>
      <w:r>
        <w:t xml:space="preserve">In the Muğla two-fire comparison, 93.2 % of the 2022 cells</w:t>
      </w:r>
      <w:r>
        <w:t xml:space="preserve"> </w:t>
      </w:r>
      <w:r>
        <w:t xml:space="preserve">lie more than 10 km from a burned cell, against 55.3 % in 2021. On the collar the Muğla elevation</w:t>
      </w:r>
      <w:r>
        <w:t xml:space="preserve"> </w:t>
      </w:r>
      <w:r>
        <w:t xml:space="preserve">reversal disappears (Section S1.13). The within-region gain, by contrast, stays positive in all five</w:t>
      </w:r>
      <w:r>
        <w:t xml:space="preserve"> </w:t>
      </w:r>
      <w:r>
        <w:t xml:space="preserve">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Transfer</w:t>
      </w:r>
      <w:r>
        <w:t xml:space="preserve"> </w:t>
      </w:r>
      <w:r>
        <w:t xml:space="preserve">is therefore</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with Section 4.4 in mind.</w:t>
      </w:r>
      <w:r>
        <w:t xml:space="preserve"> </w:t>
      </w:r>
      <w:r>
        <w:t xml:space="preserve">Per-direction values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1 km blocking, eleven of twenty directions were above chance with interval</w:t>
      </w:r>
      <w:r>
        <w:t xml:space="preserve"> </w:t>
      </w:r>
      <w:r>
        <w:t xml:space="preserve">support and seven below. At 5 km blocking, nine were above, six below and five uncertain. Two</w:t>
      </w:r>
      <w:r>
        <w:t xml:space="preserve"> </w:t>
      </w:r>
      <w:r>
        <w:t xml:space="preserve">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w:t>
      </w:r>
    </w:p>
    <w:p>
      <w:pPr>
        <w:pStyle w:val="BodyText"/>
      </w:pPr>
      <w:r>
        <w:rPr>
          <w:b/>
          <w:bCs/>
        </w:rPr>
        <w:t xml:space="preserve">In precision terms, transfer is weaker still.</w:t>
      </w:r>
      <w:r>
        <w:t xml:space="preserve"> </w:t>
      </w:r>
      <w:r>
        <w:t xml:space="preserve">PR-AUC averaged</w:t>
      </w:r>
      <w:r>
        <w:t xml:space="preserve"> </w:t>
      </w:r>
      <w:r>
        <w:rPr>
          <w:b/>
          <w:bCs/>
        </w:rPr>
        <w:t xml:space="preserve">0.181 against a no-skill</w:t>
      </w:r>
      <w:r>
        <w:rPr>
          <w:b/>
          <w:bCs/>
        </w:rPr>
        <w:t xml:space="preserve"> </w:t>
      </w:r>
      <w:r>
        <w:rPr>
          <w:b/>
          <w:bCs/>
        </w:rPr>
        <w:t xml:space="preserve">baseline of 0.157</w:t>
      </w:r>
      <w:r>
        <w:t xml:space="preserve">. Seven of twenty directions were below their baseline. At 1 km blocking all seven</w:t>
      </w:r>
      <w:r>
        <w:t xml:space="preserve"> </w:t>
      </w:r>
      <w:r>
        <w:t xml:space="preserve">had intervals below it; at 5 km blocking two did, both into Manavgat</w:t>
      </w:r>
      <w:r>
        <w:t xml:space="preserve"> </w:t>
      </w:r>
      <w:r>
        <w:t xml:space="preserve">(</w:t>
      </w:r>
      <w:r>
        <w:rPr>
          <w:rStyle w:val="VerbatimChar"/>
        </w:rPr>
        <w:t xml:space="preserve">paper/labelfix_rerun/round7/r7a_pr_auc_10cell.csv</w:t>
      </w:r>
      <w:r>
        <w:t xml:space="preserve">; Table S11).</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The failure is therefore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All four resampling units that this design allows give</w:t>
      </w:r>
      <w:r>
        <w:t xml:space="preserve"> </w:t>
      </w:r>
      <w:r>
        <w:t xml:space="preserve">intervals that include zero, from [−0.018, +0.033] to [−0.028, +0.043] (Section S1.21).</w:t>
      </w:r>
    </w:p>
    <w:p>
      <w:pPr>
        <w:pStyle w:val="BodyText"/>
      </w:pPr>
      <w:r>
        <w:rPr>
          <w:b/>
          <w:bCs/>
        </w:rPr>
        <w:t xml:space="preserve">Label-blind adaptation pushed transfer toward chance</w:t>
      </w:r>
      <w:r>
        <w:t xml:space="preserve"> </w:t>
      </w:r>
      <w:r>
        <w:t xml:space="preserve">(Fig. 5). Under region-wise z-scoring the</w:t>
      </w:r>
      <w:r>
        <w:t xml:space="preserve"> </w:t>
      </w:r>
      <w:r>
        <w:t xml:space="preserve">twenty directions ranged from 0.302 to 0.630, and under CORAL from 0.406 to 0.624. Sixteen of twenty</w:t>
      </w:r>
      <w:r>
        <w:t xml:space="preserve"> </w:t>
      </w:r>
      <w:r>
        <w:t xml:space="preserve">directions moved closer to chance. This helped the directions that failed and harmed those that</w:t>
      </w:r>
      <w:r>
        <w:t xml:space="preserve"> </w:t>
      </w:r>
      <w:r>
        <w:t xml:space="preserve">worked. CORAL averaged</w:t>
      </w:r>
      <w:r>
        <w:t xml:space="preserve"> </w:t>
      </w:r>
      <w:r>
        <w:rPr>
          <w:b/>
          <w:bCs/>
        </w:rPr>
        <w:t xml:space="preserve">0.517</w:t>
      </w:r>
      <w:r>
        <w:t xml:space="preserve">, against 0.527 without adaptation. Taking the better method in each</w:t>
      </w:r>
      <w:r>
        <w:t xml:space="preserve"> </w:t>
      </w:r>
      <w:r>
        <w:t xml:space="preserve">direction gave 0.523, but this choice uses target labels. Seven directions showed negative recovery,</w:t>
      </w:r>
      <w:r>
        <w:t xml:space="preserve"> </w:t>
      </w:r>
      <w:r>
        <w:t xml:space="preserve">five of them with intervals below zero (Section S1.10).</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 for</w:t>
      </w:r>
      <w:r>
        <w:t xml:space="preserve"> </w:t>
      </w:r>
      <w:r>
        <w:t xml:space="preserve">the other four (Fig. 6;</w:t>
      </w:r>
      <w:r>
        <w:t xml:space="preserve"> </w:t>
      </w:r>
      <w:r>
        <w:rPr>
          <w:rStyle w:val="VerbatimChar"/>
        </w:rPr>
        <w:t xml:space="preserve">paper/labelfix_rerun/round7/r7d_pooled_vs_single.csv</w:t>
      </w:r>
      <w:r>
        <w:t xml:space="preserve">).</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w:t>
      </w:r>
      <w:r>
        <w:t xml:space="preserve"> </w:t>
      </w:r>
      <w:r>
        <w:t xml:space="preserve">and the target’s own ceiling was closed by 83 to 89 % in three of six directions. In the other three</w:t>
      </w:r>
      <w:r>
        <w:t xml:space="preserve"> </w:t>
      </w:r>
      <w:r>
        <w:t xml:space="preserve">it was closed by 30 to 52 %. These blocks are 7 to 20 % of the target population and come from the fire being</w:t>
      </w:r>
      <w:r>
        <w:t xml:space="preserve"> </w:t>
      </w:r>
      <w:r>
        <w:t xml:space="preserve">predicted, so they are not available before that fire (Section S5).</w:t>
      </w:r>
    </w:p>
    <w:p>
      <w:pPr>
        <w:pStyle w:val="BodyText"/>
      </w:pPr>
      <w:r>
        <w:rPr>
          <w:b/>
          <w:bCs/>
        </w:rPr>
        <w:t xml:space="preserve">Similarity measures.</w:t>
      </w:r>
      <w:r>
        <w:t xml:space="preserve"> </w:t>
      </w:r>
      <w:r>
        <w:t xml:space="preserve">Twenty similarity measures were defined on 8 August 2026 and were not</w:t>
      </w:r>
      <w:r>
        <w:t xml:space="preserve"> </w:t>
      </w:r>
      <w:r>
        <w:t xml:space="preserve">changed after the label correction. On the original study areas, none predicted transfer with an</w:t>
      </w:r>
      <w:r>
        <w:t xml:space="preserve"> </w:t>
      </w:r>
      <w:r>
        <w:t xml:space="preserve">interval excluding zero (Table S17). One measure is defined on only six directions and is not</w:t>
      </w:r>
      <w:r>
        <w:t xml:space="preserve"> </w:t>
      </w:r>
      <w:r>
        <w:t xml:space="preserve">interpreted. The contrast pairs show the result directly (Fig. 8). Manavgat and Muğla have the</w:t>
      </w:r>
      <w:r>
        <w:t xml:space="preserve"> </w:t>
      </w:r>
      <w:r>
        <w:t xml:space="preserve">highest niche overlap in the cohort (mean one-dimensional Schoener’s</w:t>
      </w:r>
      <w:r>
        <w:t xml:space="preserve"> </w:t>
      </w:r>
      <w:r>
        <w:rPr>
          <w:i/>
          <w:iCs/>
        </w:rPr>
        <w:t xml:space="preserve">D</w:t>
      </w:r>
      <w:r>
        <w:t xml:space="preserve"> </w:t>
      </w:r>
      <w:r>
        <w:t xml:space="preserve">= 0.80), but transfer failed</w:t>
      </w:r>
      <w:r>
        <w:t xml:space="preserve"> </w:t>
      </w:r>
      <w:r>
        <w:t xml:space="preserve">in both directions, at 0.438 and 0.345. Bejís and Montiferru have the lowest overlap (</w:t>
      </w:r>
      <w:r>
        <w:rPr>
          <w:i/>
          <w:iCs/>
        </w:rPr>
        <w:t xml:space="preserve">D</w:t>
      </w:r>
      <w:r>
        <w:t xml:space="preserve"> </w:t>
      </w:r>
      <w:r>
        <w:t xml:space="preserve">= 0.48), but</w:t>
      </w:r>
      <w:r>
        <w:t xml:space="preserve"> </w:t>
      </w:r>
      <w:r>
        <w:t xml:space="preserve">transfer was above chance in both directions, at 0.594 and 0.548. These are point estimates. At 5 km</w:t>
      </w:r>
      <w:r>
        <w:t xml:space="preserve"> </w:t>
      </w:r>
      <w:r>
        <w:t xml:space="preserve">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quantities were shown to depend on the study areas and not on the relationship</w:t>
      </w:r>
      <w:r>
        <w:t xml:space="preserve"> </w:t>
      </w:r>
      <w:r>
        <w:t xml:space="preserve">between predictors and burning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w:t>
      </w:r>
      <w:r>
        <w:t xml:space="preserve"> </w:t>
      </w:r>
      <w:r>
        <w:t xml:space="preserve">correction. The third finding closes an obvious way around the second. If transfer cannot be</w:t>
      </w:r>
      <w:r>
        <w:t xml:space="preserve"> </w:t>
      </w:r>
      <w:r>
        <w:t xml:space="preserve">assumed, it might still be predicted from the similarity of two regions. None of the twenty measures</w:t>
      </w:r>
      <w:r>
        <w:t xml:space="preserve"> </w:t>
      </w:r>
      <w:r>
        <w:t xml:space="preserve">did this on the original study areas.</w:t>
      </w:r>
    </w:p>
    <w:bookmarkEnd w:id="49"/>
    <w:bookmarkStart w:id="50" w:name="Xa470afac6eaa6a09d54ebeb6e9ba49b0d00a3b6"/>
    <w:p>
      <w:pPr>
        <w:pStyle w:val="Heading2"/>
      </w:pPr>
      <w:r>
        <w:t xml:space="preserve">5.2 The thermal gain within regions and at the fire</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At the burn scar, the same gain fell to +0.021 and was</w:t>
      </w:r>
      <w:r>
        <w:t xml:space="preserve"> </w:t>
      </w:r>
      <w:r>
        <w:t xml:space="preserve">not established. Withholding the scar did not change it. The fall is therefore caused by the cells</w:t>
      </w:r>
      <w:r>
        <w:t xml:space="preserve"> </w:t>
      </w:r>
      <w:r>
        <w:t xml:space="preserve">that are scored, not by the choice of held-out cells. These comparisons rest on seven scars in three</w:t>
      </w:r>
      <w:r>
        <w:t xml:space="preserve"> </w:t>
      </w:r>
      <w:r>
        <w:t xml:space="preserve">regions. With the region as the unit, only the frame cost is established (Section 4.3).</w:t>
      </w:r>
    </w:p>
    <w:p>
      <w:pPr>
        <w:pStyle w:val="BodyText"/>
      </w:pPr>
      <w:r>
        <w:t xml:space="preserve">Each region contributes one fire season. The shortfall in transfer can therefore not be attributed</w:t>
      </w:r>
      <w:r>
        <w:t xml:space="preserve"> </w:t>
      </w:r>
      <w:r>
        <w:t xml:space="preserve">to the region rather than to the event. The two Muğla fires were included to separate these two</w:t>
      </w:r>
      <w:r>
        <w:t xml:space="preserve"> </w:t>
      </w:r>
      <w:r>
        <w:t xml:space="preserve">effects, but this comparison was mainly affected by the study area (Section 4.4). Each burned area</w:t>
      </w:r>
      <w:r>
        <w:t xml:space="preserve"> </w:t>
      </w:r>
      <w:r>
        <w:t xml:space="preserve">is also a single outcome of ignition, wind and suppression, which are not observed here. A pre-fire</w:t>
      </w:r>
      <w:r>
        <w:t xml:space="preserve"> </w:t>
      </w:r>
      <w:r>
        <w:t xml:space="preserve">surface predictor can only rank cells by their condition before the fire. The five fires were large</w:t>
      </w:r>
      <w:r>
        <w:t xml:space="preserve"> </w:t>
      </w:r>
      <w:r>
        <w:t xml:space="preserve">events, so the conclusions are stated for large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It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Both intervals include zero. A local</w:t>
      </w:r>
      <w:r>
        <w:t xml:space="preserve"> </w:t>
      </w:r>
      <w:r>
        <w:t xml:space="preserve">cost is therefore measured, but no gain in transfer.</w:t>
      </w:r>
    </w:p>
    <w:bookmarkEnd w:id="51"/>
    <w:bookmarkStart w:id="52" w:name="comparison-with-earlier-work"/>
    <w:p>
      <w:pPr>
        <w:pStyle w:val="Heading2"/>
      </w:pPr>
      <w:r>
        <w:t xml:space="preserve">5.4 Comparison with earlier work</w:t>
      </w:r>
    </w:p>
    <w:p>
      <w:pPr>
        <w:pStyle w:val="FirstParagraph"/>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human-caused ignition. Here the predictors describe the surface in one season,</w:t>
      </w:r>
      <w:r>
        <w:t xml:space="preserve"> </w:t>
      </w:r>
      <w:r>
        <w:t xml:space="preserve">and the response is burned area. These two differences cannot be separated in this comparison. In</w:t>
      </w:r>
      <w:r>
        <w:t xml:space="preserve"> </w:t>
      </w:r>
      <w:r>
        <w:t xml:space="preserve">this cohort the static baseline also did not transfer (mean 0.519), so predictor class alone does not</w:t>
      </w:r>
      <w:r>
        <w:t xml:space="preserve"> </w:t>
      </w:r>
      <w:r>
        <w:t xml:space="preserve">explain the difference.</w:t>
      </w:r>
    </w:p>
    <w:p>
      <w:pPr>
        <w:pStyle w:val="BodyText"/>
      </w:pPr>
      <w:r>
        <w:t xml:space="preserve">Hotter pre-fire surfaces burned less in four of five regions, and in Manavgat once elevation was held</w:t>
      </w:r>
      <w:r>
        <w:t xml:space="preserve"> </w:t>
      </w:r>
      <w:r>
        <w:t xml:space="preserve">constant (Section 4.4). In this cohort, the absolute thermal channels therefore behaved as</w:t>
      </w:r>
      <w:r>
        <w:t xml:space="preserve"> </w:t>
      </w:r>
      <w:r>
        <w:t xml:space="preserve">land-surface descriptors and not as a dryness index. The normalised channels did not transfer better</w:t>
      </w:r>
      <w:r>
        <w:t xml:space="preserve"> </w:t>
      </w:r>
      <w:r>
        <w:t xml:space="preserve">(Section S1.6).</w:t>
      </w:r>
    </w:p>
    <w:bookmarkEnd w:id="52"/>
    <w:bookmarkStart w:id="53" w:name="implications-for-practice"/>
    <w:p>
      <w:pPr>
        <w:pStyle w:val="Heading2"/>
      </w:pPr>
      <w:r>
        <w:t xml:space="preserve">5.5 Implications for practice</w:t>
      </w:r>
    </w:p>
    <w:p>
      <w:pPr>
        <w:pStyle w:val="FirstParagraph"/>
      </w:pPr>
      <w:r>
        <w:t xml:space="preserve">Three changes in reporting are supported by these results.</w:t>
      </w:r>
    </w:p>
    <w:p>
      <w:pPr>
        <w:pStyle w:val="BodyText"/>
      </w:pPr>
      <w:r>
        <w:rPr>
          <w:b/>
          <w:bCs/>
        </w:rPr>
        <w:t xml:space="preserve">Report skill at the fire, together with the region-wide score.</w:t>
      </w:r>
      <w:r>
        <w:t xml:space="preserve"> </w:t>
      </w:r>
      <w:r>
        <w:t xml:space="preserve">On the same model, the two scores</w:t>
      </w:r>
      <w:r>
        <w:t xml:space="preserve"> </w:t>
      </w:r>
      <w:r>
        <w:t xml:space="preserve">differed by 0.133 ROC-AUC over seven scars and by 0.160 with the region as the unit. This is larger</w:t>
      </w:r>
      <w:r>
        <w:t xml:space="preserve"> </w:t>
      </w:r>
      <w:r>
        <w:t xml:space="preserve">than the thermal gain within most regions (Table 1). A region-wide blocked score should</w:t>
      </w:r>
      <w:r>
        <w:t xml:space="preserve"> </w:t>
      </w:r>
      <w:r>
        <w:t xml:space="preserve">therefore be read as an upper bound.</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In precision terms,</w:t>
      </w:r>
      <w:r>
        <w:t xml:space="preserve"> </w:t>
      </w:r>
      <w:r>
        <w:t xml:space="preserve">a model moved to a new region did not usefully rank the burned cells there (Section 4.5). Target</w:t>
      </w:r>
      <w:r>
        <w:t xml:space="preserve"> </w:t>
      </w:r>
      <w:r>
        <w:t xml:space="preserve">labels closed much of the gap (Section S5), but they come from the fire that is being predicted.</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t xml:space="preserve">Label-blind domain adaptation should not be expected to repair transfer. It moved most directions</w:t>
      </w:r>
      <w:r>
        <w:t xml:space="preserve"> </w:t>
      </w:r>
      <w:r>
        <w:t xml:space="preserve">toward chance, including those that had worked (Section 4.5). A reversed association is not corrected</w:t>
      </w:r>
      <w:r>
        <w:t xml:space="preserve"> </w:t>
      </w:r>
      <w:r>
        <w:t xml:space="preserve">by aligning the predictor distributions.</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The region-level estimates should be quoted (Section 4.3).</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S1.21; S3.5(viii)).</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(S3.5(vii)).</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so exact reproduction needs the archived environment (Section 3.13;</w:t>
      </w:r>
      <w:r>
        <w:t xml:space="preserve"> </w:t>
      </w:r>
      <w:r>
        <w:t xml:space="preserve">S3.5(vi)).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VIIRS VNP64A1</w:t>
      </w:r>
      <w:r>
        <w:t xml:space="preserve"> </w:t>
      </w:r>
      <w:r>
        <w:t xml:space="preserve">(Giglio 2024)</w:t>
      </w:r>
      <w:r>
        <w:t xml:space="preserve"> </w:t>
      </w:r>
      <w:r>
        <w:t xml:space="preserve">was not used as a label</w:t>
      </w:r>
      <w:r>
        <w:t xml:space="preserve"> </w:t>
      </w:r>
      <w:r>
        <w:t xml:space="preserve">sensitivity (S3.5(iii)).</w:t>
      </w:r>
    </w:p>
    <w:p>
      <w:pPr>
        <w:pStyle w:val="Compact"/>
        <w:numPr>
          <w:ilvl w:val="0"/>
          <w:numId w:val="1001"/>
        </w:numPr>
      </w:pPr>
      <w:r>
        <w:rPr>
          <w:b/>
          <w:bCs/>
        </w:rPr>
        <w:t xml:space="preserve">No weather predictors were used</w:t>
      </w:r>
      <w:r>
        <w:t xml:space="preserve"> </w:t>
      </w:r>
      <w:r>
        <w:t xml:space="preserve">(S3.5(i)). Other classifiers were compared by point estimate</w:t>
      </w:r>
      <w:r>
        <w:t xml:space="preserve"> </w:t>
      </w:r>
      <w:r>
        <w:t xml:space="preserve">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 large</w:t>
      </w:r>
      <w:r>
        <w:t xml:space="preserve"> </w:t>
      </w:r>
      <w:r>
        <w:t xml:space="preserve">Mediterranean fires.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0.133 ROC-AUC was lost over seven scars and 0.160 with</w:t>
      </w:r>
      <w:r>
        <w:t xml:space="preserve"> </w:t>
      </w:r>
      <w:r>
        <w:t xml:space="preserve">the region as the unit. The loss came from the unburned cells near the fire, not from class balance.</w:t>
      </w:r>
      <w:r>
        <w:t xml:space="preserve"> </w:t>
      </w:r>
      <w:r>
        <w:t xml:space="preserve">A region-wide score should be reported as an upper bound.</w:t>
      </w:r>
    </w:p>
    <w:p>
      <w:pPr>
        <w:pStyle w:val="BodyText"/>
      </w:pPr>
      <w:r>
        <w:t xml:space="preserve">Second, local skill transferred at most weakly. The thermal predictors improved within-region skill</w:t>
      </w:r>
      <w:r>
        <w:t xml:space="preserve"> </w:t>
      </w:r>
      <w:r>
        <w:t xml:space="preserve">in all five regions, but at the burn scar the gain was not established. Across twenty transfer</w:t>
      </w:r>
      <w:r>
        <w:t xml:space="preserve"> </w:t>
      </w:r>
      <w:r>
        <w:t xml:space="preserve">directions, the gain was +0.007 on the original study areas and +0.024 on comparable areas. Both</w:t>
      </w:r>
      <w:r>
        <w:t xml:space="preserve"> </w:t>
      </w:r>
      <w:r>
        <w:t xml:space="preserve">intervals included zero, and gains above about 0.05 were excluded. On matched areas, transfer stayed</w:t>
      </w:r>
      <w:r>
        <w:t xml:space="preserve"> </w:t>
      </w:r>
      <w:r>
        <w:t xml:space="preserve">0.197 below the within-region reference. The static baseline did not transfer better, and</w:t>
      </w:r>
      <w:r>
        <w:t xml:space="preserve"> </w:t>
      </w:r>
      <w:r>
        <w:t xml:space="preserve">label-blind domain adaptation did not help.</w:t>
      </w:r>
    </w:p>
    <w:p>
      <w:pPr>
        <w:pStyle w:val="BodyText"/>
      </w:pPr>
      <w:r>
        <w:t xml:space="preserve">Third, no similarity measure was shown to predict transfer. The most similar pair failed in both</w:t>
      </w:r>
      <w:r>
        <w:t xml:space="preserve"> </w:t>
      </w:r>
      <w:r>
        <w:t xml:space="preserve">directions, and the least similar pair transferred above chance.</w:t>
      </w:r>
    </w:p>
    <w:p>
      <w:pPr>
        <w:pStyle w:val="BodyText"/>
      </w:pPr>
      <w:r>
        <w:t xml:space="preserve">Transfer skill should therefore be measured in the target region, and the study area should be</w:t>
      </w:r>
      <w:r>
        <w:t xml:space="preserve"> </w:t>
      </w:r>
      <w:r>
        <w:t xml:space="preserve">fixed by a stated rule before the predictors are computed. Several fire seasons per region are</w:t>
      </w:r>
      <w:r>
        <w:t xml:space="preserve"> </w:t>
      </w:r>
      <w:r>
        <w:t xml:space="preserve">needed to separate region effects from event effects.</w:t>
      </w:r>
    </w:p>
    <w:bookmarkEnd w:id="56"/>
    <w:bookmarkStart w:id="162" w:name="references"/>
    <w:p>
      <w:pPr>
        <w:pStyle w:val="Heading1"/>
      </w:pPr>
      <w:r>
        <w:t xml:space="preserve">References</w:t>
      </w:r>
    </w:p>
    <w:bookmarkStart w:id="161" w:name="refs"/>
    <w:bookmarkStart w:id="58"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57">
        <w:r>
          <w:rPr>
            <w:rStyle w:val="Hyperlink"/>
          </w:rPr>
          <w:t xml:space="preserve">https://doi.org/10.1007/s12145-023-00953-5</w:t>
        </w:r>
      </w:hyperlink>
    </w:p>
    <w:bookmarkEnd w:id="58"/>
    <w:bookmarkStart w:id="60"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59">
        <w:r>
          <w:rPr>
            <w:rStyle w:val="Hyperlink"/>
          </w:rPr>
          <w:t xml:space="preserve">https://doi.org/10.1016/j.ecolmodel.2011.02.011</w:t>
        </w:r>
      </w:hyperlink>
    </w:p>
    <w:bookmarkEnd w:id="60"/>
    <w:bookmarkStart w:id="62"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61">
        <w:r>
          <w:rPr>
            <w:rStyle w:val="Hyperlink"/>
          </w:rPr>
          <w:t xml:space="preserve">https://doi.org/10.1071/WF19158</w:t>
        </w:r>
      </w:hyperlink>
    </w:p>
    <w:bookmarkEnd w:id="62"/>
    <w:bookmarkStart w:id="64"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63">
        <w:r>
          <w:rPr>
            <w:rStyle w:val="Hyperlink"/>
          </w:rPr>
          <w:t xml:space="preserve">https://doi.org/10.1016/j.rse.2019.111490</w:t>
        </w:r>
      </w:hyperlink>
    </w:p>
    <w:bookmarkEnd w:id="64"/>
    <w:bookmarkStart w:id="66" w:name="ref-Breiman2001"/>
    <w:p>
      <w:pPr>
        <w:pStyle w:val="Bibliography"/>
      </w:pPr>
      <w:r>
        <w:t xml:space="preserve">Breiman L (2001) Random forests. Machine Learning 45:5–32.</w:t>
      </w:r>
      <w:r>
        <w:t xml:space="preserve"> </w:t>
      </w:r>
      <w:hyperlink r:id="rId65">
        <w:r>
          <w:rPr>
            <w:rStyle w:val="Hyperlink"/>
          </w:rPr>
          <w:t xml:space="preserve">https://doi.org/10.1023/A:1010933404324</w:t>
        </w:r>
      </w:hyperlink>
    </w:p>
    <w:bookmarkEnd w:id="66"/>
    <w:bookmarkStart w:id="68"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67">
        <w:r>
          <w:rPr>
            <w:rStyle w:val="Hyperlink"/>
          </w:rPr>
          <w:t xml:space="preserve">https://doi.org/10.1016/j.ecoinf.2022.101665</w:t>
        </w:r>
      </w:hyperlink>
    </w:p>
    <w:bookmarkEnd w:id="68"/>
    <w:bookmarkStart w:id="70"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69">
        <w:r>
          <w:rPr>
            <w:rStyle w:val="Hyperlink"/>
          </w:rPr>
          <w:t xml:space="preserve">https://doi.org/10.1016/j.rse.2004.01.019</w:t>
        </w:r>
      </w:hyperlink>
    </w:p>
    <w:bookmarkEnd w:id="70"/>
    <w:bookmarkStart w:id="72" w:name="ref-ThermalTwinRepo"/>
    <w:p>
      <w:pPr>
        <w:pStyle w:val="Bibliography"/>
      </w:pPr>
      <w:r>
        <w:t xml:space="preserve">Cogurcu YE, Metin E (2026)</w:t>
      </w:r>
      <w:r>
        <w:t xml:space="preserve"> </w:t>
      </w:r>
      <w:r>
        <w:t xml:space="preserve">thermal-twin</w:t>
      </w:r>
      <w:r>
        <w:t xml:space="preserve">: Analysis code, modelling datasets and frozen outputs.</w:t>
      </w:r>
      <w:r>
        <w:t xml:space="preserve"> </w:t>
      </w:r>
      <w:hyperlink r:id="rId71">
        <w:r>
          <w:rPr>
            <w:rStyle w:val="Hyperlink"/>
          </w:rPr>
          <w:t xml:space="preserve">https://github.com/dryuemco/thermal-twin</w:t>
        </w:r>
      </w:hyperlink>
      <w:r>
        <w:t xml:space="preserve">. Accessed 29 Sept 2026</w:t>
      </w:r>
    </w:p>
    <w:bookmarkEnd w:id="72"/>
    <w:bookmarkStart w:id="74"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73">
        <w:r>
          <w:rPr>
            <w:rStyle w:val="Hyperlink"/>
          </w:rPr>
          <w:t xml:space="preserve">https://doi.org/10.3390/geomatics6010013</w:t>
        </w:r>
      </w:hyperlink>
    </w:p>
    <w:bookmarkEnd w:id="74"/>
    <w:bookmarkStart w:id="76"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75">
        <w:r>
          <w:rPr>
            <w:rStyle w:val="Hyperlink"/>
          </w:rPr>
          <w:t xml:space="preserve">https://doi.org/10.5270/ESA-c5d3d65</w:t>
        </w:r>
      </w:hyperlink>
    </w:p>
    <w:bookmarkEnd w:id="76"/>
    <w:bookmarkStart w:id="78"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77">
        <w:r>
          <w:rPr>
            <w:rStyle w:val="Hyperlink"/>
          </w:rPr>
          <w:t xml:space="preserve">https://doi.org/10.5194/nhess-25-4713-2025</w:t>
        </w:r>
      </w:hyperlink>
    </w:p>
    <w:bookmarkEnd w:id="78"/>
    <w:bookmarkStart w:id="80"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79">
        <w:r>
          <w:rPr>
            <w:rStyle w:val="Hyperlink"/>
          </w:rPr>
          <w:t xml:space="preserve">https://doi.org/10.5067/VIIRS/VNP64A1.002</w:t>
        </w:r>
      </w:hyperlink>
    </w:p>
    <w:bookmarkEnd w:id="80"/>
    <w:bookmarkStart w:id="82"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1">
        <w:r>
          <w:rPr>
            <w:rStyle w:val="Hyperlink"/>
          </w:rPr>
          <w:t xml:space="preserve">https://doi.org/10.1016/j.rse.2018.08.005</w:t>
        </w:r>
      </w:hyperlink>
    </w:p>
    <w:bookmarkEnd w:id="82"/>
    <w:bookmarkStart w:id="84"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3">
        <w:r>
          <w:rPr>
            <w:rStyle w:val="Hyperlink"/>
          </w:rPr>
          <w:t xml:space="preserve">https://doi.org/10.5067/MODIS/MCD64A1.061</w:t>
        </w:r>
      </w:hyperlink>
    </w:p>
    <w:bookmarkEnd w:id="84"/>
    <w:bookmarkStart w:id="86"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85">
        <w:r>
          <w:rPr>
            <w:rStyle w:val="Hyperlink"/>
          </w:rPr>
          <w:t xml:space="preserve">https://doi.org/10.1016/j.rse.2017.06.031</w:t>
        </w:r>
      </w:hyperlink>
    </w:p>
    <w:bookmarkEnd w:id="86"/>
    <w:bookmarkStart w:id="88"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87">
        <w:r>
          <w:rPr>
            <w:rStyle w:val="Hyperlink"/>
          </w:rPr>
          <w:t xml:space="preserve">https://doi.org/10.1016/j.rse.2026.115336</w:t>
        </w:r>
      </w:hyperlink>
    </w:p>
    <w:bookmarkEnd w:id="88"/>
    <w:bookmarkStart w:id="90"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89">
        <w:r>
          <w:rPr>
            <w:rStyle w:val="Hyperlink"/>
          </w:rPr>
          <w:t xml:space="preserve">https://doi.org/10.1016/j.ecoinf.2022.101647</w:t>
        </w:r>
      </w:hyperlink>
    </w:p>
    <w:bookmarkEnd w:id="90"/>
    <w:bookmarkStart w:id="92"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91">
        <w:r>
          <w:rPr>
            <w:rStyle w:val="Hyperlink"/>
          </w:rPr>
          <w:t xml:space="preserve">https://doi.org/10.3934/environsci.2026004</w:t>
        </w:r>
      </w:hyperlink>
    </w:p>
    <w:bookmarkEnd w:id="92"/>
    <w:bookmarkStart w:id="94"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93">
        <w:r>
          <w:rPr>
            <w:rStyle w:val="Hyperlink"/>
          </w:rPr>
          <w:t xml:space="preserve">https://doi.org/10.3390/rs14030602</w:t>
        </w:r>
      </w:hyperlink>
    </w:p>
    <w:bookmarkEnd w:id="94"/>
    <w:bookmarkStart w:id="96" w:name="ref-Kondylatos2023"/>
    <w:p>
      <w:pPr>
        <w:pStyle w:val="Bibliography"/>
      </w:pPr>
      <w:r>
        <w:t xml:space="preserve">Kondylatos S, Prapas I, Camps-Valls G, Papoutsis I (2023)</w:t>
      </w:r>
      <w:r>
        <w:t xml:space="preserve"> </w:t>
      </w:r>
      <w:hyperlink r:id="rId95">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96"/>
    <w:bookmarkStart w:id="9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97">
        <w:r>
          <w:rPr>
            <w:rStyle w:val="Hyperlink"/>
          </w:rPr>
          <w:t xml:space="preserve">https://doi.org/10.48550/arXiv.2511.11589</w:t>
        </w:r>
      </w:hyperlink>
    </w:p>
    <w:bookmarkEnd w:id="98"/>
    <w:bookmarkStart w:id="10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99">
        <w:r>
          <w:rPr>
            <w:rStyle w:val="Hyperlink"/>
          </w:rPr>
          <w:t xml:space="preserve">https://doi.org/10.1111/j.1466-8238.2007.00358.x</w:t>
        </w:r>
      </w:hyperlink>
    </w:p>
    <w:bookmarkEnd w:id="100"/>
    <w:bookmarkStart w:id="102"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01">
        <w:r>
          <w:rPr>
            <w:rStyle w:val="Hyperlink"/>
          </w:rPr>
          <w:t xml:space="preserve">https://doi.org/10.3390/rs10111777</w:t>
        </w:r>
      </w:hyperlink>
    </w:p>
    <w:bookmarkEnd w:id="102"/>
    <w:bookmarkStart w:id="104"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03">
        <w:r>
          <w:rPr>
            <w:rStyle w:val="Hyperlink"/>
          </w:rPr>
          <w:t xml:space="preserve">https://doi.org/10.1016/j.isprsjprs.2021.09.016</w:t>
        </w:r>
      </w:hyperlink>
    </w:p>
    <w:bookmarkEnd w:id="104"/>
    <w:bookmarkStart w:id="106"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05">
        <w:r>
          <w:rPr>
            <w:rStyle w:val="Hyperlink"/>
          </w:rPr>
          <w:t xml:space="preserve">https://doi.org/10.1016/j.isprsjprs.2019.10.013</w:t>
        </w:r>
      </w:hyperlink>
    </w:p>
    <w:bookmarkEnd w:id="106"/>
    <w:bookmarkStart w:id="108"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07">
        <w:r>
          <w:rPr>
            <w:rStyle w:val="Hyperlink"/>
          </w:rPr>
          <w:t xml:space="preserve">https://doi.org/10.3390/fire7080276</w:t>
        </w:r>
      </w:hyperlink>
    </w:p>
    <w:bookmarkEnd w:id="108"/>
    <w:bookmarkStart w:id="110"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09">
        <w:r>
          <w:rPr>
            <w:rStyle w:val="Hyperlink"/>
          </w:rPr>
          <w:t xml:space="preserve">https://doi.org/10.1111/2041-210X.13650</w:t>
        </w:r>
      </w:hyperlink>
    </w:p>
    <w:bookmarkEnd w:id="110"/>
    <w:bookmarkStart w:id="112"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11">
        <w:r>
          <w:rPr>
            <w:rStyle w:val="Hyperlink"/>
          </w:rPr>
          <w:t xml:space="preserve">https://doi.org/10.1016/j.envsoft.2017.12.001</w:t>
        </w:r>
      </w:hyperlink>
    </w:p>
    <w:bookmarkEnd w:id="112"/>
    <w:bookmarkStart w:id="114"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13">
        <w:r>
          <w:rPr>
            <w:rStyle w:val="Hyperlink"/>
          </w:rPr>
          <w:t xml:space="preserve">https://doi.org/10.1111/2041-210X.13851</w:t>
        </w:r>
      </w:hyperlink>
    </w:p>
    <w:bookmarkEnd w:id="114"/>
    <w:bookmarkStart w:id="116" w:name="ref-MorenoTorres2012"/>
    <w:p>
      <w:pPr>
        <w:pStyle w:val="Bibliography"/>
      </w:pPr>
      <w:r>
        <w:t xml:space="preserve">Moreno-Torres JG, Raeder T, Alaiz-Rodríguez R, et al (2012) A unifying view on dataset shift in classification. Pattern Recognition 45:521–530.</w:t>
      </w:r>
      <w:r>
        <w:t xml:space="preserve"> </w:t>
      </w:r>
      <w:hyperlink r:id="rId115">
        <w:r>
          <w:rPr>
            <w:rStyle w:val="Hyperlink"/>
          </w:rPr>
          <w:t xml:space="preserve">https://doi.org/10.1016/j.patcog.2011.06.019</w:t>
        </w:r>
      </w:hyperlink>
    </w:p>
    <w:bookmarkEnd w:id="116"/>
    <w:bookmarkStart w:id="118" w:name="ref-Pausas2021"/>
    <w:p>
      <w:pPr>
        <w:pStyle w:val="Bibliography"/>
      </w:pPr>
      <w:r>
        <w:t xml:space="preserve">Pausas JG, Keeley JE (2021) Wildfires and global change. Frontiers in Ecology and the Environment 19:387–395.</w:t>
      </w:r>
      <w:r>
        <w:t xml:space="preserve"> </w:t>
      </w:r>
      <w:hyperlink r:id="rId117">
        <w:r>
          <w:rPr>
            <w:rStyle w:val="Hyperlink"/>
          </w:rPr>
          <w:t xml:space="preserve">https://doi.org/10.1002/fee.2359</w:t>
        </w:r>
      </w:hyperlink>
    </w:p>
    <w:bookmarkEnd w:id="118"/>
    <w:bookmarkStart w:id="120"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19">
        <w:r>
          <w:rPr>
            <w:rStyle w:val="Hyperlink"/>
          </w:rPr>
          <w:t xml:space="preserve">https://doi.org/10.1109/TGRS.2012.2192740</w:t>
        </w:r>
      </w:hyperlink>
    </w:p>
    <w:bookmarkEnd w:id="120"/>
    <w:bookmarkStart w:id="122"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21">
        <w:r>
          <w:rPr>
            <w:rStyle w:val="Hyperlink"/>
          </w:rPr>
          <w:t xml:space="preserve">https://doi.org/10.1038/s41467-020-18321-y</w:t>
        </w:r>
      </w:hyperlink>
    </w:p>
    <w:bookmarkEnd w:id="122"/>
    <w:bookmarkStart w:id="124"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23">
        <w:r>
          <w:rPr>
            <w:rStyle w:val="Hyperlink"/>
          </w:rPr>
          <w:t xml:space="preserve">https://doi.org/10.1186/s42408-022-00150-7</w:t>
        </w:r>
      </w:hyperlink>
    </w:p>
    <w:bookmarkEnd w:id="124"/>
    <w:bookmarkStart w:id="126"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25">
        <w:r>
          <w:rPr>
            <w:rStyle w:val="Hyperlink"/>
          </w:rPr>
          <w:t xml:space="preserve">https://doi.org/10.1111/ecog.02881</w:t>
        </w:r>
      </w:hyperlink>
    </w:p>
    <w:bookmarkEnd w:id="126"/>
    <w:bookmarkStart w:id="128" w:name="ref-Rousseau2022"/>
    <w:p>
      <w:pPr>
        <w:pStyle w:val="Bibliography"/>
      </w:pPr>
      <w:r>
        <w:t xml:space="preserve">Rousseau JS, Betts MG (2022) Factors influencing transferability in species distribution models. Ecography 2022:e06060.</w:t>
      </w:r>
      <w:r>
        <w:t xml:space="preserve"> </w:t>
      </w:r>
      <w:hyperlink r:id="rId127">
        <w:r>
          <w:rPr>
            <w:rStyle w:val="Hyperlink"/>
          </w:rPr>
          <w:t xml:space="preserve">https://doi.org/10.1111/ecog.06060</w:t>
        </w:r>
      </w:hyperlink>
    </w:p>
    <w:bookmarkEnd w:id="128"/>
    <w:bookmarkStart w:id="130"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29">
        <w:r>
          <w:rPr>
            <w:rStyle w:val="Hyperlink"/>
          </w:rPr>
          <w:t xml:space="preserve">https://doi.org/10.1016/S0034-4257(01)00274-7</w:t>
        </w:r>
      </w:hyperlink>
    </w:p>
    <w:bookmarkEnd w:id="130"/>
    <w:bookmarkStart w:id="132"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31">
        <w:r>
          <w:rPr>
            <w:rStyle w:val="Hyperlink"/>
          </w:rPr>
          <w:t xml:space="preserve">https://doi.org/10.2307/1935534</w:t>
        </w:r>
      </w:hyperlink>
    </w:p>
    <w:bookmarkEnd w:id="132"/>
    <w:bookmarkStart w:id="134" w:name="ref-Sun2016"/>
    <w:p>
      <w:pPr>
        <w:pStyle w:val="Bibliography"/>
      </w:pPr>
      <w:r>
        <w:t xml:space="preserve">Sun B, Feng J, Saenko K (2016)</w:t>
      </w:r>
      <w:r>
        <w:t xml:space="preserve"> </w:t>
      </w:r>
      <w:hyperlink r:id="rId133">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34"/>
    <w:bookmarkStart w:id="136"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35">
        <w:r>
          <w:rPr>
            <w:rStyle w:val="Hyperlink"/>
          </w:rPr>
          <w:t xml:space="preserve">https://doi.org/10.1109/MGRS.2016.2548504</w:t>
        </w:r>
      </w:hyperlink>
    </w:p>
    <w:bookmarkEnd w:id="136"/>
    <w:bookmarkStart w:id="138"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37">
        <w:r>
          <w:rPr>
            <w:rStyle w:val="Hyperlink"/>
          </w:rPr>
          <w:t xml:space="preserve">https://doi.org/10.5066/P9OGBGM6</w:t>
        </w:r>
      </w:hyperlink>
    </w:p>
    <w:bookmarkEnd w:id="138"/>
    <w:bookmarkStart w:id="140"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39">
        <w:r>
          <w:rPr>
            <w:rStyle w:val="Hyperlink"/>
          </w:rPr>
          <w:t xml:space="preserve">https://doi.org/10.1111/2041-210X.13107</w:t>
        </w:r>
      </w:hyperlink>
    </w:p>
    <w:bookmarkEnd w:id="140"/>
    <w:bookmarkStart w:id="142"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41">
        <w:r>
          <w:rPr>
            <w:rStyle w:val="Hyperlink"/>
          </w:rPr>
          <w:t xml:space="preserve">https://doi.org/10.1016/j.ecolmodel.2008.11.010</w:t>
        </w:r>
      </w:hyperlink>
    </w:p>
    <w:bookmarkEnd w:id="142"/>
    <w:bookmarkStart w:id="144" w:name="ref-Vesk2021"/>
    <w:p>
      <w:pPr>
        <w:pStyle w:val="Bibliography"/>
      </w:pPr>
      <w:r>
        <w:t xml:space="preserve">Vesk PA, Morris WK, Neal WC, et al (2021) Transferability of trait-based species distribution models. Ecography 44:134–147.</w:t>
      </w:r>
      <w:r>
        <w:t xml:space="preserve"> </w:t>
      </w:r>
      <w:hyperlink r:id="rId143">
        <w:r>
          <w:rPr>
            <w:rStyle w:val="Hyperlink"/>
          </w:rPr>
          <w:t xml:space="preserve">https://doi.org/10.1111/ecog.05179</w:t>
        </w:r>
      </w:hyperlink>
    </w:p>
    <w:bookmarkEnd w:id="144"/>
    <w:bookmarkStart w:id="146"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45">
        <w:r>
          <w:rPr>
            <w:rStyle w:val="Hyperlink"/>
          </w:rPr>
          <w:t xml:space="preserve">https://doi.org/10.1007/s44163-026-00921-0</w:t>
        </w:r>
      </w:hyperlink>
    </w:p>
    <w:bookmarkEnd w:id="146"/>
    <w:bookmarkStart w:id="148"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47">
        <w:r>
          <w:rPr>
            <w:rStyle w:val="Hyperlink"/>
          </w:rPr>
          <w:t xml:space="preserve">https://doi.org/10.1016/j.ecolmodel.2021.109692</w:t>
        </w:r>
      </w:hyperlink>
    </w:p>
    <w:bookmarkEnd w:id="148"/>
    <w:bookmarkStart w:id="150"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49">
        <w:r>
          <w:rPr>
            <w:rStyle w:val="Hyperlink"/>
          </w:rPr>
          <w:t xml:space="preserve">https://doi.org/10.5067/MODIS/MOD11A1.061</w:t>
        </w:r>
      </w:hyperlink>
    </w:p>
    <w:bookmarkEnd w:id="150"/>
    <w:bookmarkStart w:id="152"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51">
        <w:r>
          <w:rPr>
            <w:rStyle w:val="Hyperlink"/>
          </w:rPr>
          <w:t xml:space="preserve">https://doi.org/10.1111/j.1558-5646.2008.00482.x</w:t>
        </w:r>
      </w:hyperlink>
    </w:p>
    <w:bookmarkEnd w:id="152"/>
    <w:bookmarkStart w:id="154" w:name="ref-Xu2026"/>
    <w:p>
      <w:pPr>
        <w:pStyle w:val="Bibliography"/>
      </w:pPr>
      <w:r>
        <w:t xml:space="preserve">Xu Y, Dai Y, Chang L, et al (2026) Does your wildfire prediction model actually work, or just score well? arXiv preprint arXiv:2605.18911.</w:t>
      </w:r>
      <w:r>
        <w:t xml:space="preserve"> </w:t>
      </w:r>
      <w:hyperlink r:id="rId153">
        <w:r>
          <w:rPr>
            <w:rStyle w:val="Hyperlink"/>
          </w:rPr>
          <w:t xml:space="preserve">https://doi.org/10.48550/arXiv.2605.18911</w:t>
        </w:r>
      </w:hyperlink>
    </w:p>
    <w:bookmarkEnd w:id="154"/>
    <w:bookmarkStart w:id="156" w:name="ref-Yates2018"/>
    <w:p>
      <w:pPr>
        <w:pStyle w:val="Bibliography"/>
      </w:pPr>
      <w:r>
        <w:t xml:space="preserve">Yates KL, Bouchet PJ, Caley MJ, et al (2018) Outstanding challenges in the transferability of ecological models. Trends in Ecology &amp; Evolution 33:790–802.</w:t>
      </w:r>
      <w:r>
        <w:t xml:space="preserve"> </w:t>
      </w:r>
      <w:hyperlink r:id="rId155">
        <w:r>
          <w:rPr>
            <w:rStyle w:val="Hyperlink"/>
          </w:rPr>
          <w:t xml:space="preserve">https://doi.org/10.1016/j.tree.2018.08.001</w:t>
        </w:r>
      </w:hyperlink>
    </w:p>
    <w:bookmarkEnd w:id="156"/>
    <w:bookmarkStart w:id="158"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57">
        <w:r>
          <w:rPr>
            <w:rStyle w:val="Hyperlink"/>
          </w:rPr>
          <w:t xml:space="preserve">https://doi.org/10.1016/j.rse.2013.05.029</w:t>
        </w:r>
      </w:hyperlink>
    </w:p>
    <w:bookmarkEnd w:id="158"/>
    <w:bookmarkStart w:id="160"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59">
        <w:r>
          <w:rPr>
            <w:rStyle w:val="Hyperlink"/>
          </w:rPr>
          <w:t xml:space="preserve">https://doi.org/10.5281/zenodo.7254221</w:t>
        </w:r>
      </w:hyperlink>
    </w:p>
    <w:bookmarkEnd w:id="160"/>
    <w:bookmarkEnd w:id="161"/>
    <w:bookmarkEnd w:id="162"/>
    <w:bookmarkStart w:id="171" w:name="statements-and-declarations"/>
    <w:p>
      <w:pPr>
        <w:pStyle w:val="Heading1"/>
      </w:pPr>
      <w:r>
        <w:t xml:space="preserve">Statements and Declarations</w:t>
      </w:r>
    </w:p>
    <w:bookmarkStart w:id="1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163"/>
    <w:bookmarkStart w:id="164" w:name="competing-interests"/>
    <w:p>
      <w:pPr>
        <w:pStyle w:val="Heading2"/>
      </w:pPr>
      <w:r>
        <w:t xml:space="preserve">Competing interests</w:t>
      </w:r>
    </w:p>
    <w:p>
      <w:pPr>
        <w:pStyle w:val="FirstParagraph"/>
      </w:pPr>
      <w:r>
        <w:t xml:space="preserve">The authors have no relevant financial or non-financial interests to disclose.</w:t>
      </w:r>
    </w:p>
    <w:bookmarkEnd w:id="164"/>
    <w:bookmarkStart w:id="165"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165"/>
    <w:bookmarkStart w:id="166"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(Cogurcu and Metin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166"/>
    <w:bookmarkStart w:id="168"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167">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71">
        <w:r>
          <w:rPr>
            <w:rStyle w:val="Hyperlink"/>
          </w:rPr>
          <w:t xml:space="preserve">https://github.com/dryuemco/thermal-twin</w:t>
        </w:r>
      </w:hyperlink>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168"/>
    <w:bookmarkStart w:id="169"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169"/>
    <w:bookmarkStart w:id="170"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to write and run analysis, verification and figure code, to check reported numbers</w:t>
      </w:r>
      <w:r>
        <w:t xml:space="preserve"> </w:t>
      </w:r>
      <w:r>
        <w:t xml:space="preserve">against the frozen outputs, to run simulated internal reviews, and to draft and edit text. The</w:t>
      </w:r>
      <w:r>
        <w:t xml:space="preserve"> </w:t>
      </w:r>
      <w:r>
        <w:t xml:space="preserve">authors reviewed and edited all of this material and take full responsibility for the content of the</w:t>
      </w:r>
      <w:r>
        <w:t xml:space="preserve"> </w:t>
      </w:r>
      <w:r>
        <w:t xml:space="preserve">publication.</w:t>
      </w:r>
    </w:p>
    <w:bookmarkEnd w:id="170"/>
    <w:bookmarkEnd w:id="171"/>
    <w:bookmarkStart w:id="172"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label-blind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label-blind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Label-blind adaptation moves transfer toward chance.</w:t>
      </w:r>
      <w:r>
        <w:t xml:space="preserve"> </w:t>
      </w:r>
      <w:r>
        <w:t xml:space="preserve">The 12 ordered directions among Manavgat, Bejís, Muğla and Evia; natural-vegetation population; original study areas. The open circle is raw transfer ROC-AUC. The arrow ends at the better of the two adapted results (z-score or CORAL); this choice uses target labels. The grey tick is the target’s within-region reference,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7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7" Type="http://schemas.openxmlformats.org/officeDocument/2006/relationships/hyperlink" Target="https://doi.org/10.1002/fee.2359" TargetMode="External"/><Relationship Id="rId57" Type="http://schemas.openxmlformats.org/officeDocument/2006/relationships/hyperlink" Target="https://doi.org/10.1007/s12145-023-00953-5" TargetMode="External"/><Relationship Id="rId145" Type="http://schemas.openxmlformats.org/officeDocument/2006/relationships/hyperlink" Target="https://doi.org/10.1007/s44163-026-00921-0" TargetMode="External"/><Relationship Id="rId129" Type="http://schemas.openxmlformats.org/officeDocument/2006/relationships/hyperlink" Target="https://doi.org/10.1016/S0034-4257(01)00274-7" TargetMode="External"/><Relationship Id="rId89" Type="http://schemas.openxmlformats.org/officeDocument/2006/relationships/hyperlink" Target="https://doi.org/10.1016/j.ecoinf.2022.101647" TargetMode="External"/><Relationship Id="rId67" Type="http://schemas.openxmlformats.org/officeDocument/2006/relationships/hyperlink" Target="https://doi.org/10.1016/j.ecoinf.2022.101665" TargetMode="External"/><Relationship Id="rId141" Type="http://schemas.openxmlformats.org/officeDocument/2006/relationships/hyperlink" Target="https://doi.org/10.1016/j.ecolmodel.2008.11.010" TargetMode="External"/><Relationship Id="rId59" Type="http://schemas.openxmlformats.org/officeDocument/2006/relationships/hyperlink" Target="https://doi.org/10.1016/j.ecolmodel.2011.02.011" TargetMode="External"/><Relationship Id="rId147" Type="http://schemas.openxmlformats.org/officeDocument/2006/relationships/hyperlink" Target="https://doi.org/10.1016/j.ecolmodel.2021.109692" TargetMode="External"/><Relationship Id="rId111"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15" Type="http://schemas.openxmlformats.org/officeDocument/2006/relationships/hyperlink" Target="https://doi.org/10.1016/j.patcog.2011.06.019" TargetMode="External"/><Relationship Id="rId69" Type="http://schemas.openxmlformats.org/officeDocument/2006/relationships/hyperlink" Target="https://doi.org/10.1016/j.rse.2004.01.019" TargetMode="External"/><Relationship Id="rId157" Type="http://schemas.openxmlformats.org/officeDocument/2006/relationships/hyperlink" Target="https://doi.org/10.1016/j.rse.2013.05.029" TargetMode="External"/><Relationship Id="rId85" Type="http://schemas.openxmlformats.org/officeDocument/2006/relationships/hyperlink" Target="https://doi.org/10.1016/j.rse.2017.06.031" TargetMode="External"/><Relationship Id="rId81" Type="http://schemas.openxmlformats.org/officeDocument/2006/relationships/hyperlink" Target="https://doi.org/10.1016/j.rse.2018.08.005" TargetMode="External"/><Relationship Id="rId63" Type="http://schemas.openxmlformats.org/officeDocument/2006/relationships/hyperlink" Target="https://doi.org/10.1016/j.rse.2019.111490" TargetMode="External"/><Relationship Id="rId87" Type="http://schemas.openxmlformats.org/officeDocument/2006/relationships/hyperlink" Target="https://doi.org/10.1016/j.rse.2026.115336" TargetMode="External"/><Relationship Id="rId155" Type="http://schemas.openxmlformats.org/officeDocument/2006/relationships/hyperlink" Target="https://doi.org/10.1016/j.tree.2018.08.001" TargetMode="External"/><Relationship Id="rId65" Type="http://schemas.openxmlformats.org/officeDocument/2006/relationships/hyperlink" Target="https://doi.org/10.1023/A:1010933404324" TargetMode="External"/><Relationship Id="rId121" Type="http://schemas.openxmlformats.org/officeDocument/2006/relationships/hyperlink" Target="https://doi.org/10.1038/s41467-020-18321-y" TargetMode="External"/><Relationship Id="rId61" Type="http://schemas.openxmlformats.org/officeDocument/2006/relationships/hyperlink" Target="https://doi.org/10.1071/WF19158" TargetMode="External"/><Relationship Id="rId135" Type="http://schemas.openxmlformats.org/officeDocument/2006/relationships/hyperlink" Target="https://doi.org/10.1109/MGRS.2016.2548504" TargetMode="External"/><Relationship Id="rId119" Type="http://schemas.openxmlformats.org/officeDocument/2006/relationships/hyperlink" Target="https://doi.org/10.1109/TGRS.2012.2192740" TargetMode="External"/><Relationship Id="rId139" Type="http://schemas.openxmlformats.org/officeDocument/2006/relationships/hyperlink" Target="https://doi.org/10.1111/2041-210X.13107" TargetMode="External"/><Relationship Id="rId109" Type="http://schemas.openxmlformats.org/officeDocument/2006/relationships/hyperlink" Target="https://doi.org/10.1111/2041-210X.13650" TargetMode="External"/><Relationship Id="rId113" Type="http://schemas.openxmlformats.org/officeDocument/2006/relationships/hyperlink" Target="https://doi.org/10.1111/2041-210X.13851" TargetMode="External"/><Relationship Id="rId125" Type="http://schemas.openxmlformats.org/officeDocument/2006/relationships/hyperlink" Target="https://doi.org/10.1111/ecog.02881" TargetMode="External"/><Relationship Id="rId143" Type="http://schemas.openxmlformats.org/officeDocument/2006/relationships/hyperlink" Target="https://doi.org/10.1111/ecog.05179" TargetMode="External"/><Relationship Id="rId127"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51" Type="http://schemas.openxmlformats.org/officeDocument/2006/relationships/hyperlink" Target="https://doi.org/10.1111/j.1558-5646.2008.00482.x" TargetMode="External"/><Relationship Id="rId123" Type="http://schemas.openxmlformats.org/officeDocument/2006/relationships/hyperlink" Target="https://doi.org/10.1186/s42408-022-00150-7" TargetMode="External"/><Relationship Id="rId133" Type="http://schemas.openxmlformats.org/officeDocument/2006/relationships/hyperlink" Target="https://doi.org/10.1609/aaai.v30i1.10306" TargetMode="External"/><Relationship Id="rId131" Type="http://schemas.openxmlformats.org/officeDocument/2006/relationships/hyperlink" Target="https://doi.org/10.2307/1935534" TargetMode="External"/><Relationship Id="rId107" Type="http://schemas.openxmlformats.org/officeDocument/2006/relationships/hyperlink" Target="https://doi.org/10.3390/fire7080276" TargetMode="External"/><Relationship Id="rId73"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390/rs14030602" TargetMode="External"/><Relationship Id="rId91"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53" Type="http://schemas.openxmlformats.org/officeDocument/2006/relationships/hyperlink" Target="https://doi.org/10.48550/arXiv.2605.18911" TargetMode="External"/><Relationship Id="rId137" Type="http://schemas.openxmlformats.org/officeDocument/2006/relationships/hyperlink" Target="https://doi.org/10.5066/P9OGBGM6" TargetMode="External"/><Relationship Id="rId83" Type="http://schemas.openxmlformats.org/officeDocument/2006/relationships/hyperlink" Target="https://doi.org/10.5067/MODIS/MCD64A1.061" TargetMode="External"/><Relationship Id="rId149" Type="http://schemas.openxmlformats.org/officeDocument/2006/relationships/hyperlink" Target="https://doi.org/10.5067/MODIS/MOD11A1.061" TargetMode="External"/><Relationship Id="rId79" Type="http://schemas.openxmlformats.org/officeDocument/2006/relationships/hyperlink" Target="https://doi.org/10.5067/VIIRS/VNP64A1.002" TargetMode="External"/><Relationship Id="rId77"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75" Type="http://schemas.openxmlformats.org/officeDocument/2006/relationships/hyperlink" Target="https://doi.org/10.5270/ESA-c5d3d65" TargetMode="External"/><Relationship Id="rId159" Type="http://schemas.openxmlformats.org/officeDocument/2006/relationships/hyperlink" Target="https://doi.org/10.5281/zenodo.7254221" TargetMode="External"/><Relationship Id="rId71" Type="http://schemas.openxmlformats.org/officeDocument/2006/relationships/hyperlink" Target="https://github.com/dryuemco/thermal-twin" TargetMode="External"/><Relationship Id="rId167"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doi.org/10.1002/fee.2359" TargetMode="External"/><Relationship Id="rId57" Type="http://schemas.openxmlformats.org/officeDocument/2006/relationships/hyperlink" Target="https://doi.org/10.1007/s12145-023-00953-5" TargetMode="External"/><Relationship Id="rId145" Type="http://schemas.openxmlformats.org/officeDocument/2006/relationships/hyperlink" Target="https://doi.org/10.1007/s44163-026-00921-0" TargetMode="External"/><Relationship Id="rId129" Type="http://schemas.openxmlformats.org/officeDocument/2006/relationships/hyperlink" Target="https://doi.org/10.1016/S0034-4257(01)00274-7" TargetMode="External"/><Relationship Id="rId89" Type="http://schemas.openxmlformats.org/officeDocument/2006/relationships/hyperlink" Target="https://doi.org/10.1016/j.ecoinf.2022.101647" TargetMode="External"/><Relationship Id="rId67" Type="http://schemas.openxmlformats.org/officeDocument/2006/relationships/hyperlink" Target="https://doi.org/10.1016/j.ecoinf.2022.101665" TargetMode="External"/><Relationship Id="rId141" Type="http://schemas.openxmlformats.org/officeDocument/2006/relationships/hyperlink" Target="https://doi.org/10.1016/j.ecolmodel.2008.11.010" TargetMode="External"/><Relationship Id="rId59" Type="http://schemas.openxmlformats.org/officeDocument/2006/relationships/hyperlink" Target="https://doi.org/10.1016/j.ecolmodel.2011.02.011" TargetMode="External"/><Relationship Id="rId147" Type="http://schemas.openxmlformats.org/officeDocument/2006/relationships/hyperlink" Target="https://doi.org/10.1016/j.ecolmodel.2021.109692" TargetMode="External"/><Relationship Id="rId111" Type="http://schemas.openxmlformats.org/officeDocument/2006/relationships/hyperlink" Target="https://doi.org/10.1016/j.envsoft.2017.12.001" TargetMode="External"/><Relationship Id="rId105" Type="http://schemas.openxmlformats.org/officeDocument/2006/relationships/hyperlink" Target="https://doi.org/10.1016/j.isprsjprs.2019.10.013" TargetMode="External"/><Relationship Id="rId103" Type="http://schemas.openxmlformats.org/officeDocument/2006/relationships/hyperlink" Target="https://doi.org/10.1016/j.isprsjprs.2021.09.016" TargetMode="External"/><Relationship Id="rId115" Type="http://schemas.openxmlformats.org/officeDocument/2006/relationships/hyperlink" Target="https://doi.org/10.1016/j.patcog.2011.06.019" TargetMode="External"/><Relationship Id="rId69" Type="http://schemas.openxmlformats.org/officeDocument/2006/relationships/hyperlink" Target="https://doi.org/10.1016/j.rse.2004.01.019" TargetMode="External"/><Relationship Id="rId157" Type="http://schemas.openxmlformats.org/officeDocument/2006/relationships/hyperlink" Target="https://doi.org/10.1016/j.rse.2013.05.029" TargetMode="External"/><Relationship Id="rId85" Type="http://schemas.openxmlformats.org/officeDocument/2006/relationships/hyperlink" Target="https://doi.org/10.1016/j.rse.2017.06.031" TargetMode="External"/><Relationship Id="rId81" Type="http://schemas.openxmlformats.org/officeDocument/2006/relationships/hyperlink" Target="https://doi.org/10.1016/j.rse.2018.08.005" TargetMode="External"/><Relationship Id="rId63" Type="http://schemas.openxmlformats.org/officeDocument/2006/relationships/hyperlink" Target="https://doi.org/10.1016/j.rse.2019.111490" TargetMode="External"/><Relationship Id="rId87" Type="http://schemas.openxmlformats.org/officeDocument/2006/relationships/hyperlink" Target="https://doi.org/10.1016/j.rse.2026.115336" TargetMode="External"/><Relationship Id="rId155" Type="http://schemas.openxmlformats.org/officeDocument/2006/relationships/hyperlink" Target="https://doi.org/10.1016/j.tree.2018.08.001" TargetMode="External"/><Relationship Id="rId65" Type="http://schemas.openxmlformats.org/officeDocument/2006/relationships/hyperlink" Target="https://doi.org/10.1023/A:1010933404324" TargetMode="External"/><Relationship Id="rId121" Type="http://schemas.openxmlformats.org/officeDocument/2006/relationships/hyperlink" Target="https://doi.org/10.1038/s41467-020-18321-y" TargetMode="External"/><Relationship Id="rId61" Type="http://schemas.openxmlformats.org/officeDocument/2006/relationships/hyperlink" Target="https://doi.org/10.1071/WF19158" TargetMode="External"/><Relationship Id="rId135" Type="http://schemas.openxmlformats.org/officeDocument/2006/relationships/hyperlink" Target="https://doi.org/10.1109/MGRS.2016.2548504" TargetMode="External"/><Relationship Id="rId119" Type="http://schemas.openxmlformats.org/officeDocument/2006/relationships/hyperlink" Target="https://doi.org/10.1109/TGRS.2012.2192740" TargetMode="External"/><Relationship Id="rId139" Type="http://schemas.openxmlformats.org/officeDocument/2006/relationships/hyperlink" Target="https://doi.org/10.1111/2041-210X.13107" TargetMode="External"/><Relationship Id="rId109" Type="http://schemas.openxmlformats.org/officeDocument/2006/relationships/hyperlink" Target="https://doi.org/10.1111/2041-210X.13650" TargetMode="External"/><Relationship Id="rId113" Type="http://schemas.openxmlformats.org/officeDocument/2006/relationships/hyperlink" Target="https://doi.org/10.1111/2041-210X.13851" TargetMode="External"/><Relationship Id="rId125" Type="http://schemas.openxmlformats.org/officeDocument/2006/relationships/hyperlink" Target="https://doi.org/10.1111/ecog.02881" TargetMode="External"/><Relationship Id="rId143" Type="http://schemas.openxmlformats.org/officeDocument/2006/relationships/hyperlink" Target="https://doi.org/10.1111/ecog.05179" TargetMode="External"/><Relationship Id="rId127" Type="http://schemas.openxmlformats.org/officeDocument/2006/relationships/hyperlink" Target="https://doi.org/10.1111/ecog.06060" TargetMode="External"/><Relationship Id="rId99" Type="http://schemas.openxmlformats.org/officeDocument/2006/relationships/hyperlink" Target="https://doi.org/10.1111/j.1466-8238.2007.00358.x" TargetMode="External"/><Relationship Id="rId151" Type="http://schemas.openxmlformats.org/officeDocument/2006/relationships/hyperlink" Target="https://doi.org/10.1111/j.1558-5646.2008.00482.x" TargetMode="External"/><Relationship Id="rId123" Type="http://schemas.openxmlformats.org/officeDocument/2006/relationships/hyperlink" Target="https://doi.org/10.1186/s42408-022-00150-7" TargetMode="External"/><Relationship Id="rId133" Type="http://schemas.openxmlformats.org/officeDocument/2006/relationships/hyperlink" Target="https://doi.org/10.1609/aaai.v30i1.10306" TargetMode="External"/><Relationship Id="rId131" Type="http://schemas.openxmlformats.org/officeDocument/2006/relationships/hyperlink" Target="https://doi.org/10.2307/1935534" TargetMode="External"/><Relationship Id="rId107" Type="http://schemas.openxmlformats.org/officeDocument/2006/relationships/hyperlink" Target="https://doi.org/10.3390/fire7080276" TargetMode="External"/><Relationship Id="rId73" Type="http://schemas.openxmlformats.org/officeDocument/2006/relationships/hyperlink" Target="https://doi.org/10.3390/geomatics6010013" TargetMode="External"/><Relationship Id="rId101" Type="http://schemas.openxmlformats.org/officeDocument/2006/relationships/hyperlink" Target="https://doi.org/10.3390/rs10111777" TargetMode="External"/><Relationship Id="rId93" Type="http://schemas.openxmlformats.org/officeDocument/2006/relationships/hyperlink" Target="https://doi.org/10.3390/rs14030602" TargetMode="External"/><Relationship Id="rId91" Type="http://schemas.openxmlformats.org/officeDocument/2006/relationships/hyperlink" Target="https://doi.org/10.3934/environsci.2026004" TargetMode="External"/><Relationship Id="rId97" Type="http://schemas.openxmlformats.org/officeDocument/2006/relationships/hyperlink" Target="https://doi.org/10.48550/arXiv.2511.11589" TargetMode="External"/><Relationship Id="rId153" Type="http://schemas.openxmlformats.org/officeDocument/2006/relationships/hyperlink" Target="https://doi.org/10.48550/arXiv.2605.18911" TargetMode="External"/><Relationship Id="rId137" Type="http://schemas.openxmlformats.org/officeDocument/2006/relationships/hyperlink" Target="https://doi.org/10.5066/P9OGBGM6" TargetMode="External"/><Relationship Id="rId83" Type="http://schemas.openxmlformats.org/officeDocument/2006/relationships/hyperlink" Target="https://doi.org/10.5067/MODIS/MCD64A1.061" TargetMode="External"/><Relationship Id="rId149" Type="http://schemas.openxmlformats.org/officeDocument/2006/relationships/hyperlink" Target="https://doi.org/10.5067/MODIS/MOD11A1.061" TargetMode="External"/><Relationship Id="rId79" Type="http://schemas.openxmlformats.org/officeDocument/2006/relationships/hyperlink" Target="https://doi.org/10.5067/VIIRS/VNP64A1.002" TargetMode="External"/><Relationship Id="rId77" Type="http://schemas.openxmlformats.org/officeDocument/2006/relationships/hyperlink" Target="https://doi.org/10.5194/nhess-25-4713-2025" TargetMode="External"/><Relationship Id="rId95" Type="http://schemas.openxmlformats.org/officeDocument/2006/relationships/hyperlink" Target="https://doi.org/10.52202/075280-2204" TargetMode="External"/><Relationship Id="rId75" Type="http://schemas.openxmlformats.org/officeDocument/2006/relationships/hyperlink" Target="https://doi.org/10.5270/ESA-c5d3d65" TargetMode="External"/><Relationship Id="rId159" Type="http://schemas.openxmlformats.org/officeDocument/2006/relationships/hyperlink" Target="https://doi.org/10.5281/zenodo.7254221" TargetMode="External"/><Relationship Id="rId71" Type="http://schemas.openxmlformats.org/officeDocument/2006/relationships/hyperlink" Target="https://github.com/dryuemco/thermal-twin" TargetMode="External"/><Relationship Id="rId167"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Emrehan Metin; Yunus Emre Cogurcu</dc:creator>
  <dc:language>en-GB</dc:language>
  <cp:keywords/>
  <dcterms:created xsi:type="dcterms:W3CDTF">2026-09-29T06:00:47Z</dcterms:created>
  <dcterms:modified xsi:type="dcterms:W3CDTF">2026-09-29T06:00:47Z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