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area and the limits of cross-region transfer of pre-fire thermal wildfire models: five large Mediterranean fires</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Word count:</w:t>
      </w:r>
      <w:r>
        <w:t xml:space="preserve"> </w:t>
      </w:r>
      <w:r>
        <w:t xml:space="preserve">9,050 words in the main text (Sections 1 to 6, table captions and notes included; tables, references, declarations and figure captions excluded). Abstract 250 words.</w:t>
      </w:r>
    </w:p>
    <w:bookmarkStart w:id="18" w:name="abstract"/>
    <w:p>
      <w:pPr>
        <w:pStyle w:val="Heading1"/>
      </w:pPr>
      <w:r>
        <w:t xml:space="preserve">Abstract</w:t>
      </w:r>
    </w:p>
    <w:p>
      <w:pPr>
        <w:pStyle w:val="FirstParagraph"/>
      </w:pPr>
      <w:r>
        <w:t xml:space="preserve">Wildfire susceptibility models are usually tested in the region where they were trained, and how well they work elsewhere is rarely measured. Six pre-fire land surface temperature and dryness predictors from Landsat and MODIS were added to a terrain, land-cover and greenness baseline. Random forests were then trained and tested in five regions, each with one large fire season: Manavgat and Muğla 2021 (Türkiye), Bejís 2022 (Spain), North Evia 2021 (Greece) and Montiferru 2021 (Italy). Burned areas were taken from MODIS MCD64A1, and skill was measured as the area under the ROC curve (ROC-AUC) under spatially blocked validation. First, the evaluation area changes the score. When the same model was scored on the burn scar and a 2 km collar instead of the whole study area, ROC-AUC fell by 0.160 [0.090, 0.230] across five regions. The two areas answer different questions. Second, local skill transferred at most weakly. With 5 km blocking, the thermal predictors added +0.045 to +0.148 within regions, but only +0.007 [−0.020, +0.038] across twenty transfer directions and +0.024 [−0.004, +0.049] when the study areas were made comparable. The static baseline did not transfer better, and the two label-free adaptation methods tested did not help. Third, none of twenty similarity measures predicted transfer; at the point estimates, even the most similar pair of regions failed in both directions. With one fire season per region, region and event effects cannot be separated. Transfer skill should therefore be measured in the target region before a model is used there.</w:t>
      </w:r>
    </w:p>
    <w:p>
      <w:pPr>
        <w:pStyle w:val="BodyText"/>
      </w:pPr>
      <w:r>
        <w:rPr>
          <w:b/>
          <w:bCs/>
        </w:rPr>
        <w:t xml:space="preserve">Keywords:</w:t>
      </w:r>
      <w:r>
        <w:t xml:space="preserve"> </w:t>
      </w:r>
      <w:r>
        <w:t xml:space="preserve">wildfire susceptibility; Mediterranean; model transferability; evaluation area; land surface temperature; spatial cross-validation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Most fire susceptibility maps follow a common workflow</w:t>
      </w:r>
      <w:r>
        <w:t xml:space="preserve"> </w:t>
      </w:r>
      <w:r>
        <w:t xml:space="preserve">(Jain et al. 2020; Jodhani et al. 2026; Vibhandik et al. 2026)</w:t>
      </w:r>
      <w:r>
        <w:t xml:space="preserve">. Predictors are collected over a study region and matched</w:t>
      </w:r>
      <w:r>
        <w:t xml:space="preserve"> </w:t>
      </w:r>
      <w:r>
        <w:t xml:space="preserve">with a record of burned areas, and a classifier, most often a random forest</w:t>
      </w:r>
      <w:r>
        <w:t xml:space="preserve"> </w:t>
      </w:r>
      <w:r>
        <w:t xml:space="preserve">(Breiman 2001; Oliveira et al. 2012)</w:t>
      </w:r>
      <w:r>
        <w:t xml:space="preserve">, is then trained. Finally, the map is reported with a cross-validated score from the</w:t>
      </w:r>
      <w:r>
        <w:t xml:space="preserve"> </w:t>
      </w:r>
      <w:r>
        <w:t xml:space="preserve">same region.</w:t>
      </w:r>
      <w:r>
        <w:t xml:space="preserve"> </w:t>
      </w:r>
      <w:r>
        <w:rPr>
          <w:b/>
          <w:bCs/>
        </w:rPr>
        <w:t xml:space="preserve">How well the model works 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In addition,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still does not show how the model works on a</w:t>
      </w:r>
      <w:r>
        <w:t xml:space="preserve"> </w:t>
      </w:r>
      <w:r>
        <w:t xml:space="preserve">fire it has not seen.</w:t>
      </w:r>
    </w:p>
    <w:p>
      <w:pPr>
        <w:pStyle w:val="BodyText"/>
      </w:pPr>
      <w:r>
        <w:t xml:space="preserve">A regional product built from local models is expected to work outside its training area, yet this</w:t>
      </w:r>
      <w:r>
        <w:t xml:space="preserve"> </w:t>
      </w:r>
      <w:r>
        <w:t xml:space="preserve">is rarely tested. Fire-danger indices, which are driven by weather, did not transfer well between</w:t>
      </w:r>
      <w:r>
        <w:t xml:space="preserve"> </w:t>
      </w:r>
      <w:r>
        <w:t xml:space="preserve">fire environments in Peru</w:t>
      </w:r>
      <w:r>
        <w:t xml:space="preserve"> </w:t>
      </w:r>
      <w:r>
        <w:t xml:space="preserve">(Podschwit et al. 2022)</w:t>
      </w:r>
      <w:r>
        <w:t xml:space="preserve">. Regional fire-occurrence models in the Alps and the</w:t>
      </w:r>
      <w:r>
        <w:t xml:space="preserve"> </w:t>
      </w:r>
      <w:r>
        <w:t xml:space="preserve">Mediterranean Basin transferred well only under similar conditions</w:t>
      </w:r>
      <w:r>
        <w:t xml:space="preserve"> </w:t>
      </w:r>
      <w:r>
        <w:t xml:space="preserve">(Bekar et al. 2020)</w:t>
      </w:r>
      <w:r>
        <w:t xml:space="preserve">, and two recent</w:t>
      </w:r>
      <w:r>
        <w:t xml:space="preserve"> </w:t>
      </w:r>
      <w:r>
        <w:t xml:space="preserve">studies also found that transfer mainly succeeds between similar regions</w:t>
      </w:r>
      <w:r>
        <w:t xml:space="preserve"> </w:t>
      </w:r>
      <w:r>
        <w:t xml:space="preserve">(Liu and Mostafavi 2025; Dimarco et al. 2026)</w:t>
      </w:r>
      <w:r>
        <w:t xml:space="preserve">.</w:t>
      </w:r>
      <w:r>
        <w:t xml:space="preserve"> </w:t>
      </w:r>
      <w:r>
        <w:t xml:space="preserve">Satellite measurements of the land surface before a fire are a third kind of predictor. They change</w:t>
      </w:r>
      <w:r>
        <w:t xml:space="preserve"> </w:t>
      </w:r>
      <w:r>
        <w:t xml:space="preserve">from season to season like weather, but they describe each location like a map. Whether models built</w:t>
      </w:r>
      <w:r>
        <w:t xml:space="preserve"> </w:t>
      </w:r>
      <w:r>
        <w:t xml:space="preserve">on them transfer between regions has not been tested.</w:t>
      </w:r>
    </w:p>
    <w:bookmarkEnd w:id="19"/>
    <w:bookmarkStart w:id="20" w:name="pre-fire-thermal-state-as-a-test-case"/>
    <w:p>
      <w:pPr>
        <w:pStyle w:val="Heading2"/>
      </w:pPr>
      <w:r>
        <w:t xml:space="preserve">1.2 Pre-fire thermal state as a test case</w:t>
      </w:r>
    </w:p>
    <w:p>
      <w:pPr>
        <w:pStyle w:val="FirstParagraph"/>
      </w:pPr>
      <w:r>
        <w:t xml:space="preserve">Pre-fire thermal state is a natural test case. Static predictors change little between years, so</w:t>
      </w:r>
      <w:r>
        <w:t xml:space="preserve"> </w:t>
      </w:r>
      <w:r>
        <w:t xml:space="preserve">they cannot explain why one summer burned and another did not. Surface state does change, and</w:t>
      </w:r>
      <w:r>
        <w:t xml:space="preserve"> </w:t>
      </w:r>
      <w:r>
        <w:t xml:space="preserve">satellite thermal data give partial access to it, because land surface temperature rises as</w:t>
      </w:r>
      <w:r>
        <w:t xml:space="preserve"> </w:t>
      </w:r>
      <w:r>
        <w:t xml:space="preserve">vegetation dries (Section 2.1). If the link between moisture stress and burning is general, thermal</w:t>
      </w:r>
      <w:r>
        <w:t xml:space="preserve"> </w:t>
      </w:r>
      <w:r>
        <w:t xml:space="preserve">predictors should keep at least part of their value in a new region. Normalised channels, such as</w:t>
      </w:r>
      <w:r>
        <w:t xml:space="preserve"> </w:t>
      </w:r>
      <w:r>
        <w:t xml:space="preserve">the Temperature-Vegetation Dryness Index, were expected to transfer best, because they should be less</w:t>
      </w:r>
      <w:r>
        <w:t xml:space="preserve"> </w:t>
      </w:r>
      <w:r>
        <w:t xml:space="preserve">affected by temperature differences between regions. A failure of these predictors to transfer is</w:t>
      </w:r>
      <w:r>
        <w:t xml:space="preserve"> </w:t>
      </w:r>
      <w:r>
        <w:t xml:space="preserve">therefore informative.</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for burned-area models with a controlled design. The model, the predictors</w:t>
      </w:r>
      <w:r>
        <w:t xml:space="preserve"> </w:t>
      </w:r>
      <w:r>
        <w:t xml:space="preserve">and the fitting were kept fixed, and only the scored cells were changed. With the region as the unit,</w:t>
      </w:r>
      <w:r>
        <w:t xml:space="preserve"> </w:t>
      </w:r>
      <w:r>
        <w:t xml:space="preserve">the score fell by</w:t>
      </w:r>
      <w:r>
        <w:t xml:space="preserve"> </w:t>
      </w:r>
      <w:r>
        <w:rPr>
          <w:b/>
          <w:bCs/>
        </w:rPr>
        <w:t xml:space="preserve">0.160 ROC-AUC</w:t>
      </w:r>
      <w:r>
        <w:t xml:space="preserve"> </w:t>
      </w:r>
      <w:r>
        <w:t xml:space="preserve">across five regions. The loss came from the unburned cells next to</w:t>
      </w:r>
      <w:r>
        <w:t xml:space="preserve"> </w:t>
      </w:r>
      <w:r>
        <w:t xml:space="preserve">the fire, not from class balance (Section 4.3). The same test showed that four between-region</w:t>
      </w:r>
      <w:r>
        <w:t xml:space="preserve"> </w:t>
      </w:r>
      <w:r>
        <w:t xml:space="preserve">results of this study depend on the study areas: mean transfer, the supported elevation reversals,</w:t>
      </w:r>
      <w:r>
        <w:t xml:space="preserve"> </w:t>
      </w:r>
      <w:r>
        <w:t xml:space="preserve">the reversal between the two Muğla fires, and the correlation of one similarity measure with</w:t>
      </w:r>
      <w:r>
        <w:t xml:space="preserve"> </w:t>
      </w:r>
      <w:r>
        <w:t xml:space="preserve">transfer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On the scar frame, however,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(Section 4.4). The</w:t>
      </w:r>
      <w:r>
        <w:t xml:space="preserve"> </w:t>
      </w:r>
      <w:r>
        <w:t xml:space="preserve">static baseline did not transfer better. On matched areas, transfer stayed</w:t>
      </w:r>
      <w:r>
        <w:t xml:space="preserve"> </w:t>
      </w:r>
      <w:r>
        <w:rPr>
          <w:b/>
          <w:bCs/>
        </w:rPr>
        <w:t xml:space="preserve">0.197</w:t>
      </w:r>
      <w:r>
        <w:t xml:space="preserve"> </w:t>
      </w:r>
      <w:r>
        <w:t xml:space="preserve">below the</w:t>
      </w:r>
      <w:r>
        <w:t xml:space="preserve"> </w:t>
      </w:r>
      <w:r>
        <w:t xml:space="preserve">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ranging from predictor distance to niche overlap and the agreement of</w:t>
      </w:r>
      <w:r>
        <w:t xml:space="preserve"> </w:t>
      </w:r>
      <w:r>
        <w:t xml:space="preserve">predictor-burning relationships. On the original study areas, none predicted transfer (Section</w:t>
      </w:r>
      <w:r>
        <w:t xml:space="preserve"> </w:t>
      </w:r>
      <w:r>
        <w:t xml:space="preserve">4.6). With ten independent region pairs, this is a failure to find an ordering, not proof that none</w:t>
      </w:r>
      <w:r>
        <w:t xml:space="preserve"> </w:t>
      </w:r>
      <w:r>
        <w:t xml:space="preserve">exists.</w:t>
      </w:r>
    </w:p>
    <w:p>
      <w:pPr>
        <w:pStyle w:val="BodyText"/>
      </w:pPr>
      <w:r>
        <w:t xml:space="preserve">The two label-free adaptation methods tested</w:t>
      </w:r>
      <w:r>
        <w:t xml:space="preserve"> </w:t>
      </w:r>
      <w:r>
        <w:t xml:space="preserve">(Sun et al. 2016)</w:t>
      </w:r>
      <w:r>
        <w:t xml:space="preserve"> </w:t>
      </w:r>
      <w:r>
        <w:t xml:space="preserve">did not improve transfer either. The analysis</w:t>
      </w:r>
      <w:r>
        <w:t xml:space="preserve"> </w:t>
      </w:r>
      <w:r>
        <w:t xml:space="preserve">code, configuration and frozen outputs are public, so all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which are dynamic and driven by weather, did not transfer well between</w:t>
      </w:r>
      <w:r>
        <w:t xml:space="preserve"> </w:t>
      </w:r>
      <w:r>
        <w:t xml:space="preserve">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list it among the main reasons for caution when AUC</w:t>
      </w:r>
      <w:r>
        <w:t xml:space="preserve"> </w:t>
      </w:r>
      <w:r>
        <w:t xml:space="preserve">values are compared, because a larger area adds more easy absences and raises the score. Related</w:t>
      </w:r>
      <w:r>
        <w:t xml:space="preserve"> </w:t>
      </w:r>
      <w:r>
        <w:t xml:space="preserve">effects were shown for spatial sorting bias between training and test sites</w:t>
      </w:r>
      <w:r>
        <w:t xml:space="preserve"> </w:t>
      </w:r>
      <w:r>
        <w:t xml:space="preserve">(Hijmans 2012)</w:t>
      </w:r>
      <w:r>
        <w:t xml:space="preserve"> </w:t>
      </w:r>
      <w:r>
        <w:t xml:space="preserve">and in a</w:t>
      </w:r>
      <w:r>
        <w:t xml:space="preserve"> </w:t>
      </w:r>
      <w:r>
        <w:t xml:space="preserve">general analysis of AUC</w:t>
      </w:r>
      <w:r>
        <w:t xml:space="preserve"> </w:t>
      </w:r>
      <w:r>
        <w:t xml:space="preserve">(Jiménez-Valverde 2012)</w:t>
      </w:r>
      <w:r>
        <w:t xml:space="preserv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next to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p>
      <w:pPr>
        <w:pStyle w:val="FirstParagraph"/>
      </w:pPr>
      <w:r>
        <w:t xml:space="preserve">This section first defines the terms used throughout. A</w:t>
      </w:r>
      <w:r>
        <w:t xml:space="preserve"> </w:t>
      </w:r>
      <w:r>
        <w:rPr>
          <w:b/>
          <w:bCs/>
        </w:rPr>
        <w:t xml:space="preserve">study area</w:t>
      </w:r>
      <w:r>
        <w:t xml:space="preserve"> </w:t>
      </w:r>
      <w:r>
        <w:t xml:space="preserve">is the rectangle drawn</w:t>
      </w:r>
      <w:r>
        <w:t xml:space="preserve"> </w:t>
      </w:r>
      <w:r>
        <w:t xml:space="preserve">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 area together with a 2 km collar of unburned cells around it, and a</w:t>
      </w:r>
      <w:r>
        <w:t xml:space="preserve"> </w:t>
      </w:r>
      <w:r>
        <w:rPr>
          <w:b/>
          <w:bCs/>
        </w:rPr>
        <w:t xml:space="preserve">distance collar</w:t>
      </w:r>
      <w:r>
        <w:t xml:space="preserve"> </w:t>
      </w:r>
      <w:r>
        <w:t xml:space="preserve">keeps all cells within 5 or 10 km of any burned cell. A result is called</w:t>
      </w:r>
      <w:r>
        <w:t xml:space="preserve"> </w:t>
      </w:r>
      <w:r>
        <w:rPr>
          <w:b/>
          <w:bCs/>
        </w:rPr>
        <w:t xml:space="preserve">supported</w:t>
      </w:r>
      <w:r>
        <w:t xml:space="preserve"> </w:t>
      </w:r>
      <w:r>
        <w:t xml:space="preserve">when its 95 % interval excludes the null value (0.5 for an AUC, 0 for a difference).</w:t>
      </w:r>
      <w:r>
        <w:t xml:space="preserve"> </w:t>
      </w:r>
      <w:r>
        <w:rPr>
          <w:b/>
          <w:bCs/>
        </w:rPr>
        <w:t xml:space="preserve">Label-free</w:t>
      </w:r>
      <w:r>
        <w:t xml:space="preserve"> </w:t>
      </w:r>
      <w:r>
        <w:t xml:space="preserve">methods use target features but never target labels.</w:t>
      </w:r>
    </w:p>
    <w:p>
      <w:pPr>
        <w:pStyle w:val="BodyText"/>
      </w:pPr>
      <w:r>
        <w:t xml:space="preserve">The analyses fall into two groups. The within-region comparison, the transfer matrix, the two</w:t>
      </w:r>
      <w:r>
        <w:t xml:space="preserve"> </w:t>
      </w:r>
      <w:r>
        <w:t xml:space="preserve">adaptation methods, the gap decomposition and the reversal test follow the fixed protocols of the</w:t>
      </w:r>
      <w:r>
        <w:t xml:space="preserve"> </w:t>
      </w:r>
      <w:r>
        <w:t xml:space="preserve">processing pipeline. The twenty similarity measures were recorded on 8 August 2026, before the label</w:t>
      </w:r>
      <w:r>
        <w:t xml:space="preserve"> </w:t>
      </w:r>
      <w:r>
        <w:t xml:space="preserve">correction of Section 3.2. By contrast, the frame test (Section 3.12), the distance collars, the equivalence tests, the additional resampling units and the analyses listed in Tables S21 and S35</w:t>
      </w:r>
      <w:r>
        <w:t xml:space="preserve"> </w:t>
      </w:r>
      <w:r>
        <w:t xml:space="preserve">(Sections S1.22 and S1.23) were added after the first results. These are exploratory, and they are reported as such.</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Each region</w:t>
      </w:r>
      <w:r>
        <w:t xml:space="preserve"> </w:t>
      </w:r>
      <w:r>
        <w:t xml:space="preserve">contributes one fire season, and each season was dominated by one large fire; in Muğla, however,</w:t>
      </w:r>
      <w:r>
        <w:t xml:space="preserve"> </w:t>
      </w:r>
      <w:r>
        <w:t xml:space="preserve">several separate burned areas occurred in the same weeks. The events were not sampled from a defined</w:t>
      </w:r>
      <w:r>
        <w:t xml:space="preserve"> </w:t>
      </w:r>
      <w:r>
        <w:t xml:space="preserve">population of fires, so the results describe large single-season events. Each study area is a</w:t>
      </w:r>
      <w:r>
        <w:t xml:space="preserve"> </w:t>
      </w:r>
      <w:r>
        <w:t xml:space="preserve">rectangle in EPSG:4326 around the fire. It was not clipped to the fire perimeter, so the unburned</w:t>
      </w:r>
      <w:r>
        <w:t xml:space="preserve"> </w:t>
      </w:r>
      <w:r>
        <w:t xml:space="preserve">cells around each fire form the negative class.</w:t>
      </w:r>
    </w:p>
    <w:p>
      <w:pPr>
        <w:pStyle w:val="BodyText"/>
      </w:pPr>
      <w:r>
        <w:t xml:space="preserve">The rectangles were not all fixed before any outcome was seen. Only the Montiferru rectangle follows</w:t>
      </w:r>
      <w:r>
        <w:t xml:space="preserve"> </w:t>
      </w:r>
      <w:r>
        <w:t xml:space="preserve">a stated rule, and the North Evia rectangle was extended after the first one showed a very high</w:t>
      </w:r>
      <w:r>
        <w:t xml:space="preserve"> </w:t>
      </w:r>
      <w:r>
        <w:t xml:space="preserve">burned fraction (Section S3.3, Table S19). The first Evia rectangle is kept as a sensitivity analysis</w:t>
      </w:r>
      <w:r>
        <w:t xml:space="preserve"> </w:t>
      </w:r>
      <w:r>
        <w:t xml:space="preserve">(Section S1.1). A sixth region, Kozan 2023, served as a negative control and was excluded by the gate</w:t>
      </w:r>
      <w:r>
        <w:t xml:space="preserve"> </w:t>
      </w:r>
      <w:r>
        <w:t xml:space="preserve">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serve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 2021)</w:t>
      </w:r>
      <w:r>
        <w:t xml:space="preserve">, through Google Earth Engine</w:t>
      </w:r>
      <w:r>
        <w:t xml:space="preserve"> </w:t>
      </w:r>
      <w:r>
        <w:t xml:space="preserve">(Gorelick et al. 2017)</w:t>
      </w:r>
      <w:r>
        <w:t xml:space="preserve">. Its errors</w:t>
      </w:r>
      <w:r>
        <w:t xml:space="preserve"> </w:t>
      </w:r>
      <w:r>
        <w:t xml:space="preserve">(Boschetti et al. 2019)</w:t>
      </w:r>
      <w:r>
        <w:t xml:space="preserve"> </w:t>
      </w:r>
      <w:r>
        <w:t xml:space="preserve">limit every model in this study. As a check, the within-region and transfer analyses</w:t>
      </w:r>
      <w:r>
        <w:t xml:space="preserve"> </w:t>
      </w:r>
      <w:r>
        <w:t xml:space="preserve">were repeated with the VIIRS VNP64A1 product</w:t>
      </w:r>
      <w:r>
        <w:t xml:space="preserve"> </w:t>
      </w:r>
      <w:r>
        <w:t xml:space="preserve">(Giglio 2024)</w:t>
      </w:r>
      <w:r>
        <w:t xml:space="preserve"> </w:t>
      </w:r>
      <w:r>
        <w:t xml:space="preserve">(Section S1.23). The MCD64A1 monthly burn-date</w:t>
      </w:r>
      <w:r>
        <w:t xml:space="preserve"> </w:t>
      </w:r>
      <w:r>
        <w:t xml:space="preserve">layer was sampled onto the 30 m reference grid of the processing pipeline by</w:t>
      </w:r>
      <w:r>
        <w:t xml:space="preserve"> </w:t>
      </w:r>
      <w:r>
        <w:t xml:space="preserve">nearest neighbour, so each ~500 m observation is repeated over the 30 m pixels below it. The</w:t>
      </w:r>
      <w:r>
        <w:t xml:space="preserve"> </w:t>
      </w:r>
      <w:r>
        <w:t xml:space="preserve">analysis grid is built from this grid in blocks of 17 × 17 pixels. A cell is therefore about 510 m from north to south and 390 to</w:t>
      </w:r>
      <w:r>
        <w:t xml:space="preserve"> </w:t>
      </w:r>
      <w:r>
        <w:t xml:space="preserve">407 m from east to west, with an area of 0.199 to 0.208 km² (a MODIS cell is 0.215 km²). A cell is</w:t>
      </w:r>
      <w:r>
        <w:t xml:space="preserve"> </w:t>
      </w:r>
      <w:r>
        <w:t xml:space="preserve">labelled burned when any of its pixels has a burn date in the label window. Because of this rule, a</w:t>
      </w:r>
      <w:r>
        <w:t xml:space="preserve"> </w:t>
      </w:r>
      <w:r>
        <w:t xml:space="preserve">scar can grow by up to one cell at its edge. Water cells are removed by the population filter of</w:t>
      </w:r>
      <w:r>
        <w:t xml:space="preserve"> </w:t>
      </w:r>
      <w:r>
        <w:t xml:space="preserve">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48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while the within-region gain stayed positive in all regions</w:t>
      </w:r>
      <w:r>
        <w:t xml:space="preserve"> </w:t>
      </w:r>
      <w:r>
        <w:t xml:space="preserve">(Section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Conversely, it is rejected</w:t>
      </w:r>
      <w:r>
        <w:t xml:space="preserve"> </w:t>
      </w:r>
      <w:r>
        <w:t xml:space="preserve">as a cropland 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derived from Landsat</w:t>
      </w:r>
      <w:r>
        <w:t xml:space="preserve"> </w:t>
      </w:r>
      <w:r>
        <w:t xml:space="preserve">8 surface temperature, screened for quality and composited as the median of the predictor window.</w:t>
      </w:r>
      <w:r>
        <w:t xml:space="preserve"> </w:t>
      </w:r>
      <w:r>
        <w:t xml:space="preserve">The six channels are current LST, its anomaly against the four baseline years, the TVDI</w:t>
      </w:r>
      <w:r>
        <w:t xml:space="preserve"> </w:t>
      </w:r>
      <w:r>
        <w:t xml:space="preserve">(Sandholt et al. 2002)</w:t>
      </w:r>
      <w:r>
        <w:t xml:space="preserve">, its difference from the baseline years, a downscaled LST and a fused LST. The last two use MODIS MOD11A1 v061 daytime LST (Terra, about 10:30 local time)</w:t>
      </w:r>
      <w:r>
        <w:t xml:space="preserve"> </w:t>
      </w:r>
      <w:r>
        <w:t xml:space="preserve">(Wan et al. 2021)</w:t>
      </w:r>
      <w:r>
        <w:t xml:space="preserve"> </w:t>
      </w:r>
      <w:r>
        <w:t xml:space="preserve">and a</w:t>
      </w:r>
      <w:r>
        <w:t xml:space="preserve"> </w:t>
      </w:r>
      <w:r>
        <w:t xml:space="preserve">random-forest downscaling model to fill gaps in Landsat (0.11 % to 9.70 % of pixels,</w:t>
      </w:r>
      <w:r>
        <w:t xml:space="preserve"> </w:t>
      </w:r>
      <w:r>
        <w:t xml:space="preserve">depending on the region). Because TVDI edges are fitted inside each study area and window, a TVDI value does not mean the</w:t>
      </w:r>
      <w:r>
        <w:t xml:space="preserve"> </w:t>
      </w:r>
      <w:r>
        <w:t xml:space="preserve">same moisture state in two regions (Section S3.4). The median pixel had three to six clear Landsat</w:t>
      </w:r>
      <w:r>
        <w:t xml:space="preserve"> </w:t>
      </w:r>
      <w:r>
        <w:t xml:space="preserve">observations in the predictor window, and one to seven in each baseline year (Table S36). Landsat 9</w:t>
      </w:r>
      <w:r>
        <w:t xml:space="preserve"> </w:t>
      </w:r>
      <w:r>
        <w:t xml:space="preserve">was not used.</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As a result, two principal components explain 92 % to 98 %</w:t>
      </w:r>
      <w:r>
        <w:t xml:space="preserve"> </w:t>
      </w:r>
      <w:r>
        <w:t xml:space="preserve">of their variance (Section S3.4), and counts over the nine numeric predictors are read with care.</w:t>
      </w:r>
    </w:p>
    <w:p>
      <w:pPr>
        <w:pStyle w:val="BodyText"/>
      </w:pPr>
      <w:r>
        <w:rPr>
          <w:b/>
          <w:bCs/>
        </w:rPr>
        <w:t xml:space="preserve">Land cover.</w:t>
      </w:r>
      <w:r>
        <w:t xml:space="preserve"> </w:t>
      </w:r>
      <w:r>
        <w:t xml:space="preserve">WorldCover v200 is built from 2021 images, which is after the fire for the four</w:t>
      </w:r>
      <w:r>
        <w:t xml:space="preserve"> </w:t>
      </w:r>
      <w:r>
        <w:t xml:space="preserve">2021 events. All analyses were therefore repeated with the 2020 map (WorldCover v100</w:t>
      </w:r>
      <w:r>
        <w:t xml:space="preserve"> </w:t>
      </w:r>
      <w:r>
        <w:t xml:space="preserve">(Zanaga et al. 2021)</w:t>
      </w:r>
      <w:r>
        <w:t xml:space="preserve">), aggregated</w:t>
      </w:r>
      <w:r>
        <w:t xml:space="preserve"> </w:t>
      </w:r>
      <w:r>
        <w:t xml:space="preserve">to the same cells. The 2020 map changed the population by at most 43 burned cells in four regions. In</w:t>
      </w:r>
      <w:r>
        <w:t xml:space="preserve"> </w:t>
      </w:r>
      <w:r>
        <w:t xml:space="preserve">Montiferru, however, it added 142 burned cells that the 2021 map did not class as natural</w:t>
      </w:r>
      <w:r>
        <w:t xml:space="preserve"> </w:t>
      </w:r>
      <w:r>
        <w:t xml:space="preserve">vegetation. The within-region gains and the transfer results did not change in any conclusion</w:t>
      </w:r>
      <w:r>
        <w:t xml:space="preserve"> </w:t>
      </w:r>
      <w:r>
        <w:t xml:space="preserve">(Section S1.23).</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w:t>
      </w:r>
      <w:r>
        <w:t xml:space="preserve"> </w:t>
      </w:r>
      <w:r>
        <w:t xml:space="preserve">the region. These values are filled inside the model pipeline (Section 3.6), and missingness is not related to burning (AUC 0.49 to 0.51 in every region; Table S35). A</w:t>
      </w:r>
      <w:r>
        <w:t xml:space="preserve"> </w:t>
      </w:r>
      <w:r>
        <w:rPr>
          <w:b/>
          <w:bCs/>
        </w:rPr>
        <w:t xml:space="preserve">secondary</w:t>
      </w:r>
      <w:r>
        <w:t xml:space="preserve"> </w:t>
      </w:r>
      <w:r>
        <w:t xml:space="preserve">population of all valid cells</w:t>
      </w:r>
      <w:r>
        <w:t xml:space="preserve"> </w:t>
      </w:r>
      <w:r>
        <w:t xml:space="preserve">is used only as a within-region sensitivity analysis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models of Section 3.9 are the only exception. The classifier is</w:t>
      </w:r>
      <w:r>
        <w:t xml:space="preserve"> </w:t>
      </w:r>
      <w:r>
        <w:t xml:space="preserve">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These settings were fixed in advance, were not tuned, and are the</w:t>
      </w:r>
      <w:r>
        <w:t xml:space="preserve"> </w:t>
      </w:r>
      <w:r>
        <w:t xml:space="preserve">same in every analysis.</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are reported; they are written as</w:t>
      </w:r>
      <w:r>
        <w:t xml:space="preserve"> </w:t>
      </w:r>
      <w:r>
        <w:t xml:space="preserve">1 km, 5 km and 10 km blocking in the text.</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 Precision-recall AUC is also reported, because it reflects how a susceptibility map is used when</w:t>
      </w:r>
      <w:r>
        <w:t xml:space="preserve"> </w:t>
      </w:r>
      <w:r>
        <w:t xml:space="preserve">burned cells are rare</w:t>
      </w:r>
      <w:r>
        <w:t xml:space="preserve"> </w:t>
      </w:r>
      <w:r>
        <w:t xml:space="preserve">(Sofaer et al. 2019)</w:t>
      </w:r>
      <w:r>
        <w:t xml:space="preserve">. The out-of-fold residuals stay spatially correlated beyond 5 km. Their correlation falls below 0.05</w:t>
      </w:r>
      <w:r>
        <w:t xml:space="preserve"> </w:t>
      </w:r>
      <w:r>
        <w:t xml:space="preserve">at 10 to 20 km in Manavgat, Bejís and Muğla, at 5 to 10 km in Montiferru, and only at 20 to 40 km in</w:t>
      </w:r>
      <w:r>
        <w:t xml:space="preserve"> </w:t>
      </w:r>
      <w:r>
        <w:t xml:space="preserve">North Evia (Section S1.23). Intervals at 5 km blocking may therefore be too narrow, especially in</w:t>
      </w:r>
      <w:r>
        <w:t xml:space="preserve"> </w:t>
      </w:r>
      <w:r>
        <w:t xml:space="preserve">North Evia, where even 10 km blocks do not remove the dependence; the 10 km results are given as a</w:t>
      </w:r>
      <w:r>
        <w:t xml:space="preserve"> </w:t>
      </w:r>
      <w:r>
        <w:t xml:space="preserve">check.</w:t>
      </w:r>
    </w:p>
    <w:p>
      <w:pPr>
        <w:pStyle w:val="BodyText"/>
      </w:pPr>
      <w:r>
        <w:t xml:space="preserve">Uncertainty is estimated with a spatial-block bootstrap. Blocks are resampled with replacement, 1000</w:t>
      </w:r>
      <w:r>
        <w:t xml:space="preserve"> </w:t>
      </w:r>
      <w:r>
        <w:t xml:space="preserve">times, with seed 42, and the 2.5 and 97.5 percentiles give the interval. Differences are paired</w:t>
      </w:r>
      <w:r>
        <w:t xml:space="preserve"> </w:t>
      </w:r>
      <w:r>
        <w:t xml:space="preserve">within each replicate, and the block size is given with every result. Quantities with one value per</w:t>
      </w:r>
      <w:r>
        <w:t xml:space="preserve"> </w:t>
      </w:r>
      <w:r>
        <w:t xml:space="preserve">transfer direction are resampled over the ten region pairs; this pair-cluster bootstrap is the</w:t>
      </w:r>
      <w:r>
        <w:t xml:space="preserve"> </w:t>
      </w:r>
      <w:r>
        <w:rPr>
          <w:b/>
          <w:bCs/>
        </w:rPr>
        <w:t xml:space="preserve">primary resampling unit</w:t>
      </w:r>
      <w:r>
        <w:t xml:space="preserve"> </w:t>
      </w:r>
      <w:r>
        <w:t xml:space="preserve">for direction-level intervals, and five further units are compared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free-domain-adaptation"/>
    <w:p>
      <w:pPr>
        <w:pStyle w:val="Heading2"/>
      </w:pPr>
      <w:r>
        <w:t xml:space="preserve">3.9 Label-free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Both methods use target feature statistics, which are available before a fire, but never</w:t>
      </w:r>
      <w:r>
        <w:t xml:space="preserve"> </w:t>
      </w:r>
      <w:r>
        <w:t xml:space="preserve">target labels. The value of λ was not chosen by performance; its effect is reported in Sections S1.2 and S1.23.</w:t>
      </w:r>
      <w:r>
        <w:t xml:space="preserve"> </w:t>
      </w:r>
      <w:r>
        <w:t xml:space="preserve">Details are given in Section S3.8.</w:t>
      </w:r>
    </w:p>
    <w:bookmarkEnd w:id="35"/>
    <w:bookmarkStart w:id="36" w:name="Xd87d771640219ba40600ec3fb81f3aaf53cf849"/>
    <w:p>
      <w:pPr>
        <w:pStyle w:val="Heading2"/>
      </w:pPr>
      <w:r>
        <w:t xml:space="preserve">3.10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A reversal between</w:t>
      </w:r>
      <w:r>
        <w:t xml:space="preserve"> </w:t>
      </w:r>
      <w:r>
        <w:t xml:space="preserve">two regions is called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a Holm correction over</w:t>
      </w:r>
      <w:r>
        <w:t xml:space="preserve"> </w:t>
      </w:r>
      <w:r>
        <w:t xml:space="preserve">each family of feature-by-pair comparisons is also reported (Section S1.19). A marginal reversal can</w:t>
      </w:r>
      <w:r>
        <w:t xml:space="preserve"> </w:t>
      </w:r>
      <w:r>
        <w:t xml:space="preserve">also arise when the predictors are distributed differently in two regions, so it is not a direct</w:t>
      </w:r>
      <w:r>
        <w:t xml:space="preserve"> </w:t>
      </w:r>
      <w:r>
        <w:t xml:space="preserve">test of a change in the predictor-burning relationship.</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Four</w:t>
      </w:r>
      <w:r>
        <w:t xml:space="preserve"> </w:t>
      </w:r>
      <w:r>
        <w:t xml:space="preserve">evaluations use it (Table 2). A scores the out-of-fold predictions of 5-fold blocked cross-validation</w:t>
      </w:r>
      <w:r>
        <w:t xml:space="preserve"> </w:t>
      </w:r>
      <w:r>
        <w:t xml:space="preserve">(</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 same model scored</w:t>
      </w:r>
      <w:r>
        <w:t xml:space="preserve"> </w:t>
      </w:r>
      <w:r>
        <w:t xml:space="preserve">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w:t>
      </w:r>
      <w:r>
        <w:t xml:space="preserve"> </w:t>
      </w:r>
      <w:r>
        <w:t xml:space="preserve">on</w:t>
      </w:r>
      <w:r>
        <w:t xml:space="preserve"> </w:t>
      </w:r>
      <m:oMath>
        <m:sSub>
          <m:e>
            <m:r>
              <m:t>H</m:t>
            </m:r>
          </m:e>
          <m:sub>
            <m:r>
              <m:t>K</m:t>
            </m:r>
          </m:sub>
        </m:sSub>
      </m:oMath>
      <w:r>
        <w:t xml:space="preserve">. Three controls reuse the predictions of A: a prevalence-matched sample, a negative-pool</w:t>
      </w:r>
      <w:r>
        <w:t xml:space="preserve"> </w:t>
      </w:r>
      <w:r>
        <w:t xml:space="preserve">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t xml:space="preserve">The study areas, burned cells and collars are mapped in Fig. S1.</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 changed mean transfer by at most 0.003, but single directions by up to</w:t>
      </w:r>
      <w:r>
        <w:t xml:space="preserve"> </w:t>
      </w:r>
      <w:r>
        <w:t xml:space="preserve">0.049 (seed-to-seed standard deviation at most 0.015; Section S1.23). This variation is not part of</w:t>
      </w:r>
      <w:r>
        <w:t xml:space="preserve"> </w:t>
      </w:r>
      <w:r>
        <w:t xml:space="preserve">the direction-level intervals. Across five bootstrap seeds,</w:t>
      </w:r>
      <w:r>
        <w:t xml:space="preserve"> </w:t>
      </w:r>
      <w:r>
        <w:t xml:space="preserve">every transfer verdict at 1 km blocking is stable, whereas at 5 km three verdicts change (Section</w:t>
      </w:r>
      <w:r>
        <w:t xml:space="preserve"> </w:t>
      </w:r>
      <w:r>
        <w:t xml:space="preserve">S1.20).</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 (Section</w:t>
      </w:r>
      <w:r>
        <w:t xml:space="preserve"> </w:t>
      </w:r>
      <w:r>
        <w:t xml:space="preserve">S3.5(vi)). Exact reproduction therefore needs the archived environment. The label correction and the</w:t>
      </w:r>
      <w:r>
        <w:t xml:space="preserve"> </w:t>
      </w:r>
      <w:r>
        <w:t xml:space="preserve">re-run were done by the corresponding author and were not repeated independently by the author of</w:t>
      </w:r>
      <w:r>
        <w:t xml:space="preserve"> </w:t>
      </w:r>
      <w:r>
        <w:t xml:space="preserve">the pipeline. The source file of every reported number is named in the Supplementary Material.</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draft and edit text, and to produce simulated referee</w:t>
      </w:r>
      <w:r>
        <w:t xml:space="preserve"> </w:t>
      </w:r>
      <w:r>
        <w:t xml:space="preserve">reports on drafts, which the authors used as an internal check. Every input is identified by</w:t>
      </w:r>
      <w:r>
        <w:t xml:space="preserve"> </w:t>
      </w:r>
      <w:r>
        <w:t xml:space="preserve">SHA-256, and reported numbers are checked automatically against tracked outputs. The corresponding</w:t>
      </w:r>
      <w:r>
        <w:t xml:space="preserve"> </w:t>
      </w:r>
      <w:r>
        <w:t xml:space="preserve">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However, season, year and</w:t>
      </w:r>
      <w:r>
        <w:t xml:space="preserve"> </w:t>
      </w:r>
      <w:r>
        <w:t xml:space="preserve">population all differ between the two fires, because the 2022 population is defined by removing the</w:t>
      </w:r>
      <w:r>
        <w:t xml:space="preserve"> </w:t>
      </w:r>
      <w:r>
        <w:t xml:space="preserve">2021 scar (Sections 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while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separates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 on only 6 to 33 blocks that contain burned cells, so they are indicative. The gain also stayed positive, with interval support in all five regions, when the predictor window</w:t>
      </w:r>
      <w:r>
        <w:t xml:space="preserve"> </w:t>
      </w:r>
      <w:r>
        <w:t xml:space="preserve">was closed up to two weeks earlier (Section S1.4). With labels from VIIRS VNP64A1 instead of</w:t>
      </w:r>
      <w:r>
        <w:t xml:space="preserve"> </w:t>
      </w:r>
      <w:r>
        <w:t xml:space="preserve">MCD64A1, the gain stayed positive in all five regions at the point estimates (Section S1.23). When terrain aspect was added to both feature sets, the</w:t>
      </w:r>
      <w:r>
        <w:t xml:space="preserve"> </w:t>
      </w:r>
      <w:r>
        <w:t xml:space="preserve">gain stayed supported in four regions (+0.044 to +0.139) but fell to +0.020 [−0.025, +0.066] in</w:t>
      </w:r>
      <w:r>
        <w:t xml:space="preserve"> </w:t>
      </w:r>
      <w:r>
        <w:t xml:space="preserve">Montiferru (Section S1.23).</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of 2, 10 and 20 cells correspond to about 1, 5 and 10 km.</w:t>
      </w:r>
      <w:r>
        <w:t xml:space="preserve"> </w:t>
      </w:r>
      <w:r>
        <w:t xml:space="preserve">The Baseline and Thermal columns are ROC-AUC, and the 95 % CI belongs to ΔAUC. Source files are</w:t>
      </w:r>
      <w:r>
        <w:t xml:space="preserve"> </w:t>
      </w:r>
      <w:r>
        <w:t xml:space="preserve">listed in the Supplementary Material.</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At 10 cells (about 5 km), every region has 16 to 70 blocks with burned cells, so this is</w:t>
      </w:r>
      <w:r>
        <w:t xml:space="preserve"> </w:t>
      </w:r>
      <w:r>
        <w:t xml:space="preserve">the coarsest blocking that the design supports. The 20-cell rows are indicative. Block counts are</w:t>
      </w:r>
      <w:r>
        <w:t xml:space="preserve"> </w:t>
      </w:r>
      <w:r>
        <w:t xml:space="preserve">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so no transfer</w:t>
      </w:r>
      <w:r>
        <w:t xml:space="preserve"> </w:t>
      </w:r>
      <w:r>
        <w:t xml:space="preserve">is 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scar of at least 50 burned cells</w:t>
      </w:r>
      <w:r>
        <w:t xml:space="preserve"> </w:t>
      </w:r>
      <w:r>
        <w:t xml:space="preserve">together with its 2 km collar.</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scar frame. Row A is the whole region and is shown to make the difference</w:t>
      </w:r>
      <w:r>
        <w:t xml:space="preserve"> </w:t>
      </w:r>
      <w:r>
        <w:t xml:space="preserve">visible. Means and Student</w:t>
      </w:r>
      <w:r>
        <w:t xml:space="preserve"> </w:t>
      </w:r>
      <w:r>
        <w:rPr>
          <w:i/>
          <w:iCs/>
        </w:rPr>
        <w:t xml:space="preserve">t</w:t>
      </w:r>
      <w:r>
        <w:t xml:space="preserve"> </w:t>
      </w:r>
      <w:r>
        <w:t xml:space="preserve">intervals over the seven scars that allow row C: four in Muğla, two in</w:t>
      </w:r>
      <w:r>
        <w:t xml:space="preserve"> </w:t>
      </w:r>
      <w:r>
        <w:t xml:space="preserve">Montiferru and one in Evia. The</w:t>
      </w:r>
      <w:r>
        <w:t xml:space="preserve"> </w:t>
      </w:r>
      <w:r>
        <w:rPr>
          <w:i/>
          <w:iCs/>
        </w:rPr>
        <w:t xml:space="preserve">t</w:t>
      </w:r>
      <w:r>
        <w:t xml:space="preserve"> </w:t>
      </w:r>
      <w:r>
        <w:t xml:space="preserve">intervals treat scars as independent; region-level estimates are</w:t>
      </w:r>
      <w:r>
        <w:t xml:space="preserve"> </w:t>
      </w:r>
      <w:r>
        <w:t xml:space="preserve">given in the text. Cell counts per scar are in Table S1.</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scores lower on the scar frame.</w:t>
      </w:r>
      <w:r>
        <w:t xml:space="preserve"> </w:t>
      </w:r>
      <w:r>
        <w:t xml:space="preserve">Rows A and B use one model and one set of</w:t>
      </w:r>
      <w:r>
        <w:t xml:space="preserve"> </w:t>
      </w:r>
      <w:r>
        <w:t xml:space="preserve">predictions, and only the scored cells differ. Over the seven scars of Table 2, A minus B is 0.133</w:t>
      </w:r>
      <w:r>
        <w:t xml:space="preserve"> </w:t>
      </w:r>
      <w:r>
        <w:t xml:space="preserve">[+0.060, +0.207]. The primary estimate uses all nine scars, including the single scars of Manavgat</w:t>
      </w:r>
      <w:r>
        <w:t xml:space="preserve"> </w:t>
      </w:r>
      <w:r>
        <w:t xml:space="preserve">and Bejís, which have no row C (Tables S1 and S5). With the region as the unit, the change then</w:t>
      </w:r>
      <w:r>
        <w:t xml:space="preserve"> </w:t>
      </w:r>
      <w:r>
        <w:t xml:space="preserve">costs</w:t>
      </w:r>
      <w:r>
        <w:t xml:space="preserve"> </w:t>
      </w:r>
      <w:r>
        <w:rPr>
          <w:b/>
          <w:bCs/>
        </w:rPr>
        <w:t xml:space="preserve">+0.160 [+0.090, +0.230]</w:t>
      </w:r>
      <w:r>
        <w:t xml:space="preserve"> </w:t>
      </w:r>
      <w:r>
        <w:t xml:space="preserve">over five regions, and +0.137 [+0.048, +0.226] over the three</w:t>
      </w:r>
      <w:r>
        <w:t xml:space="preserve"> </w:t>
      </w:r>
      <w:r>
        <w:t xml:space="preserve">regions of Table 2. The seven-scar interval is too narrow, because row A is repeated for each scar of a region. With the region as the unit, the</w:t>
      </w:r>
      <w:r>
        <w:t xml:space="preserve"> </w:t>
      </w:r>
      <w:r>
        <w:t xml:space="preserve">fall from A to C is +0.266 [−0.022, +0.553].</w:t>
      </w:r>
      <w:r>
        <w:t xml:space="preserve"> </w:t>
      </w:r>
      <w:r>
        <w:rPr>
          <w:b/>
          <w:bCs/>
        </w:rPr>
        <w:t xml:space="preserve">Only the frame cost is therefore established at the</w:t>
      </w:r>
      <w:r>
        <w:rPr>
          <w:b/>
          <w:bCs/>
        </w:rPr>
        <w:t xml:space="preserve"> </w:t>
      </w:r>
      <w:r>
        <w:rPr>
          <w:b/>
          <w:bCs/>
        </w:rPr>
        <w:t xml:space="preserve">region level.</w:t>
      </w:r>
      <w:r>
        <w:t xml:space="preserve"> </w:t>
      </w:r>
      <w:r>
        <w:t xml:space="preserve">The two frames answer different questions (Section 3.12), so the region-wide score is</w:t>
      </w:r>
      <w:r>
        <w:t xml:space="preserve"> </w:t>
      </w:r>
      <w:r>
        <w:t xml:space="preserve">not a biased version of the scar score. It is, however, the more optimistic of the two, and it holds</w:t>
      </w:r>
      <w:r>
        <w:t xml:space="preserve"> </w:t>
      </w:r>
      <w:r>
        <w:t xml:space="preserve">in all nine scars.</w:t>
      </w:r>
    </w:p>
    <w:p>
      <w:pPr>
        <w:pStyle w:val="BodyText"/>
      </w:pPr>
      <w:r>
        <w:rPr>
          <w:b/>
          <w:bCs/>
        </w:rPr>
        <w:t xml:space="preserve">The cost comes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This is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w:t>
      </w:r>
      <w:r>
        <w:t xml:space="preserve"> </w:t>
      </w:r>
      <w:r>
        <w:t xml:space="preserve">unit (Table S21). Across regions, the cost showed no relation to the share of distant cells in the study area (slope</w:t>
      </w:r>
      <w:r>
        <w:t xml:space="preserve"> </w:t>
      </w:r>
      <w:r>
        <w:t xml:space="preserve">0.005 [−0.41, +0.42], n = 5), although this test has little power. The pool swaps and the placebo</w:t>
      </w:r>
      <w:r>
        <w:t xml:space="preserve"> </w:t>
      </w:r>
      <w:r>
        <w:t xml:space="preserve">collar show that the cost comes from the unburned cells next to the fire.</w:t>
      </w:r>
    </w:p>
    <w:p>
      <w:pPr>
        <w:pStyle w:val="BodyText"/>
      </w:pPr>
      <w:r>
        <w:rPr>
          <w:b/>
          <w:bCs/>
        </w:rPr>
        <w:t xml:space="preserve">Withholding the fire or moving the model had no measurable cost, but the test is weak.</w:t>
      </w:r>
      <w:r>
        <w:t xml:space="preserve"> </w:t>
      </w:r>
      <w:r>
        <w:t xml:space="preserve">B minus</w:t>
      </w:r>
      <w:r>
        <w:t xml:space="preserve"> </w:t>
      </w:r>
      <w:r>
        <w:t xml:space="preserve">C, the effect of withholding the scar, is +0.094 [−0.012, +0.200]. C minus D, the effect of using a</w:t>
      </w:r>
      <w:r>
        <w:t xml:space="preserve"> </w:t>
      </w:r>
      <w:r>
        <w:t xml:space="preserve">model from 306 to 2,802 km away, is −0.007 [−0.070, +0.057]. Both intervals include zero, and both</w:t>
      </w:r>
      <w:r>
        <w:t xml:space="preserve"> </w:t>
      </w:r>
      <w:r>
        <w:t xml:space="preserve">evaluations are close to chance. In Evia, however, withholding the scar leaves only 11 burned cells</w:t>
      </w:r>
      <w:r>
        <w:t xml:space="preserve"> </w:t>
      </w:r>
      <w:r>
        <w:t xml:space="preserve">for training. In Muğla alone, where every held-out case keeps a well-trained model, C and D are 0.579</w:t>
      </w:r>
      <w:r>
        <w:t xml:space="preserve"> </w:t>
      </w:r>
      <w:r>
        <w:t xml:space="preserve">and 0.586. With region-level clustering the intervals widen strongly. For example, the difference in</w:t>
      </w:r>
      <w:r>
        <w:t xml:space="preserve"> </w:t>
      </w:r>
      <w:r>
        <w:t xml:space="preserve">thermal gain between rows C and D widens from [−0.061, +0.094] to [−0.154, +0.186]. Effects of up to</w:t>
      </w:r>
      <w:r>
        <w:t xml:space="preserve"> </w:t>
      </w:r>
      <w:r>
        <w:t xml:space="preserve">about 0.2 therefore cannot be excluded.</w:t>
      </w:r>
    </w:p>
    <w:p>
      <w:pPr>
        <w:pStyle w:val="BodyText"/>
      </w:pPr>
      <w:r>
        <w:rPr>
          <w:b/>
          <w:bCs/>
        </w:rPr>
        <w:t xml:space="preserve">On the scar frame, the thermal gain is not established.</w:t>
      </w:r>
      <w:r>
        <w:t xml:space="preserve"> </w:t>
      </w:r>
      <w:r>
        <w:t xml:space="preserve">The same four evaluations were applied to</w:t>
      </w:r>
      <w:r>
        <w:t xml:space="preserve"> </w:t>
      </w:r>
      <w:r>
        <w:t xml:space="preserve">the thermal gain at 5 km blocking. Averaged over the seven scars, with Muğla counted four times, the</w:t>
      </w:r>
      <w:r>
        <w:t xml:space="preserve"> </w:t>
      </w:r>
      <w:r>
        <w:t xml:space="preserve">region-wide gain is +0.095. On the scar frame the same predictions give +0.021 [−0.059, +0.100].</w:t>
      </w:r>
      <w:r>
        <w:t xml:space="preserve"> </w:t>
      </w:r>
      <w:r>
        <w:t xml:space="preserve">Leave-one-scar-out gives +0.024 [−0.040, +0.089], and a foreign model +0.008 [−0.021, +0.038]. The</w:t>
      </w:r>
      <w:r>
        <w:t xml:space="preserve"> </w:t>
      </w:r>
      <w:r>
        <w:t xml:space="preserve">fall from +0.095 therefore occurs when the frame changes, not when the training data change (Section</w:t>
      </w:r>
      <w:r>
        <w:t xml:space="preserve"> </w:t>
      </w:r>
      <w:r>
        <w:t xml:space="preserve">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 modelled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 on</w:t>
      </w:r>
      <w:r>
        <w:t xml:space="preserve"> </w:t>
      </w:r>
      <w:r>
        <w:t xml:space="preserve">the 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3.12).</w:t>
      </w:r>
    </w:p>
    <w:p>
      <w:pPr>
        <w:pStyle w:val="BodyText"/>
        <w:keepNext/>
      </w:pPr>
      <w:r>
        <w:rPr>
          <w:b/>
          <w:bCs/>
        </w:rPr>
        <w:t xml:space="preserve">Table 3. Cross-region transfer on the original study areas and on the distance collars.</w:t>
      </w:r>
      <w:r>
        <w:t xml:space="preserve"> </w:t>
      </w:r>
      <w:r>
        <w:t xml:space="preserve">Twenty</w:t>
      </w:r>
      <w:r>
        <w:t xml:space="preserve"> </w:t>
      </w:r>
      <w:r>
        <w:t xml:space="preserve">ordered directions, primary population, thermal feature set unless stated. The below-chance count is</w:t>
      </w:r>
      <w:r>
        <w:t xml:space="preserve"> </w:t>
      </w:r>
      <w:r>
        <w:t xml:space="preserve">a point count.</w:t>
      </w:r>
      <w:r>
        <w:t xml:space="preserve"> </w:t>
      </w:r>
      <w:r>
        <w:t xml:space="preserve">“Supported above / below”</w:t>
      </w:r>
      <w:r>
        <w:t xml:space="preserve"> </w:t>
      </w:r>
      <w:r>
        <w:t xml:space="preserve">counts directions whose interval excludes 0.5, from a 10-cell</w:t>
      </w:r>
      <w:r>
        <w:t xml:space="preserve"> </w:t>
      </w:r>
      <w:r>
        <w:t xml:space="preserve">(about 5 km) target-block bootstrap. Δ is the paired thermal-minus-baseline difference with a</w:t>
      </w:r>
      <w:r>
        <w:t xml:space="preserve"> </w:t>
      </w:r>
      <w:r>
        <w:t xml:space="preserve">pair-cluster bootstrap interval, 1000 replicates (with 20,000 replicates, as in Table S31, the collar</w:t>
      </w:r>
      <w:r>
        <w:t xml:space="preserve"> </w:t>
      </w:r>
      <w:r>
        <w:t xml:space="preserve">interval is [−0.003, +0.051]). W − T is the within-region thermal gain minus the</w:t>
      </w:r>
      <w:r>
        <w:t xml:space="preserve"> </w:t>
      </w:r>
      <w:r>
        <w:t xml:space="preserve">transfer gain, averaged by target region, with a Student</w:t>
      </w:r>
      <w:r>
        <w:t xml:space="preserve"> </w:t>
      </w:r>
      <w:r>
        <w:rPr>
          <w:i/>
          <w:iCs/>
        </w:rPr>
        <w:t xml:space="preserve">t</w:t>
      </w:r>
      <w:r>
        <w:t xml:space="preserve"> </w:t>
      </w:r>
      <w:r>
        <w:t xml:space="preserve">interval over the five targets.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includes</w:t>
      </w:r>
      <w:r>
        <w:t xml:space="preserve"> </w:t>
      </w:r>
      <w:r>
        <w:t xml:space="preserve">zero under the primary resampling unit. Of the five other units that can be computed, two exclude</w:t>
      </w:r>
      <w:r>
        <w:t xml:space="preserve"> </w:t>
      </w:r>
      <w:r>
        <w:t xml:space="preserve">zero: clustering by target region and clustering by source region (Section S1.22). In an exploratory equivalence test with a margin of ±0.05, set after the results, the gain on the</w:t>
      </w:r>
      <w:r>
        <w:t xml:space="preserve"> </w:t>
      </w:r>
      <w:r>
        <w:t xml:space="preserve">original study areas was within the margin under all six units that can be computed, and the collar</w:t>
      </w:r>
      <w:r>
        <w:t xml:space="preserve"> </w:t>
      </w:r>
      <w:r>
        <w:t xml:space="preserve">gain under four of six. It was not within the margin under the pigeonhole bootstrap or the region</w:t>
      </w:r>
      <w:r>
        <w:t xml:space="preserve"> </w:t>
      </w:r>
      <w:r>
        <w:t xml:space="preserve">jackknife, whose 90 % upper bounds are 0.052 and 0.055. The difference between the within-region and</w:t>
      </w:r>
      <w:r>
        <w:t xml:space="preserve"> </w:t>
      </w:r>
      <w:r>
        <w:t xml:space="preserve">transfer gains (W − T) is positive on the original areas and on the 10 km collar, but not on the 5 km</w:t>
      </w:r>
      <w:r>
        <w:t xml:space="preserve"> </w:t>
      </w:r>
      <w:r>
        <w:t xml:space="preserve">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(Bejís and Montiferru</w:t>
      </w:r>
      <w:r>
        <w:t xml:space="preserve"> </w:t>
      </w:r>
      <w:r>
        <w:t xml:space="preserve">in Table S14). Under the per-comparison criterion of Section 3.10,</w:t>
      </w:r>
      <w:r>
        <w:t xml:space="preserve"> </w:t>
      </w:r>
      <w:r>
        <w:rPr>
          <w:b/>
          <w:bCs/>
        </w:rPr>
        <w:t xml:space="preserve">two reversals are supported on the collar.</w:t>
      </w:r>
      <w:r>
        <w:rPr>
          <w:b/>
          <w:bCs/>
        </w:rPr>
        <w:t xml:space="preserve"> </w:t>
      </w:r>
      <w:r>
        <w:rPr>
          <w:b/>
          <w:bCs/>
        </w:rPr>
        <w:t xml:space="preserve">Both are on elevation, and both involve Manavgat.</w:t>
      </w:r>
      <w:r>
        <w:t xml:space="preserve"> </w:t>
      </w:r>
      <w:r>
        <w:t xml:space="preserve">They are not the same pairs as on the original</w:t>
      </w:r>
      <w:r>
        <w:t xml:space="preserve"> </w:t>
      </w:r>
      <w:r>
        <w:t xml:space="preserve">areas. Manavgat against Muğla is supported on both frames. Manavgat against Evia becomes supported on</w:t>
      </w:r>
      <w:r>
        <w:t xml:space="preserve"> </w:t>
      </w:r>
      <w:r>
        <w:t xml:space="preserve">the collar, because the Evia interval excludes 0.5 only there. Manavgat against Bejís loses support</w:t>
      </w:r>
      <w:r>
        <w:t xml:space="preserve"> </w:t>
      </w:r>
      <w:r>
        <w:t xml:space="preserve">narrowly: the Bejís interval, [0.496, 0.722], misses 0.5 by 0.004. Neither collar reversal survives</w:t>
      </w:r>
      <w:r>
        <w:t xml:space="preserve"> </w:t>
      </w:r>
      <w:r>
        <w:t xml:space="preserve">a Holm correction over the ninety feature-by-pair comparisons (adjusted</w:t>
      </w:r>
      <w:r>
        <w:t xml:space="preserve"> </w:t>
      </w:r>
      <w:r>
        <w:rPr>
          <w:i/>
          <w:iCs/>
        </w:rPr>
        <w:t xml:space="preserve">p</w:t>
      </w:r>
      <w:r>
        <w:t xml:space="preserve"> </w:t>
      </w:r>
      <w:r>
        <w:t xml:space="preserve">= 0.33 and 0.79; Section</w:t>
      </w:r>
      <w:r>
        <w:t xml:space="preserve"> </w:t>
      </w:r>
      <w:r>
        <w:t xml:space="preserve">S1.19).</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are hotter (current LST 0.665 on the original area), but they are also</w:t>
      </w:r>
      <w:r>
        <w:t xml:space="preserve"> </w:t>
      </w:r>
      <w:r>
        <w:t xml:space="preserve">low-lying. When elevation is held constant through deciles, the Manavgat LST association falls to 0.403</w:t>
      </w:r>
      <w:r>
        <w:t xml:space="preserve"> </w:t>
      </w:r>
      <w:r>
        <w:t xml:space="preserve">[0.343, 0.464] on the collar, and after the linear effect of elevation is removed it is 0.409 [0.350,</w:t>
      </w:r>
      <w:r>
        <w:t xml:space="preserve"> </w:t>
      </w:r>
      <w:r>
        <w:t xml:space="preserve">0.475]. On the original area the same values are 0.455 and 0.446, with intervals that include 0.5</w:t>
      </w:r>
      <w:r>
        <w:t xml:space="preserve"> </w:t>
      </w:r>
      <w:r>
        <w:t xml:space="preserve">(Sections S1.11 and S1.23). These results</w:t>
      </w:r>
      <w:r>
        <w:t xml:space="preserve"> </w:t>
      </w:r>
      <w:r>
        <w:t xml:space="preserve">indicate that the absolute thermal channels behaved here mainly as land-surface descriptors rather</w:t>
      </w:r>
      <w:r>
        <w:t xml:space="preserve"> </w:t>
      </w:r>
      <w:r>
        <w:t xml:space="preserve">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However, this is one of about forty uncorrected tests, on a frame defined by</w:t>
      </w:r>
      <w:r>
        <w:t xml:space="preserve"> </w:t>
      </w:r>
      <w:r>
        <w:t xml:space="preserve">the labels, so it is reported but not used (Section S1.19).</w:t>
      </w:r>
    </w:p>
    <w:p>
      <w:pPr>
        <w:pStyle w:val="BodyText"/>
      </w:pPr>
      <w:r>
        <w:rPr>
          <w:b/>
          <w:bCs/>
        </w:rPr>
        <w:t xml:space="preserve">Two further results depend on the frame.</w:t>
      </w:r>
      <w:r>
        <w:t xml:space="preserve"> </w:t>
      </w:r>
      <w:r>
        <w:t xml:space="preserve">In the Muğla two-fire comparison, 93.2 % of the 2022</w:t>
      </w:r>
      <w:r>
        <w:t xml:space="preserve"> </w:t>
      </w:r>
      <w:r>
        <w:t xml:space="preserve">cells lie more than 10 km from a burned cell, against 55.3 % in 2021, and on the collar the Muğla</w:t>
      </w:r>
      <w:r>
        <w:t xml:space="preserve"> </w:t>
      </w:r>
      <w:r>
        <w:t xml:space="preserve">elevation reversal disappears (Section S1.13). By contrast, the within-region gain stays positive in</w:t>
      </w:r>
      <w:r>
        <w:t xml:space="preserve"> </w:t>
      </w:r>
      <w:r>
        <w:t xml:space="preserve">all five 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and</w:t>
      </w:r>
      <w:r>
        <w:t xml:space="preserve"> </w:t>
      </w:r>
      <w:r>
        <w:t xml:space="preserve">transfer is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together with Section</w:t>
      </w:r>
      <w:r>
        <w:t xml:space="preserve"> </w:t>
      </w:r>
      <w:r>
        <w:t xml:space="preserve">4.4. Values for 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are narrower (Section S1.20).</w:t>
      </w:r>
      <w:r>
        <w:t xml:space="preserve"> </w:t>
      </w:r>
      <w:r>
        <w:t xml:space="preserve">Two 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BodyText"/>
      </w:pPr>
      <w:r>
        <w:rPr>
          <w:b/>
          <w:bCs/>
        </w:rPr>
        <w:t xml:space="preserve">In precision terms, transfer is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The median lift over the baseline was 1.18. Seven of twenty directions were below their own</w:t>
      </w:r>
      <w:r>
        <w:t xml:space="preserve"> </w:t>
      </w:r>
      <w:r>
        <w:t xml:space="preserve">baseline. At 5 km blocking, two of these seven had intervals below the baseline, both into Manavgat (Table</w:t>
      </w:r>
      <w:r>
        <w:t xml:space="preserve"> </w:t>
      </w:r>
      <w:r>
        <w:t xml:space="preserve">S11). In map terms, the 10 % of target cells with the highest scores contained on average 10.3 % of</w:t>
      </w:r>
      <w:r>
        <w:t xml:space="preserve"> </w:t>
      </w:r>
      <w:r>
        <w:t xml:space="preserve">the burned cells, which is what a random ranking gives, and eight of twenty directions did worse.</w:t>
      </w:r>
      <w:r>
        <w:t xml:space="preserve"> </w:t>
      </w:r>
      <w:r>
        <w:t xml:space="preserve">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six resampling units that can be computed on this frame give intervals that include</w:t>
      </w:r>
      <w:r>
        <w:t xml:space="preserve"> </w:t>
      </w:r>
      <w:r>
        <w:t xml:space="preserve">zero, from [−0.006, +0.022] (clustering by target region) to [−0.028, +0.045] (pigeonhole bootstrap;</w:t>
      </w:r>
      <w:r>
        <w:t xml:space="preserve"> </w:t>
      </w:r>
      <w:r>
        <w:t xml:space="preserve">Sections S1.15 and S1.23).</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This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The gap decomposition covers the twelve directions among Manavgat, Bejís, Muğla and Evia. It was</w:t>
      </w:r>
      <w:r>
        <w:t xml:space="preserve"> </w:t>
      </w:r>
      <w:r>
        <w:t xml:space="preserve">computed before Montiferru was added to the cohort and does not include it.</w:t>
      </w:r>
      <w:r>
        <w:t xml:space="preserve"> </w:t>
      </w:r>
      <w:r>
        <w:t xml:space="preserve">There, seven directions showed negative recovery, five of them with intervals below zero (Section</w:t>
      </w:r>
      <w:r>
        <w:t xml:space="preserve"> </w:t>
      </w:r>
      <w:r>
        <w:t xml:space="preserve">S1.10). A movement toward chance is also what any loss of information would produce. Indeed, aligning the</w:t>
      </w:r>
      <w:r>
        <w:t xml:space="preserve"> </w:t>
      </w:r>
      <w:r>
        <w:t xml:space="preserve">source with the covariance of a third, unrelated region moved 15 of 20 directions toward chance as</w:t>
      </w:r>
      <w:r>
        <w:t xml:space="preserve"> </w:t>
      </w:r>
      <w:r>
        <w:t xml:space="preserve">well (mean 0.507). CORAL with a stronger regularisation (λ = 1, mean 0.512) or on two thermal</w:t>
      </w:r>
      <w:r>
        <w:t xml:space="preserve"> </w:t>
      </w:r>
      <w:r>
        <w:t xml:space="preserve">components (0.523) did not help either (Section S1.23). These results therefore do not show that</w:t>
      </w:r>
      <w:r>
        <w:t xml:space="preserve"> </w:t>
      </w:r>
      <w:r>
        <w:t xml:space="preserve">the methods removed a distribution shift.</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w:t>
      </w:r>
      <w:r>
        <w:t xml:space="preserve"> </w:t>
      </w:r>
      <w:r>
        <w:t xml:space="preserve">for the other four at the point estimates (Fig. 6).</w:t>
      </w:r>
    </w:p>
    <w:p>
      <w:pPr>
        <w:pStyle w:val="BodyText"/>
      </w:pPr>
      <w:r>
        <w:rPr>
          <w:b/>
          <w:bCs/>
        </w:rPr>
        <w:t xml:space="preserve">Feature removal.</w:t>
      </w:r>
      <w:r>
        <w:t xml:space="preserve"> </w:t>
      </w:r>
      <w:r>
        <w:t xml:space="preserve">Removing the two reversing features lowered within-region AUC by 0.076 and changed transfer by</w:t>
      </w:r>
      <w:r>
        <w:t xml:space="preserve"> </w:t>
      </w:r>
      <w:r>
        <w:t xml:space="preserve">+0.014 [−0.028, +0.056], which includes zero (Fig. 7); the primary pair-cluster bootstrap gives</w:t>
      </w:r>
      <w:r>
        <w:t xml:space="preserve"> </w:t>
      </w:r>
      <w:r>
        <w:t xml:space="preserve">[−0.018, +0.049] (Section S1.14).</w:t>
      </w:r>
    </w:p>
    <w:p>
      <w:pPr>
        <w:pStyle w:val="BodyText"/>
      </w:pPr>
      <w:r>
        <w:rPr>
          <w:b/>
          <w:bCs/>
        </w:rPr>
        <w:t xml:space="preserve">Target labels.</w:t>
      </w:r>
      <w:r>
        <w:t xml:space="preserve"> </w:t>
      </w:r>
      <w:r>
        <w:t xml:space="preserve">With 32 labelled 5 km blocks from the target, the gap between raw transfer and the</w:t>
      </w:r>
      <w:r>
        <w:t xml:space="preserve"> </w:t>
      </w:r>
      <w:r>
        <w:t xml:space="preserve">target’s own ceiling was closed by 83 to 89 % in three of six directions, and by 30 to 52 % in the</w:t>
      </w:r>
      <w:r>
        <w:t xml:space="preserve"> </w:t>
      </w:r>
      <w:r>
        <w:t xml:space="preserve">other three. However, these blocks are 7 to 20 % of the target population and contain most of its</w:t>
      </w:r>
      <w:r>
        <w:t xml:space="preserve"> </w:t>
      </w:r>
      <w:r>
        <w:t xml:space="preserve">burned cells, for example 880 of 1,100 in Bejís. They also come from the fire that is predicted, so</w:t>
      </w:r>
      <w:r>
        <w:t xml:space="preserve"> </w:t>
      </w:r>
      <w:r>
        <w:t xml:space="preserve">they are not available before that fire (Section S4).</w:t>
      </w:r>
    </w:p>
    <w:p>
      <w:pPr>
        <w:pStyle w:val="BodyText"/>
      </w:pPr>
      <w:r>
        <w:rPr>
          <w:b/>
          <w:bCs/>
        </w:rPr>
        <w:t xml:space="preserve">Similarity measures.</w:t>
      </w:r>
      <w:r>
        <w:t xml:space="preserve"> </w:t>
      </w:r>
      <w:r>
        <w:t xml:space="preserve">Twenty similarity measures were recorded on 8 August 2026 and were not</w:t>
      </w:r>
      <w:r>
        <w:t xml:space="preserve"> </w:t>
      </w:r>
      <w:r>
        <w:t xml:space="preserve">changed after the label correction. On the original study areas, none predicted transfer with an interval that excludes zero (Table</w:t>
      </w:r>
      <w:r>
        <w:t xml:space="preserve"> </w:t>
      </w:r>
      <w:r>
        <w:t xml:space="preserve">S17), and in a permutation test over all 120 orderings of the five regions no measure reached</w:t>
      </w:r>
      <w:r>
        <w:t xml:space="preserve"> </w:t>
      </w:r>
      <w:r>
        <w:t xml:space="preserve">p &lt; 0.10 (Section S1.23). One measure is defined on only six directions and is not interpreted. The contrast pairs illustrate this at the point estimates (Fig. 8). Manavgat and Muğla</w:t>
      </w:r>
      <w:r>
        <w:t xml:space="preserve"> </w:t>
      </w:r>
      <w:r>
        <w:t xml:space="preserve">have the highest niche overlap in the cohort (mean one-dimensional Schoener’s</w:t>
      </w:r>
      <w:r>
        <w:t xml:space="preserve"> </w:t>
      </w:r>
      <w:r>
        <w:rPr>
          <w:i/>
          <w:iCs/>
        </w:rPr>
        <w:t xml:space="preserve">D</w:t>
      </w:r>
      <w:r>
        <w:t xml:space="preserve"> </w:t>
      </w:r>
      <w:r>
        <w:t xml:space="preserve">= 0.80), but</w:t>
      </w:r>
      <w:r>
        <w:t xml:space="preserve"> </w:t>
      </w:r>
      <w:r>
        <w:t xml:space="preserve">transfer was below chance in both directions, at 0.438 and 0.345. Conversely, Bejís and Montiferru</w:t>
      </w:r>
      <w:r>
        <w:t xml:space="preserve"> </w:t>
      </w:r>
      <w:r>
        <w:t xml:space="preserve">have the lowest overlap (</w:t>
      </w:r>
      <w:r>
        <w:rPr>
          <w:i/>
          <w:iCs/>
        </w:rPr>
        <w:t xml:space="preserve">D</w:t>
      </w:r>
      <w:r>
        <w:t xml:space="preserve"> </w:t>
      </w:r>
      <w:r>
        <w:t xml:space="preserve">= 0.48), but transfer was above chance in both directions, at 0.594 and</w:t>
      </w:r>
      <w:r>
        <w:t xml:space="preserve"> </w:t>
      </w:r>
      <w:r>
        <w:t xml:space="preserve">0.548. At 5 km 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results changed (Section 4.4). Two results remained: transfer stayed well below within-region skill, and the elevation association</w:t>
      </w:r>
      <w:r>
        <w:t xml:space="preserve"> </w:t>
      </w:r>
      <w:r>
        <w:t xml:space="preserve">of Manavgat stayed reversed against other regions. The supported pairs, however, change between the</w:t>
      </w:r>
      <w:r>
        <w:t xml:space="preserve"> </w:t>
      </w:r>
      <w:r>
        <w:t xml:space="preserve">frames, and none survives multiplicity correction (Section 4.4).</w:t>
      </w:r>
      <w:r>
        <w:t xml:space="preserve"> </w:t>
      </w:r>
      <w:r>
        <w:t xml:space="preserve">The third finding closes an obvious way around the second. If transfer cannot be assumed, it might</w:t>
      </w:r>
      <w:r>
        <w:t xml:space="preserve"> </w:t>
      </w:r>
      <w:r>
        <w:t xml:space="preserve">still be predicted from the similarity of two regions, but none of the twenty measures did this on</w:t>
      </w:r>
      <w:r>
        <w:t xml:space="preserve"> </w:t>
      </w:r>
      <w:r>
        <w:t xml:space="preserve">the original study areas.</w:t>
      </w:r>
    </w:p>
    <w:bookmarkEnd w:id="49"/>
    <w:bookmarkStart w:id="50" w:name="what-the-within-region-score-measures"/>
    <w:p>
      <w:pPr>
        <w:pStyle w:val="Heading2"/>
      </w:pPr>
      <w:r>
        <w:t xml:space="preserve">5.2 What the within-region score measures</w:t>
      </w:r>
    </w:p>
    <w:p>
      <w:pPr>
        <w:pStyle w:val="FirstParagraph"/>
      </w:pPr>
      <w:r>
        <w:t xml:space="preserve">The thermal gain within regions is robust, with one exception. It was supported in all five regions</w:t>
      </w:r>
      <w:r>
        <w:t xml:space="preserve"> </w:t>
      </w:r>
      <w:r>
        <w:t xml:space="preserve">under blocked validation, without the coordinate-informed channels (Section S1.7), when the predictor</w:t>
      </w:r>
      <w:r>
        <w:t xml:space="preserve"> </w:t>
      </w:r>
      <w:r>
        <w:t xml:space="preserve">window was closed up to two weeks earlier (Section S1.4), and at the point estimates with VNP64A1</w:t>
      </w:r>
      <w:r>
        <w:t xml:space="preserve"> </w:t>
      </w:r>
      <w:r>
        <w:t xml:space="preserve">labels. Once terrain aspect was added, however, the gain in Montiferru was no longer supported</w:t>
      </w:r>
      <w:r>
        <w:t xml:space="preserve"> </w:t>
      </w:r>
      <w:r>
        <w:t xml:space="preserve">(Section 4.2). On the scar frame, however, the same gain fell to</w:t>
      </w:r>
      <w:r>
        <w:t xml:space="preserve"> </w:t>
      </w:r>
      <w:r>
        <w:t xml:space="preserve">+0.021 and was not established, and withholding the scar did not change it. The fall is therefore</w:t>
      </w:r>
      <w:r>
        <w:t xml:space="preserve"> </w:t>
      </w:r>
      <w:r>
        <w:t xml:space="preserve">caused by the cells that are scored, not by the choice of held-out cells.</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how well a model fills gaps inside an observed fire</w:t>
      </w:r>
      <w:r>
        <w:t xml:space="preserve"> </w:t>
      </w:r>
      <w:r>
        <w:t xml:space="preserve">season. Part of the transfer shortfall is thus a matter of distance, and a model of this kind is best</w:t>
      </w:r>
      <w:r>
        <w:t xml:space="preserve"> </w:t>
      </w:r>
      <w:r>
        <w:t xml:space="preserve">described as having short-range skill.</w:t>
      </w:r>
    </w:p>
    <w:p>
      <w:pPr>
        <w:pStyle w:val="BodyText"/>
      </w:pPr>
      <w:r>
        <w:t xml:space="preserve">Each region also contributes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w:t>
      </w:r>
      <w:r>
        <w:t xml:space="preserve"> </w:t>
      </w:r>
      <w:r>
        <w:t xml:space="preserve">before the fire. The shortfall can therefore not be attributed to the region rather than to the</w:t>
      </w:r>
      <w:r>
        <w:t xml:space="preserve"> </w:t>
      </w:r>
      <w:r>
        <w:t xml:space="preserve">event. The two Muğla fires were included to separate these effects, but this comparison was mainly</w:t>
      </w:r>
      <w:r>
        <w:t xml:space="preserve"> </w:t>
      </w:r>
      <w:r>
        <w:t xml:space="preserve">affected by the study area (Section 4.4). The conclusions are stated for large single-season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and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and both intervals include zero. A</w:t>
      </w:r>
      <w:r>
        <w:t xml:space="preserve"> </w:t>
      </w:r>
      <w:r>
        <w:t xml:space="preserve">local cost is therefore measured, but no gain in transfer.</w:t>
      </w:r>
    </w:p>
    <w:bookmarkEnd w:id="51"/>
    <w:bookmarkStart w:id="52" w:name="what-the-thermal-predictors-measured"/>
    <w:p>
      <w:pPr>
        <w:pStyle w:val="Heading2"/>
      </w:pPr>
      <w:r>
        <w:t xml:space="preserve">5.4 What the thermal predictors measured</w:t>
      </w:r>
    </w:p>
    <w:p>
      <w:pPr>
        <w:pStyle w:val="FirstParagraph"/>
      </w:pPr>
      <w:r>
        <w:t xml:space="preserve">The thermal predictors were chosen as a measure of pre-fire dryness, but they did not behave as one.</w:t>
      </w:r>
      <w:r>
        <w:t xml:space="preserve"> </w:t>
      </w:r>
      <w:r>
        <w:t xml:space="preserve">At the point estimates, hotter surfaces burned less in four of five regions, and in Manavgat once</w:t>
      </w:r>
      <w:r>
        <w:t xml:space="preserve"> </w:t>
      </w:r>
      <w:r>
        <w:t xml:space="preserve">elevation was held; the Manavgat result has interval support only on the collar (Section 4.4). In summer, land surface temperature is strongly shaped by canopy cover, exposed soil</w:t>
      </w:r>
      <w:r>
        <w:t xml:space="preserve"> </w:t>
      </w:r>
      <w:r>
        <w:t xml:space="preserve">and terrain. Dense, cooler vegetation carries more fuel, so a negative association is consistent with LST acting</w:t>
      </w:r>
      <w:r>
        <w:t xml:space="preserve"> </w:t>
      </w:r>
      <w:r>
        <w:t xml:space="preserve">as a land-surface descriptor. In Montiferru, most of the within-region thermal gain disappeared once</w:t>
      </w:r>
      <w:r>
        <w:t xml:space="preserve"> </w:t>
      </w:r>
      <w:r>
        <w:t xml:space="preserve">terrain aspect was added, which fits this reading. Descriptively, across only five regions, the mean LST anomaly also followed the ERA5-Land</w:t>
      </w:r>
      <w:r>
        <w:t xml:space="preserve"> </w:t>
      </w:r>
      <w:r>
        <w:t xml:space="preserve">(Muñoz-Sabater et al. 2021)</w:t>
      </w:r>
      <w:r>
        <w:t xml:space="preserve"> </w:t>
      </w:r>
      <w:r>
        <w:t xml:space="preserve">air-temperature anomaly of the predictor window, but not its relative-humidity</w:t>
      </w:r>
      <w:r>
        <w:t xml:space="preserve"> </w:t>
      </w:r>
      <w:r>
        <w:t xml:space="preserve">anomaly (Section S1.23). The normalised channels did not transfer better than</w:t>
      </w:r>
      <w:r>
        <w:t xml:space="preserve"> </w:t>
      </w:r>
      <w:r>
        <w:t xml:space="preserve">the absolute ones either (Section S1.6). In Mediterranean ecosystems, the link between fire and</w:t>
      </w:r>
      <w:r>
        <w:t xml:space="preserve"> </w:t>
      </w:r>
      <w:r>
        <w:t xml:space="preserve">climate also depends on fuel and productivity</w:t>
      </w:r>
      <w:r>
        <w:t xml:space="preserve"> </w:t>
      </w:r>
      <w:r>
        <w:t xml:space="preserve">(Pausas and Paula 2012)</w:t>
      </w:r>
      <w:r>
        <w:t xml:space="preserve">, so the sign of a surface predictor</w:t>
      </w:r>
      <w:r>
        <w:t xml:space="preserve"> </w:t>
      </w:r>
      <w:r>
        <w:t xml:space="preserve">may differ between landscapes.</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a record of human-caused ignitions. Here the predictors describe the surface in</w:t>
      </w:r>
      <w:r>
        <w:t xml:space="preserve"> </w:t>
      </w:r>
      <w:r>
        <w:t xml:space="preserve">one season, and the response is the footprint of one fire season per region. These two differences</w:t>
      </w:r>
      <w:r>
        <w:t xml:space="preserve"> </w:t>
      </w:r>
      <w:r>
        <w:t xml:space="preserve">cannot be separated in this comparison. In this cohort the static baseline also did not transfer</w:t>
      </w:r>
      <w:r>
        <w:t xml:space="preserve"> </w:t>
      </w:r>
      <w:r>
        <w:t xml:space="preserve">(mean 0.519), so predictor class alone does not explain the difference.</w:t>
      </w:r>
    </w:p>
    <w:bookmarkEnd w:id="52"/>
    <w:bookmarkStart w:id="53" w:name="implications-for-practice"/>
    <w:p>
      <w:pPr>
        <w:pStyle w:val="Heading2"/>
      </w:pPr>
      <w:r>
        <w:t xml:space="preserve">5.5 Implications for practice</w:t>
      </w:r>
    </w:p>
    <w:p>
      <w:pPr>
        <w:pStyle w:val="FirstParagraph"/>
      </w:pPr>
      <w:r>
        <w:t xml:space="preserve">Four changes in practice are 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On average, a model moved to a new region did not usefully rank the burned cells there: its</w:t>
      </w:r>
      <w:r>
        <w:t xml:space="preserve"> </w:t>
      </w:r>
      <w:r>
        <w:t xml:space="preserve">highest-scored 10 % of cells contained about as many burned cells as a random choice, although the</w:t>
      </w:r>
      <w:r>
        <w:t xml:space="preserve"> </w:t>
      </w:r>
      <w:r>
        <w:t xml:space="preserve">best direction reached 27 % (Section 4.5). Target</w:t>
      </w:r>
      <w:r>
        <w:t xml:space="preserve"> </w:t>
      </w:r>
      <w:r>
        <w:t xml:space="preserve">labels from the predicted fire closed much of the gap (Section S4), but they are not available in</w:t>
      </w:r>
      <w:r>
        <w:t xml:space="preserve"> </w:t>
      </w:r>
      <w:r>
        <w:t xml:space="preserve">advance. Where a burned-area record of earlier fires exists for the target region, it offers a way to</w:t>
      </w:r>
      <w:r>
        <w:t xml:space="preserve"> </w:t>
      </w:r>
      <w:r>
        <w:t xml:space="preserve">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4.5). A reversed association cannot be seen</w:t>
      </w:r>
      <w:r>
        <w:t xml:space="preserve"> </w:t>
      </w:r>
      <w:r>
        <w:t xml:space="preserve">without target labels, so aligning the predictor distributions cannot correct it.</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4.3).</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across ten random-forest seeds, single directions moved by up to</w:t>
      </w:r>
      <w:r>
        <w:t xml:space="preserve"> </w:t>
      </w:r>
      <w:r>
        <w:t xml:space="preserve">0.049 and mean transfer by at most 0.003. Direction-level intervals do not include this variation</w:t>
      </w:r>
      <w:r>
        <w:t xml:space="preserve"> </w:t>
      </w:r>
      <w:r>
        <w:t xml:space="preserve">(Section 3.13; S1.23; S3.5(vi)).</w:t>
      </w:r>
    </w:p>
    <w:p>
      <w:pPr>
        <w:pStyle w:val="Compact"/>
        <w:numPr>
          <w:ilvl w:val="0"/>
          <w:numId w:val="1001"/>
        </w:numPr>
      </w:pPr>
      <w:r>
        <w:rPr>
          <w:b/>
          <w:bCs/>
        </w:rPr>
        <w:t xml:space="preserve">Spatial dependence reaches beyond the 5 km blocks.</w:t>
      </w:r>
      <w:r>
        <w:t xml:space="preserve"> </w:t>
      </w:r>
      <w:r>
        <w:t xml:space="preserve">Residual correlation falls below 0.05</w:t>
      </w:r>
      <w:r>
        <w:t xml:space="preserve"> </w:t>
      </w:r>
      <w:r>
        <w:t xml:space="preserve">only at 10 to 20 km in three regions and at 20 to 40 km in North Evia, so intervals at 5 km</w:t>
      </w:r>
      <w:r>
        <w:t xml:space="preserve"> </w:t>
      </w:r>
      <w:r>
        <w:t xml:space="preserve">blocking may be too narrow, especially in North Evia (Section 3.7; S1.23).</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S1.20; S3.5(viii)).</w:t>
      </w:r>
    </w:p>
    <w:p>
      <w:pPr>
        <w:pStyle w:val="Compact"/>
        <w:numPr>
          <w:ilvl w:val="0"/>
          <w:numId w:val="1001"/>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3.10).</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through elevation and aspect only, and in Manavgat burn timing and elevation are</w:t>
      </w:r>
      <w:r>
        <w:t xml:space="preserve"> </w:t>
      </w:r>
      <w:r>
        <w:t xml:space="preserve">confounded (S3.5(vii), S3.5(xi)).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With VIIRS VNP64A1 labels</w:t>
      </w:r>
      <w:r>
        <w:t xml:space="preserve"> </w:t>
      </w:r>
      <w:r>
        <w:t xml:space="preserve">(Giglio 2024)</w:t>
      </w:r>
      <w:r>
        <w:t xml:space="preserve">, which overlap MCD64A1</w:t>
      </w:r>
      <w:r>
        <w:t xml:space="preserve"> </w:t>
      </w:r>
      <w:r>
        <w:t xml:space="preserve">by 87 % to 98 %, no conclusion changed; independent fire perimeters were not used (S1.23;</w:t>
      </w:r>
      <w:r>
        <w:t xml:space="preserve"> </w:t>
      </w:r>
      <w:r>
        <w:t xml:space="preserve">S3.5(iii)).</w:t>
      </w:r>
    </w:p>
    <w:p>
      <w:pPr>
        <w:pStyle w:val="Compact"/>
        <w:numPr>
          <w:ilvl w:val="0"/>
          <w:numId w:val="1001"/>
        </w:numPr>
      </w:pPr>
      <w:r>
        <w:rPr>
          <w:b/>
          <w:bCs/>
        </w:rPr>
        <w:t xml:space="preserve">The land-cover map is post-fire for four events.</w:t>
      </w:r>
      <w:r>
        <w:t xml:space="preserve"> </w:t>
      </w:r>
      <w:r>
        <w:t xml:space="preserve">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(Section 3.4; S1.23).</w:t>
      </w:r>
    </w:p>
    <w:p>
      <w:pPr>
        <w:pStyle w:val="Compact"/>
        <w:numPr>
          <w:ilvl w:val="0"/>
          <w:numId w:val="1001"/>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w:t>
      </w:r>
      <w:r>
        <w:t xml:space="preserve"> </w:t>
      </w:r>
      <w:r>
        <w:t xml:space="preserve">Mediterranean 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paper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Transfer skill should therefore be measured in the target region, and the study area should be fixed</w:t>
      </w:r>
      <w:r>
        <w:t xml:space="preserve"> </w:t>
      </w:r>
      <w:r>
        <w:t xml:space="preserve">by a stated rule before the predictors are computed. Several fire seasons per region are needed to</w:t>
      </w:r>
      <w:r>
        <w:t xml:space="preserve"> </w:t>
      </w:r>
      <w:r>
        <w:t xml:space="preserve">separate region effects from event effects.</w:t>
      </w:r>
    </w:p>
    <w:bookmarkEnd w:id="56"/>
    <w:bookmarkStart w:id="57"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w:t>
      </w:r>
    </w:p>
    <w:bookmarkEnd w:id="57"/>
    <w:bookmarkStart w:id="67" w:name="statements-and-declarations"/>
    <w:p>
      <w:pPr>
        <w:pStyle w:val="Heading1"/>
      </w:pPr>
      <w:r>
        <w:t xml:space="preserve">Statements and Declarations</w:t>
      </w:r>
    </w:p>
    <w:bookmarkStart w:id="58"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58"/>
    <w:bookmarkStart w:id="59" w:name="competing-interests"/>
    <w:p>
      <w:pPr>
        <w:pStyle w:val="Heading2"/>
      </w:pPr>
      <w:r>
        <w:t xml:space="preserve">Competing interests</w:t>
      </w:r>
    </w:p>
    <w:p>
      <w:pPr>
        <w:pStyle w:val="FirstParagraph"/>
      </w:pPr>
      <w:r>
        <w:t xml:space="preserve">The authors have no relevant financial or non-financial interests to disclose.</w:t>
      </w:r>
    </w:p>
    <w:bookmarkEnd w:id="59"/>
    <w:bookmarkStart w:id="60"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60"/>
    <w:bookmarkStart w:id="61"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For the sensitivity analyses, burned area was also taken from VIIRS VNP64A1 v002</w:t>
      </w:r>
      <w:r>
        <w:t xml:space="preserve"> </w:t>
      </w:r>
      <w:r>
        <w:t xml:space="preserve">(Giglio 2024)</w:t>
      </w:r>
      <w:r>
        <w:t xml:space="preserve"> </w:t>
      </w:r>
      <w:r>
        <w:t xml:space="preserve">and land cover from ESA WorldCover v100</w:t>
      </w:r>
      <w:r>
        <w:t xml:space="preserve"> </w:t>
      </w:r>
      <w:r>
        <w:t xml:space="preserve">(Zanaga et al. 2021)</w:t>
      </w:r>
      <w:r>
        <w:t xml:space="preserve">, and regional weather anomalies came</w:t>
      </w:r>
      <w:r>
        <w:t xml:space="preserve"> </w:t>
      </w:r>
      <w:r>
        <w:t xml:space="preserve">from ERA5-Land</w:t>
      </w:r>
      <w:r>
        <w:t xml:space="preserve"> </w:t>
      </w:r>
      <w:r>
        <w:t xml:space="preserve">(Muñoz-Sabater et al. 2021)</w:t>
      </w:r>
      <w:r>
        <w:t xml:space="preserve"> </w:t>
      </w:r>
      <w:r>
        <w:t xml:space="preserve">as computed by the processing pipeline. The MODIS, VIIRS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The ERA5-Land values contain modified Copernicus Climate Change</w:t>
      </w:r>
      <w:r>
        <w:t xml:space="preserve"> </w:t>
      </w:r>
      <w:r>
        <w:t xml:space="preserve">Service information.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(Metin and Cogurcu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61"/>
    <w:bookmarkStart w:id="64"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2">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63">
        <w:r>
          <w:rPr>
            <w:rStyle w:val="Hyperlink"/>
          </w:rPr>
          <w:t xml:space="preserve">https://github.com/dryuemco/thermal-twin</w:t>
        </w:r>
      </w:hyperlink>
      <w:r>
        <w:t xml:space="preserve">, and version 1.1.0is archived at Zenodo</w:t>
      </w:r>
      <w:r>
        <w:t xml:space="preserve"> </w:t>
      </w:r>
      <w:r>
        <w:t xml:space="preserve">(Metin and Cogurcu 2026)</w:t>
      </w:r>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It was used to write and run analysis, verification and figure code, to check reported</w:t>
      </w:r>
      <w:r>
        <w:t xml:space="preserve"> </w:t>
      </w:r>
      <w:r>
        <w:t xml:space="preserve">numbers against the frozen outputs, to draft and edit text, and to produce simulated referee reports</w:t>
      </w:r>
      <w:r>
        <w:t xml:space="preserve"> </w:t>
      </w:r>
      <w:r>
        <w:t xml:space="preserve">on drafts. The authors reviewed and edited all of this material and take full responsibility for the</w:t>
      </w:r>
      <w:r>
        <w:t xml:space="preserve"> </w:t>
      </w:r>
      <w:r>
        <w:t xml:space="preserve">content of the publication.</w:t>
      </w:r>
    </w:p>
    <w:bookmarkEnd w:id="66"/>
    <w:bookmarkEnd w:id="67"/>
    <w:bookmarkStart w:id="191" w:name="references"/>
    <w:p>
      <w:pPr>
        <w:pStyle w:val="Heading1"/>
      </w:pPr>
      <w:r>
        <w:t xml:space="preserve">References</w:t>
      </w:r>
    </w:p>
    <w:bookmarkStart w:id="190" w:name="refs"/>
    <w:bookmarkStart w:id="69"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68">
        <w:r>
          <w:rPr>
            <w:rStyle w:val="Hyperlink"/>
          </w:rPr>
          <w:t xml:space="preserve">https://doi.org/10.1007/s12145-023-00953-5</w:t>
        </w:r>
      </w:hyperlink>
    </w:p>
    <w:bookmarkEnd w:id="69"/>
    <w:bookmarkStart w:id="7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0">
        <w:r>
          <w:rPr>
            <w:rStyle w:val="Hyperlink"/>
          </w:rPr>
          <w:t xml:space="preserve">https://doi.org/10.1016/j.ecolmodel.2011.02.011</w:t>
        </w:r>
      </w:hyperlink>
    </w:p>
    <w:bookmarkEnd w:id="71"/>
    <w:bookmarkStart w:id="7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72">
        <w:r>
          <w:rPr>
            <w:rStyle w:val="Hyperlink"/>
          </w:rPr>
          <w:t xml:space="preserve">https://doi.org/10.1071/WF19158</w:t>
        </w:r>
      </w:hyperlink>
    </w:p>
    <w:bookmarkEnd w:id="73"/>
    <w:bookmarkStart w:id="75"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4">
        <w:r>
          <w:rPr>
            <w:rStyle w:val="Hyperlink"/>
          </w:rPr>
          <w:t xml:space="preserve">https://doi.org/10.1016/j.rse.2019.111490</w:t>
        </w:r>
      </w:hyperlink>
    </w:p>
    <w:bookmarkEnd w:id="75"/>
    <w:bookmarkStart w:id="77" w:name="ref-Breiman2001"/>
    <w:p>
      <w:pPr>
        <w:pStyle w:val="Bibliography"/>
      </w:pPr>
      <w:r>
        <w:t xml:space="preserve">Breiman L (2001) Random forests. Machine Learning 45:5–32.</w:t>
      </w:r>
      <w:r>
        <w:t xml:space="preserve"> </w:t>
      </w:r>
      <w:hyperlink r:id="rId76">
        <w:r>
          <w:rPr>
            <w:rStyle w:val="Hyperlink"/>
          </w:rPr>
          <w:t xml:space="preserve">https://doi.org/10.1023/A:1010933404324</w:t>
        </w:r>
      </w:hyperlink>
    </w:p>
    <w:bookmarkEnd w:id="77"/>
    <w:bookmarkStart w:id="79"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78">
        <w:r>
          <w:rPr>
            <w:rStyle w:val="Hyperlink"/>
          </w:rPr>
          <w:t xml:space="preserve">https://doi.org/10.1016/j.ecoinf.2022.101665</w:t>
        </w:r>
      </w:hyperlink>
    </w:p>
    <w:bookmarkEnd w:id="79"/>
    <w:bookmarkStart w:id="81"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82">
        <w:r>
          <w:rPr>
            <w:rStyle w:val="Hyperlink"/>
          </w:rPr>
          <w:t xml:space="preserve">https://doi.org/10.3390/geomatics6010013</w:t>
        </w:r>
      </w:hyperlink>
    </w:p>
    <w:bookmarkEnd w:id="83"/>
    <w:bookmarkStart w:id="85"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4">
        <w:r>
          <w:rPr>
            <w:rStyle w:val="Hyperlink"/>
          </w:rPr>
          <w:t xml:space="preserve">https://doi.org/10.5270/ESA-c5d3d65</w:t>
        </w:r>
      </w:hyperlink>
    </w:p>
    <w:bookmarkEnd w:id="85"/>
    <w:bookmarkStart w:id="87"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86">
        <w:r>
          <w:rPr>
            <w:rStyle w:val="Hyperlink"/>
          </w:rPr>
          <w:t xml:space="preserve">https://doi.org/10.5194/nhess-25-4713-2025</w:t>
        </w:r>
      </w:hyperlink>
    </w:p>
    <w:bookmarkEnd w:id="87"/>
    <w:bookmarkStart w:id="89"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8">
        <w:r>
          <w:rPr>
            <w:rStyle w:val="Hyperlink"/>
          </w:rPr>
          <w:t xml:space="preserve">https://doi.org/10.5067/VIIRS/VNP64A1.002</w:t>
        </w:r>
      </w:hyperlink>
    </w:p>
    <w:bookmarkEnd w:id="89"/>
    <w:bookmarkStart w:id="91"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90">
        <w:r>
          <w:rPr>
            <w:rStyle w:val="Hyperlink"/>
          </w:rPr>
          <w:t xml:space="preserve">https://doi.org/10.1016/j.rse.2018.08.005</w:t>
        </w:r>
      </w:hyperlink>
    </w:p>
    <w:bookmarkEnd w:id="91"/>
    <w:bookmarkStart w:id="93"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92">
        <w:r>
          <w:rPr>
            <w:rStyle w:val="Hyperlink"/>
          </w:rPr>
          <w:t xml:space="preserve">https://doi.org/10.5067/MODIS/MCD64A1.061</w:t>
        </w:r>
      </w:hyperlink>
    </w:p>
    <w:bookmarkEnd w:id="93"/>
    <w:bookmarkStart w:id="95"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4">
        <w:r>
          <w:rPr>
            <w:rStyle w:val="Hyperlink"/>
          </w:rPr>
          <w:t xml:space="preserve">https://doi.org/10.1016/j.rse.2017.06.031</w:t>
        </w:r>
      </w:hyperlink>
    </w:p>
    <w:bookmarkEnd w:id="95"/>
    <w:bookmarkStart w:id="97" w:name="ref-Hijmans2012"/>
    <w:p>
      <w:pPr>
        <w:pStyle w:val="Bibliography"/>
      </w:pPr>
      <w:r>
        <w:t xml:space="preserve">Hijmans RJ (2012) Cross-validation of species distribution models: Removing spatial sorting bias and calibration with a null model. Ecology 93:679–688.</w:t>
      </w:r>
      <w:r>
        <w:t xml:space="preserve"> </w:t>
      </w:r>
      <w:hyperlink r:id="rId96">
        <w:r>
          <w:rPr>
            <w:rStyle w:val="Hyperlink"/>
          </w:rPr>
          <w:t xml:space="preserve">https://doi.org/10.1890/11-0826.1</w:t>
        </w:r>
      </w:hyperlink>
    </w:p>
    <w:bookmarkEnd w:id="97"/>
    <w:bookmarkStart w:id="99"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98">
        <w:r>
          <w:rPr>
            <w:rStyle w:val="Hyperlink"/>
          </w:rPr>
          <w:t xml:space="preserve">https://doi.org/10.1016/j.rse.2026.115336</w:t>
        </w:r>
      </w:hyperlink>
    </w:p>
    <w:bookmarkEnd w:id="99"/>
    <w:bookmarkStart w:id="101"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00">
        <w:r>
          <w:rPr>
            <w:rStyle w:val="Hyperlink"/>
          </w:rPr>
          <w:t xml:space="preserve">https://doi.org/10.1016/j.ecoinf.2022.101647</w:t>
        </w:r>
      </w:hyperlink>
    </w:p>
    <w:bookmarkEnd w:id="101"/>
    <w:bookmarkStart w:id="103"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02">
        <w:r>
          <w:rPr>
            <w:rStyle w:val="Hyperlink"/>
          </w:rPr>
          <w:t xml:space="preserve">https://doi.org/10.1139/er-2020-0019</w:t>
        </w:r>
      </w:hyperlink>
    </w:p>
    <w:bookmarkEnd w:id="103"/>
    <w:bookmarkStart w:id="105"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04">
        <w:r>
          <w:rPr>
            <w:rStyle w:val="Hyperlink"/>
          </w:rPr>
          <w:t xml:space="preserve">https://doi.org/10.1111/j.1466-8238.2011.00683.x</w:t>
        </w:r>
      </w:hyperlink>
    </w:p>
    <w:bookmarkEnd w:id="105"/>
    <w:bookmarkStart w:id="107"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06">
        <w:r>
          <w:rPr>
            <w:rStyle w:val="Hyperlink"/>
          </w:rPr>
          <w:t xml:space="preserve">https://doi.org/10.3934/environsci.2026004</w:t>
        </w:r>
      </w:hyperlink>
    </w:p>
    <w:bookmarkEnd w:id="107"/>
    <w:bookmarkStart w:id="109"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08">
        <w:r>
          <w:rPr>
            <w:rStyle w:val="Hyperlink"/>
          </w:rPr>
          <w:t xml:space="preserve">https://doi.org/10.3390/rs14030602</w:t>
        </w:r>
      </w:hyperlink>
    </w:p>
    <w:bookmarkEnd w:id="109"/>
    <w:bookmarkStart w:id="111" w:name="ref-Kondylatos2023"/>
    <w:p>
      <w:pPr>
        <w:pStyle w:val="Bibliography"/>
      </w:pPr>
      <w:r>
        <w:t xml:space="preserve">Kondylatos S, Prapas I, Camps-Valls G, Papoutsis I (2023)</w:t>
      </w:r>
      <w:r>
        <w:t xml:space="preserve"> </w:t>
      </w:r>
      <w:hyperlink r:id="rId110">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11"/>
    <w:bookmarkStart w:id="11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12">
        <w:r>
          <w:rPr>
            <w:rStyle w:val="Hyperlink"/>
          </w:rPr>
          <w:t xml:space="preserve">https://doi.org/10.48550/arXiv.2511.11589</w:t>
        </w:r>
      </w:hyperlink>
    </w:p>
    <w:bookmarkEnd w:id="113"/>
    <w:bookmarkStart w:id="115"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14">
        <w:r>
          <w:rPr>
            <w:rStyle w:val="Hyperlink"/>
          </w:rPr>
          <w:t xml:space="preserve">https://doi.org/10.1111/j.1466-8238.2007.00358.x</w:t>
        </w:r>
      </w:hyperlink>
    </w:p>
    <w:bookmarkEnd w:id="115"/>
    <w:bookmarkStart w:id="117"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16">
        <w:r>
          <w:rPr>
            <w:rStyle w:val="Hyperlink"/>
          </w:rPr>
          <w:t xml:space="preserve">https://doi.org/10.3390/rs10111777</w:t>
        </w:r>
      </w:hyperlink>
    </w:p>
    <w:bookmarkEnd w:id="117"/>
    <w:bookmarkStart w:id="119"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18">
        <w:r>
          <w:rPr>
            <w:rStyle w:val="Hyperlink"/>
          </w:rPr>
          <w:t xml:space="preserve">https://doi.org/10.1016/j.isprsjprs.2021.09.016</w:t>
        </w:r>
      </w:hyperlink>
    </w:p>
    <w:bookmarkEnd w:id="119"/>
    <w:bookmarkStart w:id="121"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20">
        <w:r>
          <w:rPr>
            <w:rStyle w:val="Hyperlink"/>
          </w:rPr>
          <w:t xml:space="preserve">https://doi.org/10.1016/j.isprsjprs.2019.10.013</w:t>
        </w:r>
      </w:hyperlink>
    </w:p>
    <w:bookmarkEnd w:id="121"/>
    <w:bookmarkStart w:id="123"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22">
        <w:r>
          <w:rPr>
            <w:rStyle w:val="Hyperlink"/>
          </w:rPr>
          <w:t xml:space="preserve">https://doi.org/10.3390/fire7080276</w:t>
        </w:r>
      </w:hyperlink>
    </w:p>
    <w:bookmarkEnd w:id="123"/>
    <w:bookmarkStart w:id="125" w:name="ref-ThermalTwinRepo"/>
    <w:p>
      <w:pPr>
        <w:pStyle w:val="Bibliography"/>
      </w:pPr>
      <w:r>
        <w:t xml:space="preserve">Metin E, Cogurcu YE (2026) Evaluation area and the limits of cross-region transfer of pre-fire thermal wildfire models: Analysis code, modelling datasets and frozen outputs [software], version 1.1.0. Zenodo.</w:t>
      </w:r>
      <w:r>
        <w:t xml:space="preserve"> </w:t>
      </w:r>
      <w:hyperlink r:id="rId124">
        <w:r>
          <w:rPr>
            <w:rStyle w:val="Hyperlink"/>
          </w:rPr>
          <w:t xml:space="preserve">https://doi.org/10.5281/zenodo.23038039</w:t>
        </w:r>
      </w:hyperlink>
    </w:p>
    <w:bookmarkEnd w:id="125"/>
    <w:bookmarkStart w:id="127"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26">
        <w:r>
          <w:rPr>
            <w:rStyle w:val="Hyperlink"/>
          </w:rPr>
          <w:t xml:space="preserve">https://doi.org/10.1111/2041-210X.13650</w:t>
        </w:r>
      </w:hyperlink>
    </w:p>
    <w:bookmarkEnd w:id="127"/>
    <w:bookmarkStart w:id="129"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28">
        <w:r>
          <w:rPr>
            <w:rStyle w:val="Hyperlink"/>
          </w:rPr>
          <w:t xml:space="preserve">https://doi.org/10.1016/j.envsoft.2017.12.001</w:t>
        </w:r>
      </w:hyperlink>
    </w:p>
    <w:bookmarkEnd w:id="129"/>
    <w:bookmarkStart w:id="131"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30">
        <w:r>
          <w:rPr>
            <w:rStyle w:val="Hyperlink"/>
          </w:rPr>
          <w:t xml:space="preserve">https://doi.org/10.1111/2041-210X.13851</w:t>
        </w:r>
      </w:hyperlink>
    </w:p>
    <w:bookmarkEnd w:id="131"/>
    <w:bookmarkStart w:id="133" w:name="ref-MorenoTorres2012"/>
    <w:p>
      <w:pPr>
        <w:pStyle w:val="Bibliography"/>
      </w:pPr>
      <w:r>
        <w:t xml:space="preserve">Moreno-Torres JG, Raeder T, Alaiz-Rodríguez R, et al (2012) A unifying view on dataset shift in classification. Pattern Recognition 45:521–530.</w:t>
      </w:r>
      <w:r>
        <w:t xml:space="preserve"> </w:t>
      </w:r>
      <w:hyperlink r:id="rId132">
        <w:r>
          <w:rPr>
            <w:rStyle w:val="Hyperlink"/>
          </w:rPr>
          <w:t xml:space="preserve">https://doi.org/10.1016/j.patcog.2011.06.019</w:t>
        </w:r>
      </w:hyperlink>
    </w:p>
    <w:bookmarkEnd w:id="133"/>
    <w:bookmarkStart w:id="135" w:name="ref-MunozSabater2021"/>
    <w:p>
      <w:pPr>
        <w:pStyle w:val="Bibliography"/>
      </w:pPr>
      <w:r>
        <w:t xml:space="preserve">Muñoz-Sabater J, Dutra E, Agustí-Panareda A, et al (2021)</w:t>
      </w:r>
      <w:r>
        <w:t xml:space="preserve"> </w:t>
      </w:r>
      <w:r>
        <w:t xml:space="preserve">ERA5-Land</w:t>
      </w:r>
      <w:r>
        <w:t xml:space="preserve">: A state-of-the-art global reanalysis dataset for land applications. Earth System Science Data 13:4349–4383.</w:t>
      </w:r>
      <w:r>
        <w:t xml:space="preserve"> </w:t>
      </w:r>
      <w:hyperlink r:id="rId134">
        <w:r>
          <w:rPr>
            <w:rStyle w:val="Hyperlink"/>
          </w:rPr>
          <w:t xml:space="preserve">https://doi.org/10.5194/essd-13-4349-2021</w:t>
        </w:r>
      </w:hyperlink>
    </w:p>
    <w:bookmarkEnd w:id="135"/>
    <w:bookmarkStart w:id="137"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36">
        <w:r>
          <w:rPr>
            <w:rStyle w:val="Hyperlink"/>
          </w:rPr>
          <w:t xml:space="preserve">https://doi.org/10.1016/j.foreco.2012.03.003</w:t>
        </w:r>
      </w:hyperlink>
    </w:p>
    <w:bookmarkEnd w:id="137"/>
    <w:bookmarkStart w:id="139"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38">
        <w:r>
          <w:rPr>
            <w:rStyle w:val="Hyperlink"/>
          </w:rPr>
          <w:t xml:space="preserve">https://doi.org/10.1890/07-1289.1</w:t>
        </w:r>
      </w:hyperlink>
    </w:p>
    <w:bookmarkEnd w:id="139"/>
    <w:bookmarkStart w:id="141" w:name="ref-Pausas2021"/>
    <w:p>
      <w:pPr>
        <w:pStyle w:val="Bibliography"/>
      </w:pPr>
      <w:r>
        <w:t xml:space="preserve">Pausas JG, Keeley JE (2021) Wildfires and global change. Frontiers in Ecology and the Environment 19:387–395.</w:t>
      </w:r>
      <w:r>
        <w:t xml:space="preserve"> </w:t>
      </w:r>
      <w:hyperlink r:id="rId140">
        <w:r>
          <w:rPr>
            <w:rStyle w:val="Hyperlink"/>
          </w:rPr>
          <w:t xml:space="preserve">https://doi.org/10.1002/fee.2359</w:t>
        </w:r>
      </w:hyperlink>
    </w:p>
    <w:bookmarkEnd w:id="141"/>
    <w:bookmarkStart w:id="143"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42">
        <w:r>
          <w:rPr>
            <w:rStyle w:val="Hyperlink"/>
          </w:rPr>
          <w:t xml:space="preserve">https://doi.org/10.1111/j.1466-8238.2012.00769.x</w:t>
        </w:r>
      </w:hyperlink>
    </w:p>
    <w:bookmarkEnd w:id="143"/>
    <w:bookmarkStart w:id="145"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44">
        <w:r>
          <w:rPr>
            <w:rStyle w:val="Hyperlink"/>
          </w:rPr>
          <w:t xml:space="preserve">https://doi.org/10.1109/TGRS.2012.2192740</w:t>
        </w:r>
      </w:hyperlink>
    </w:p>
    <w:bookmarkEnd w:id="145"/>
    <w:bookmarkStart w:id="147"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46">
        <w:r>
          <w:rPr>
            <w:rStyle w:val="Hyperlink"/>
          </w:rPr>
          <w:t xml:space="preserve">https://doi.org/10.1038/s41467-020-18321-y</w:t>
        </w:r>
      </w:hyperlink>
    </w:p>
    <w:bookmarkEnd w:id="147"/>
    <w:bookmarkStart w:id="149"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48">
        <w:r>
          <w:rPr>
            <w:rStyle w:val="Hyperlink"/>
          </w:rPr>
          <w:t xml:space="preserve">https://doi.org/10.1186/s42408-022-00150-7</w:t>
        </w:r>
      </w:hyperlink>
    </w:p>
    <w:bookmarkEnd w:id="149"/>
    <w:bookmarkStart w:id="151"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50">
        <w:r>
          <w:rPr>
            <w:rStyle w:val="Hyperlink"/>
          </w:rPr>
          <w:t xml:space="preserve">https://doi.org/10.1111/ecog.02881</w:t>
        </w:r>
      </w:hyperlink>
    </w:p>
    <w:bookmarkEnd w:id="151"/>
    <w:bookmarkStart w:id="153" w:name="ref-Rousseau2022"/>
    <w:p>
      <w:pPr>
        <w:pStyle w:val="Bibliography"/>
      </w:pPr>
      <w:r>
        <w:t xml:space="preserve">Rousseau JS, Betts MG (2022) Factors influencing transferability in species distribution models. Ecography 2022:e06060.</w:t>
      </w:r>
      <w:r>
        <w:t xml:space="preserve"> </w:t>
      </w:r>
      <w:hyperlink r:id="rId152">
        <w:r>
          <w:rPr>
            <w:rStyle w:val="Hyperlink"/>
          </w:rPr>
          <w:t xml:space="preserve">https://doi.org/10.1111/ecog.06060</w:t>
        </w:r>
      </w:hyperlink>
    </w:p>
    <w:bookmarkEnd w:id="153"/>
    <w:bookmarkStart w:id="155"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54">
        <w:r>
          <w:rPr>
            <w:rStyle w:val="Hyperlink"/>
          </w:rPr>
          <w:t xml:space="preserve">https://doi.org/10.1016/S0034-4257(01)00274-7</w:t>
        </w:r>
      </w:hyperlink>
    </w:p>
    <w:bookmarkEnd w:id="155"/>
    <w:bookmarkStart w:id="157"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56">
        <w:r>
          <w:rPr>
            <w:rStyle w:val="Hyperlink"/>
          </w:rPr>
          <w:t xml:space="preserve">https://doi.org/10.2307/1935534</w:t>
        </w:r>
      </w:hyperlink>
    </w:p>
    <w:bookmarkEnd w:id="157"/>
    <w:bookmarkStart w:id="159"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58">
        <w:r>
          <w:rPr>
            <w:rStyle w:val="Hyperlink"/>
          </w:rPr>
          <w:t xml:space="preserve">https://doi.org/10.1111/2041-210X.13140</w:t>
        </w:r>
      </w:hyperlink>
    </w:p>
    <w:bookmarkEnd w:id="159"/>
    <w:bookmarkStart w:id="161" w:name="ref-Sun2016"/>
    <w:p>
      <w:pPr>
        <w:pStyle w:val="Bibliography"/>
      </w:pPr>
      <w:r>
        <w:t xml:space="preserve">Sun B, Feng J, Saenko K (2016)</w:t>
      </w:r>
      <w:r>
        <w:t xml:space="preserve"> </w:t>
      </w:r>
      <w:hyperlink r:id="rId160">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61"/>
    <w:bookmarkStart w:id="163"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62">
        <w:r>
          <w:rPr>
            <w:rStyle w:val="Hyperlink"/>
          </w:rPr>
          <w:t xml:space="preserve">https://doi.org/10.1109/MGRS.2016.2548504</w:t>
        </w:r>
      </w:hyperlink>
    </w:p>
    <w:bookmarkEnd w:id="163"/>
    <w:bookmarkStart w:id="165"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64">
        <w:r>
          <w:rPr>
            <w:rStyle w:val="Hyperlink"/>
          </w:rPr>
          <w:t xml:space="preserve">https://doi.org/10.5066/P9OGBGM6</w:t>
        </w:r>
      </w:hyperlink>
    </w:p>
    <w:bookmarkEnd w:id="165"/>
    <w:bookmarkStart w:id="167"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66">
        <w:r>
          <w:rPr>
            <w:rStyle w:val="Hyperlink"/>
          </w:rPr>
          <w:t xml:space="preserve">https://doi.org/10.1111/2041-210X.13107</w:t>
        </w:r>
      </w:hyperlink>
    </w:p>
    <w:bookmarkEnd w:id="167"/>
    <w:bookmarkStart w:id="169"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68">
        <w:r>
          <w:rPr>
            <w:rStyle w:val="Hyperlink"/>
          </w:rPr>
          <w:t xml:space="preserve">https://doi.org/10.1016/j.ecolmodel.2008.11.010</w:t>
        </w:r>
      </w:hyperlink>
    </w:p>
    <w:bookmarkEnd w:id="169"/>
    <w:bookmarkStart w:id="171" w:name="ref-Vesk2021"/>
    <w:p>
      <w:pPr>
        <w:pStyle w:val="Bibliography"/>
      </w:pPr>
      <w:r>
        <w:t xml:space="preserve">Vesk PA, Morris WK, Neal WC, et al (2021) Transferability of trait-based species distribution models. Ecography 44:134–147.</w:t>
      </w:r>
      <w:r>
        <w:t xml:space="preserve"> </w:t>
      </w:r>
      <w:hyperlink r:id="rId170">
        <w:r>
          <w:rPr>
            <w:rStyle w:val="Hyperlink"/>
          </w:rPr>
          <w:t xml:space="preserve">https://doi.org/10.1111/ecog.05179</w:t>
        </w:r>
      </w:hyperlink>
    </w:p>
    <w:bookmarkEnd w:id="171"/>
    <w:bookmarkStart w:id="173"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72">
        <w:r>
          <w:rPr>
            <w:rStyle w:val="Hyperlink"/>
          </w:rPr>
          <w:t xml:space="preserve">https://doi.org/10.1007/s44163-026-00921-0</w:t>
        </w:r>
      </w:hyperlink>
    </w:p>
    <w:bookmarkEnd w:id="173"/>
    <w:bookmarkStart w:id="175"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74">
        <w:r>
          <w:rPr>
            <w:rStyle w:val="Hyperlink"/>
          </w:rPr>
          <w:t xml:space="preserve">https://doi.org/10.1016/j.ecolmodel.2021.109692</w:t>
        </w:r>
      </w:hyperlink>
    </w:p>
    <w:bookmarkEnd w:id="175"/>
    <w:bookmarkStart w:id="177"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76">
        <w:r>
          <w:rPr>
            <w:rStyle w:val="Hyperlink"/>
          </w:rPr>
          <w:t xml:space="preserve">https://doi.org/10.5067/MODIS/MOD11A1.061</w:t>
        </w:r>
      </w:hyperlink>
    </w:p>
    <w:bookmarkEnd w:id="177"/>
    <w:bookmarkStart w:id="179"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78">
        <w:r>
          <w:rPr>
            <w:rStyle w:val="Hyperlink"/>
          </w:rPr>
          <w:t xml:space="preserve">https://doi.org/10.1111/j.1558-5646.2008.00482.x</w:t>
        </w:r>
      </w:hyperlink>
    </w:p>
    <w:bookmarkEnd w:id="179"/>
    <w:bookmarkStart w:id="181" w:name="ref-Xu2026"/>
    <w:p>
      <w:pPr>
        <w:pStyle w:val="Bibliography"/>
      </w:pPr>
      <w:r>
        <w:t xml:space="preserve">Xu Y, Dai Y, Chang L, et al (2026) Does your wildfire prediction model actually work, or just score well? arXiv preprint arXiv:2605.18911.</w:t>
      </w:r>
      <w:r>
        <w:t xml:space="preserve"> </w:t>
      </w:r>
      <w:hyperlink r:id="rId180">
        <w:r>
          <w:rPr>
            <w:rStyle w:val="Hyperlink"/>
          </w:rPr>
          <w:t xml:space="preserve">https://doi.org/10.48550/arXiv.2605.18911</w:t>
        </w:r>
      </w:hyperlink>
    </w:p>
    <w:bookmarkEnd w:id="181"/>
    <w:bookmarkStart w:id="183" w:name="ref-Yates2018"/>
    <w:p>
      <w:pPr>
        <w:pStyle w:val="Bibliography"/>
      </w:pPr>
      <w:r>
        <w:t xml:space="preserve">Yates KL, Bouchet PJ, Caley MJ, et al (2018) Outstanding challenges in the transferability of ecological models. Trends in Ecology &amp; Evolution 33:790–802.</w:t>
      </w:r>
      <w:r>
        <w:t xml:space="preserve"> </w:t>
      </w:r>
      <w:hyperlink r:id="rId182">
        <w:r>
          <w:rPr>
            <w:rStyle w:val="Hyperlink"/>
          </w:rPr>
          <w:t xml:space="preserve">https://doi.org/10.1016/j.tree.2018.08.001</w:t>
        </w:r>
      </w:hyperlink>
    </w:p>
    <w:bookmarkEnd w:id="183"/>
    <w:bookmarkStart w:id="185"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84">
        <w:r>
          <w:rPr>
            <w:rStyle w:val="Hyperlink"/>
          </w:rPr>
          <w:t xml:space="preserve">https://doi.org/10.1016/j.rse.2013.05.029</w:t>
        </w:r>
      </w:hyperlink>
    </w:p>
    <w:bookmarkEnd w:id="185"/>
    <w:bookmarkStart w:id="187"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86">
        <w:r>
          <w:rPr>
            <w:rStyle w:val="Hyperlink"/>
          </w:rPr>
          <w:t xml:space="preserve">https://doi.org/10.5281/zenodo.7254221</w:t>
        </w:r>
      </w:hyperlink>
    </w:p>
    <w:bookmarkEnd w:id="187"/>
    <w:bookmarkStart w:id="189" w:name="ref-Zanaga2021"/>
    <w:p>
      <w:pPr>
        <w:pStyle w:val="Bibliography"/>
      </w:pPr>
      <w:r>
        <w:t xml:space="preserve">Zanaga D, Van De Kerchove R, De Keersmaecker W, et al (2021)</w:t>
      </w:r>
      <w:r>
        <w:t xml:space="preserve"> </w:t>
      </w:r>
      <w:r>
        <w:t xml:space="preserve">ESA</w:t>
      </w:r>
      <w:r>
        <w:t xml:space="preserve"> </w:t>
      </w:r>
      <w:r>
        <w:t xml:space="preserve">WorldCover</w:t>
      </w:r>
      <w:r>
        <w:t xml:space="preserve"> </w:t>
      </w:r>
      <w:r>
        <w:t xml:space="preserve">10 m 2020 v100. Zenodo.</w:t>
      </w:r>
      <w:r>
        <w:t xml:space="preserve"> </w:t>
      </w:r>
      <w:hyperlink r:id="rId188">
        <w:r>
          <w:rPr>
            <w:rStyle w:val="Hyperlink"/>
          </w:rPr>
          <w:t xml:space="preserve">https://doi.org/10.5281/zenodo.5571936</w:t>
        </w:r>
      </w:hyperlink>
    </w:p>
    <w:bookmarkEnd w:id="189"/>
    <w:bookmarkEnd w:id="190"/>
    <w:bookmarkEnd w:id="191"/>
    <w:bookmarkStart w:id="192"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In (a), a dot marks a direction whose 10-cell (</w:t>
      </w:r>
      <m:oMath>
        <m:r>
          <m:rPr>
            <m:sty m:val="p"/>
          </m:rPr>
          <m:t>≈</m:t>
        </m:r>
      </m:oMath>
      <w:r>
        <w:t xml:space="preserve">5 km) target-block interval excludes 0.5 (nine above and six below chance).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A cross marks the result of CORAL alone, which uses no target labels.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9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40"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2" Type="http://schemas.openxmlformats.org/officeDocument/2006/relationships/hyperlink" Target="https://doi.org/10.1007/s44163-026-00921-0" TargetMode="External"/><Relationship Id="rId154"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8"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4"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6"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4"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2"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6"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2" Type="http://schemas.openxmlformats.org/officeDocument/2006/relationships/hyperlink" Target="https://doi.org/10.1109/MGRS.2016.2548504" TargetMode="External"/><Relationship Id="rId144" Type="http://schemas.openxmlformats.org/officeDocument/2006/relationships/hyperlink" Target="https://doi.org/10.1109/TGRS.2012.2192740" TargetMode="External"/><Relationship Id="rId166" Type="http://schemas.openxmlformats.org/officeDocument/2006/relationships/hyperlink" Target="https://doi.org/10.1111/2041-210X.13107" TargetMode="External"/><Relationship Id="rId158"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50" Type="http://schemas.openxmlformats.org/officeDocument/2006/relationships/hyperlink" Target="https://doi.org/10.1111/ecog.02881" TargetMode="External"/><Relationship Id="rId170" Type="http://schemas.openxmlformats.org/officeDocument/2006/relationships/hyperlink" Target="https://doi.org/10.1111/ecog.05179" TargetMode="External"/><Relationship Id="rId152"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2" Type="http://schemas.openxmlformats.org/officeDocument/2006/relationships/hyperlink" Target="https://doi.org/10.1111/j.1466-8238.2012.00769.x" TargetMode="External"/><Relationship Id="rId178"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8" Type="http://schemas.openxmlformats.org/officeDocument/2006/relationships/hyperlink" Target="https://doi.org/10.1186/s42408-022-00150-7" TargetMode="External"/><Relationship Id="rId160" Type="http://schemas.openxmlformats.org/officeDocument/2006/relationships/hyperlink" Target="https://doi.org/10.1609/aaai.v30i1.10306" TargetMode="External"/><Relationship Id="rId138"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6"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80" Type="http://schemas.openxmlformats.org/officeDocument/2006/relationships/hyperlink" Target="https://doi.org/10.48550/arXiv.2605.18911" TargetMode="External"/><Relationship Id="rId164"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6"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134" Type="http://schemas.openxmlformats.org/officeDocument/2006/relationships/hyperlink" Target="https://doi.org/10.5194/essd-13-4349-2021"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8039" TargetMode="External"/><Relationship Id="rId188" Type="http://schemas.openxmlformats.org/officeDocument/2006/relationships/hyperlink" Target="https://doi.org/10.5281/zenodo.5571936" TargetMode="External"/><Relationship Id="rId186"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2" Type="http://schemas.openxmlformats.org/officeDocument/2006/relationships/hyperlink" Target="https://doi.org/10.1007/s44163-026-00921-0" TargetMode="External"/><Relationship Id="rId154"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8"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4"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6"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4"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2"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6"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2" Type="http://schemas.openxmlformats.org/officeDocument/2006/relationships/hyperlink" Target="https://doi.org/10.1109/MGRS.2016.2548504" TargetMode="External"/><Relationship Id="rId144" Type="http://schemas.openxmlformats.org/officeDocument/2006/relationships/hyperlink" Target="https://doi.org/10.1109/TGRS.2012.2192740" TargetMode="External"/><Relationship Id="rId166" Type="http://schemas.openxmlformats.org/officeDocument/2006/relationships/hyperlink" Target="https://doi.org/10.1111/2041-210X.13107" TargetMode="External"/><Relationship Id="rId158"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50" Type="http://schemas.openxmlformats.org/officeDocument/2006/relationships/hyperlink" Target="https://doi.org/10.1111/ecog.02881" TargetMode="External"/><Relationship Id="rId170" Type="http://schemas.openxmlformats.org/officeDocument/2006/relationships/hyperlink" Target="https://doi.org/10.1111/ecog.05179" TargetMode="External"/><Relationship Id="rId152"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2" Type="http://schemas.openxmlformats.org/officeDocument/2006/relationships/hyperlink" Target="https://doi.org/10.1111/j.1466-8238.2012.00769.x" TargetMode="External"/><Relationship Id="rId178"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8" Type="http://schemas.openxmlformats.org/officeDocument/2006/relationships/hyperlink" Target="https://doi.org/10.1186/s42408-022-00150-7" TargetMode="External"/><Relationship Id="rId160" Type="http://schemas.openxmlformats.org/officeDocument/2006/relationships/hyperlink" Target="https://doi.org/10.1609/aaai.v30i1.10306" TargetMode="External"/><Relationship Id="rId138"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6"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80" Type="http://schemas.openxmlformats.org/officeDocument/2006/relationships/hyperlink" Target="https://doi.org/10.48550/arXiv.2605.18911" TargetMode="External"/><Relationship Id="rId164"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6"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134" Type="http://schemas.openxmlformats.org/officeDocument/2006/relationships/hyperlink" Target="https://doi.org/10.5194/essd-13-4349-2021"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8039" TargetMode="External"/><Relationship Id="rId188" Type="http://schemas.openxmlformats.org/officeDocument/2006/relationships/hyperlink" Target="https://doi.org/10.5281/zenodo.5571936" TargetMode="External"/><Relationship Id="rId186"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cross-region transfer of pre-fire thermal wildfire models: five large Mediterranean fires</dc:title>
  <dc:creator>Emrehan Metin; Yunus Emre Cogurcu</dc:creator>
  <dc:language>en-GB</dc:language>
  <cp:keywords/>
  <dcterms:created xsi:type="dcterms:W3CDTF">2026-09-29T11:54:48Z</dcterms:created>
  <dcterms:modified xsi:type="dcterms:W3CDTF">2026-09-29T11:54:48Z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