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Evaluation area and the limits of wildfire model transfer</w:t>
      </w:r>
    </w:p>
    <w:p>
      <w:pPr>
        <w:pStyle w:val="BodyText"/>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 Adana, Türkiye</w:t>
      </w:r>
    </w:p>
    <w:p>
      <w:pPr>
        <w:pStyle w:val="BodyText"/>
      </w:pPr>
      <w:r>
        <w:rPr>
          <w:vertAlign w:val="superscript"/>
        </w:rPr>
        <w:t xml:space="preserve">*</w:t>
      </w:r>
      <w:r>
        <w:t xml:space="preserve"> </w:t>
      </w:r>
      <w:r>
        <w:t xml:space="preserve">Corresponding author: ycogurcu@cu.edu.tr</w:t>
      </w:r>
    </w:p>
    <w:p>
      <w:pPr>
        <w:pStyle w:val="BodyText"/>
      </w:pPr>
      <w:r>
        <w:t xml:space="preserve">ORCID: Yunus Emre Cogurcu, 0000-0002-9229-9657</w:t>
      </w:r>
    </w:p>
    <w:p>
      <w:pPr>
        <w:pStyle w:val="BodyText"/>
      </w:pPr>
      <w:r>
        <w:t xml:space="preserve">Article type: Research. Main text (Background to Conclusions, tables, figures and references excluded):</w:t>
      </w:r>
      <w:r>
        <w:t xml:space="preserve"> </w:t>
      </w:r>
      <w:r>
        <w:t xml:space="preserve">7,906 words. Abstract: 292 words.</w:t>
      </w:r>
    </w:p>
    <w:p>
      <w:pPr>
        <w:pStyle w:val="BodyText"/>
      </w:pPr>
      <w:r>
        <w:rPr>
          <w:b/>
          <w:bCs/>
        </w:rPr>
        <w:t xml:space="preserve">Abstract</w:t>
      </w:r>
    </w:p>
    <w:p>
      <w:pPr>
        <w:pStyle w:val="BodyText"/>
      </w:pPr>
      <w:r>
        <w:rPr>
          <w:b/>
          <w:bCs/>
        </w:rPr>
        <w:t xml:space="preserve">Background</w:t>
      </w:r>
      <w:r>
        <w:t xml:space="preserve"> </w:t>
      </w:r>
      <w:r>
        <w:t xml:space="preserve">Wildfire susceptibility maps are usually scored in the region where they were trained,</w:t>
      </w:r>
      <w:r>
        <w:t xml:space="preserve"> </w:t>
      </w:r>
      <w:r>
        <w:t xml:space="preserve">yet agencies without a long fire record may borrow a map from elsewhere. We tested whether pre-fire</w:t>
      </w:r>
      <w:r>
        <w:t xml:space="preserve"> </w:t>
      </w:r>
      <w:r>
        <w:t xml:space="preserve">satellite thermal predictors, expected to track fuel dryness, transfer between Mediterranean regions.</w:t>
      </w:r>
      <w:r>
        <w:t xml:space="preserve"> </w:t>
      </w:r>
      <w:r>
        <w:t xml:space="preserve">Six land surface temperature (LST) and dryness predictors extended a terrain, land-cover and greenness</w:t>
      </w:r>
      <w:r>
        <w:t xml:space="preserve"> </w:t>
      </w:r>
      <w:r>
        <w:t xml:space="preserve">baseline. We fitted random forests in five regions, each with one large fire season (2021 or 2022):</w:t>
      </w:r>
      <w:r>
        <w:t xml:space="preserve"> </w:t>
      </w:r>
      <w:r>
        <w:t xml:space="preserve">Manavgat and Muğla (Türkiye), Bejís (Spain), North Evia (Greece) and Montiferru (Italy). Skill was the</w:t>
      </w:r>
      <w:r>
        <w:t xml:space="preserve"> </w:t>
      </w:r>
      <w:r>
        <w:t xml:space="preserve">spatially blocked area under the receiver operating characteristic curve (ROC-AUC) against Moderate</w:t>
      </w:r>
      <w:r>
        <w:t xml:space="preserve"> </w:t>
      </w:r>
      <w:r>
        <w:t xml:space="preserve">Resolution Imaging Spectroradiometer (MODIS) burned areas, within each region and across all twenty</w:t>
      </w:r>
      <w:r>
        <w:t xml:space="preserve"> </w:t>
      </w:r>
      <w:r>
        <w:t xml:space="preserve">ordered pairs of regions without target labels.</w:t>
      </w:r>
    </w:p>
    <w:p>
      <w:pPr>
        <w:pStyle w:val="BodyText"/>
      </w:pPr>
      <w:r>
        <w:rPr>
          <w:b/>
          <w:bCs/>
        </w:rPr>
        <w:t xml:space="preserve">Results</w:t>
      </w:r>
      <w:r>
        <w:t xml:space="preserve"> </w:t>
      </w:r>
      <w:r>
        <w:t xml:space="preserve">Scored on the burn scar and a 2 km collar, not region-wide, the same models lost 0.160</w:t>
      </w:r>
      <w:r>
        <w:t xml:space="preserve"> </w:t>
      </w:r>
      <w:r>
        <w:t xml:space="preserve">[0.090, 0.230] ROC-AUC on average. At 5 km blocking, thermal predictors added +0.045 to +0.148 within</w:t>
      </w:r>
      <w:r>
        <w:t xml:space="preserve"> </w:t>
      </w:r>
      <w:r>
        <w:t xml:space="preserve">regions, but only +0.007 [−0.020, +0.038] across twenty directions and +0.024 [−0.004, +0.049] on</w:t>
      </w:r>
      <w:r>
        <w:t xml:space="preserve"> </w:t>
      </w:r>
      <w:r>
        <w:t xml:space="preserve">comparable areas. Two label-free adaptation methods moved transfer toward chance. None of twenty</w:t>
      </w:r>
      <w:r>
        <w:t xml:space="preserve"> </w:t>
      </w:r>
      <w:r>
        <w:t xml:space="preserve">similarity measures was shown to predict transfer. At point estimates, the most similar pair of</w:t>
      </w:r>
      <w:r>
        <w:t xml:space="preserve"> </w:t>
      </w:r>
      <w:r>
        <w:t xml:space="preserve">regions failed in both directions, and hotter surfaces burned less in four of five regions (two with</w:t>
      </w:r>
      <w:r>
        <w:t xml:space="preserve"> </w:t>
      </w:r>
      <w:r>
        <w:t xml:space="preserve">interval support), consistent with LST describing land surface rather than dryness.</w:t>
      </w:r>
    </w:p>
    <w:p>
      <w:pPr>
        <w:pStyle w:val="BodyText"/>
      </w:pPr>
      <w:r>
        <w:rPr>
          <w:b/>
          <w:bCs/>
        </w:rPr>
        <w:t xml:space="preserve">Conclusions</w:t>
      </w:r>
      <w:r>
        <w:t xml:space="preserve"> </w:t>
      </w:r>
      <w:r>
        <w:t xml:space="preserve">A score from the training region does not show how a susceptibility map will perform</w:t>
      </w:r>
      <w:r>
        <w:t xml:space="preserve"> </w:t>
      </w:r>
      <w:r>
        <w:t xml:space="preserve">in another region. Before a borrowed single-season model is used for prevention planning, fire</w:t>
      </w:r>
      <w:r>
        <w:t xml:space="preserve"> </w:t>
      </w:r>
      <w:r>
        <w:t xml:space="preserve">agencies should test it against burned areas in the target region and report on which cells its score</w:t>
      </w:r>
      <w:r>
        <w:t xml:space="preserve"> </w:t>
      </w:r>
      <w:r>
        <w:t xml:space="preserve">was computed. Region and event effects are confounded here, so several fire seasons per region are</w:t>
      </w:r>
      <w:r>
        <w:t xml:space="preserve"> </w:t>
      </w:r>
      <w:r>
        <w:t xml:space="preserve">needed to generalise.</w:t>
      </w:r>
    </w:p>
    <w:p>
      <w:pPr>
        <w:pStyle w:val="BodyText"/>
      </w:pPr>
      <w:r>
        <w:rPr>
          <w:b/>
          <w:bCs/>
        </w:rPr>
        <w:t xml:space="preserve">Keywords</w:t>
      </w:r>
      <w:r>
        <w:t xml:space="preserve"> </w:t>
      </w:r>
      <w:r>
        <w:t xml:space="preserve">Burned area, Fire susceptibility, Greece, Italy, Land surface temperature, Mediterranean Basin, Satellite thermal data, Spain, Spatial cross-validation, Türkiye</w:t>
      </w:r>
    </w:p>
    <w:bookmarkStart w:id="22" w:name="background"/>
    <w:p>
      <w:pPr>
        <w:pStyle w:val="Heading1"/>
      </w:pPr>
      <w:r>
        <w:t xml:space="preserve">1 Background</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Mediterranean fire policy is urged to shift from suppression towards</w:t>
      </w:r>
      <w:r>
        <w:t xml:space="preserve"> </w:t>
      </w:r>
      <w:r>
        <w:t xml:space="preserve">prevention and landscape management</w:t>
      </w:r>
      <w:r>
        <w:t xml:space="preserve"> </w:t>
      </w:r>
      <w:r>
        <w:t xml:space="preserve">(Moreira et al. 2020)</w:t>
      </w:r>
      <w:r>
        <w:t xml:space="preserve">, and susceptibility maps support this planning.</w:t>
      </w:r>
      <w:r>
        <w:t xml:space="preserve"> </w:t>
      </w:r>
      <w:r>
        <w:t xml:space="preserve">Most such maps follow a common workflow</w:t>
      </w:r>
      <w:r>
        <w:t xml:space="preserve"> </w:t>
      </w:r>
      <w:r>
        <w:t xml:space="preserve">(Jain et al. 2020; Jodhani et al. 2026; Vibhandik et al. 2026)</w:t>
      </w:r>
      <w:r>
        <w:t xml:space="preserve">. Predictors are</w:t>
      </w:r>
      <w:r>
        <w:t xml:space="preserve"> </w:t>
      </w:r>
      <w:r>
        <w:t xml:space="preserve">collected over a study region and matched with a record of burned areas, a classifier, most often a</w:t>
      </w:r>
      <w:r>
        <w:t xml:space="preserve"> </w:t>
      </w:r>
      <w:r>
        <w:t xml:space="preserve">random forest</w:t>
      </w:r>
      <w:r>
        <w:t xml:space="preserve"> </w:t>
      </w:r>
      <w:r>
        <w:t xml:space="preserve">(Breiman 2001; Oliveira et al. 2012; Tonini et al. 2020)</w:t>
      </w:r>
      <w:r>
        <w:t xml:space="preserve">, is trained, and the map is reported with a</w:t>
      </w:r>
      <w:r>
        <w:t xml:space="preserve"> </w:t>
      </w:r>
      <w:r>
        <w:t xml:space="preserve">cross-validated score from the same region. Agencies without a long local fire record, for example</w:t>
      </w:r>
      <w:r>
        <w:t xml:space="preserve"> </w:t>
      </w:r>
      <w:r>
        <w:t xml:space="preserve">after a first large fire, would instead have to use a map trained elsewhere.</w:t>
      </w:r>
      <w:r>
        <w:t xml:space="preserve"> </w:t>
      </w:r>
      <w:r>
        <w:rPr>
          <w:b/>
          <w:bCs/>
        </w:rPr>
        <w:t xml:space="preserve">How well the model</w:t>
      </w:r>
      <w:r>
        <w:rPr>
          <w:b/>
          <w:bCs/>
        </w:rPr>
        <w:t xml:space="preserve"> </w:t>
      </w:r>
      <w:r>
        <w:rPr>
          <w:b/>
          <w:bCs/>
        </w:rPr>
        <w:t xml:space="preserve">works in another region is rarely reported.</w:t>
      </w:r>
    </w:p>
    <w:bookmarkStart w:id="18"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and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optimism</w:t>
      </w:r>
      <w:r>
        <w:t xml:space="preserve"> </w:t>
      </w:r>
      <w:r>
        <w:t xml:space="preserve">(Meyer et al. 2018; Valavi et al. 2019)</w:t>
      </w:r>
      <w:r>
        <w:t xml:space="preserve">, although its use for map accuracy is debated</w:t>
      </w:r>
      <w:r>
        <w:t xml:space="preserve"> </w:t>
      </w:r>
      <w:r>
        <w:t xml:space="preserve">(Wadoux et al. 2021; Bruin et al. 2022; Milà et al. 2022)</w:t>
      </w:r>
      <w:r>
        <w:t xml:space="preserve">, and the area of applicability shows where predictor values</w:t>
      </w:r>
      <w:r>
        <w:t xml:space="preserve"> </w:t>
      </w:r>
      <w:r>
        <w:t xml:space="preserve">are too far from the training data</w:t>
      </w:r>
      <w:r>
        <w:t xml:space="preserve"> </w:t>
      </w:r>
      <w:r>
        <w:t xml:space="preserve">(Meyer and Pebesma 2021, 2022; Ludwig et al. 2023)</w:t>
      </w:r>
      <w:r>
        <w:t xml:space="preserve">. Neither shows how a model</w:t>
      </w:r>
      <w:r>
        <w:t xml:space="preserve"> </w:t>
      </w:r>
      <w:r>
        <w:t xml:space="preserve">works on a fire it has not seen. Transferability must be tested on spatially or temporally separate</w:t>
      </w:r>
      <w:r>
        <w:t xml:space="preserve"> </w:t>
      </w:r>
      <w:r>
        <w:t xml:space="preserve">data</w:t>
      </w:r>
      <w:r>
        <w:t xml:space="preserve"> </w:t>
      </w:r>
      <w:r>
        <w:t xml:space="preserve">(Wenger and Olden 2012)</w:t>
      </w:r>
      <w:r>
        <w:t xml:space="preserve">, and it remains an open problem in ecological modelling</w:t>
      </w:r>
      <w:r>
        <w:t xml:space="preserve"> </w:t>
      </w:r>
      <w:r>
        <w:t xml:space="preserve">(Yates et al. 2018)</w:t>
      </w:r>
      <w:r>
        <w:t xml:space="preserve">.</w:t>
      </w:r>
    </w:p>
    <w:p>
      <w:pPr>
        <w:pStyle w:val="BodyText"/>
      </w:pPr>
      <w:r>
        <w:t xml:space="preserve">Few studies test the transfer of fire models directly. Fire-danger indices, which are driven by</w:t>
      </w:r>
      <w:r>
        <w:t xml:space="preserve"> </w:t>
      </w:r>
      <w:r>
        <w:t xml:space="preserve">weather, did not transfer well between fire environments in Peru</w:t>
      </w:r>
      <w:r>
        <w:t xml:space="preserve"> </w:t>
      </w:r>
      <w:r>
        <w:t xml:space="preserve">(Podschwit et al. 2022)</w:t>
      </w:r>
      <w:r>
        <w:t xml:space="preserve">. Operational</w:t>
      </w:r>
      <w:r>
        <w:t xml:space="preserve"> </w:t>
      </w:r>
      <w:r>
        <w:t xml:space="preserve">fire-danger rating in Europe, as in the European Forest Fire Information System, also rests on</w:t>
      </w:r>
      <w:r>
        <w:t xml:space="preserve"> </w:t>
      </w:r>
      <w:r>
        <w:t xml:space="preserve">weather-driven indices such as the Canadian Fire Weather Index</w:t>
      </w:r>
      <w:r>
        <w:t xml:space="preserve"> </w:t>
      </w:r>
      <w:r>
        <w:t xml:space="preserve">(Vitolo et al. 2020)</w:t>
      </w:r>
      <w:r>
        <w:t xml:space="preserve">, and large</w:t>
      </w:r>
      <w:r>
        <w:t xml:space="preserve"> </w:t>
      </w:r>
      <w:r>
        <w:t xml:space="preserve">Mediterranean fires grow under heat, wind and drought</w:t>
      </w:r>
      <w:r>
        <w:t xml:space="preserve"> </w:t>
      </w:r>
      <w:r>
        <w:t xml:space="preserve">(Ruffault et al. 2020; Ghasemiazma et al. 2026)</w:t>
      </w:r>
      <w:r>
        <w:t xml:space="preserve">. Regional</w:t>
      </w:r>
      <w:r>
        <w:t xml:space="preserve"> </w:t>
      </w:r>
      <w:r>
        <w:t xml:space="preserve">fire-occurrence models in the Alps and the Mediterranean Basin transferred well only under similar</w:t>
      </w:r>
      <w:r>
        <w:t xml:space="preserve"> </w:t>
      </w:r>
      <w:r>
        <w:t xml:space="preserve">conditions, and a pooled model was more robust</w:t>
      </w:r>
      <w:r>
        <w:t xml:space="preserve"> </w:t>
      </w:r>
      <w:r>
        <w:t xml:space="preserve">(Bekar et al. 2020)</w:t>
      </w:r>
      <w:r>
        <w:t xml:space="preserve">. WildfireGenome</w:t>
      </w:r>
      <w:r>
        <w:t xml:space="preserve"> </w:t>
      </w:r>
      <w:r>
        <w:t xml:space="preserve">(Liu and Mostafavi 2025)</w:t>
      </w:r>
      <w:r>
        <w:t xml:space="preserve"> </w:t>
      </w:r>
      <w:r>
        <w:t xml:space="preserve">found good</w:t>
      </w:r>
      <w:r>
        <w:t xml:space="preserve"> </w:t>
      </w:r>
      <w:r>
        <w:t xml:space="preserve">transfer between similar US counties and poor transfer between dissimilar ones, with a composite of</w:t>
      </w:r>
      <w:r>
        <w:t xml:space="preserve"> </w:t>
      </w:r>
      <w:r>
        <w:t xml:space="preserve">hazard indicators as the label rather than observed burned area. The closest Mediterranean study</w:t>
      </w:r>
      <w:r>
        <w:t xml:space="preserve"> </w:t>
      </w:r>
      <w:r>
        <w:t xml:space="preserve">(Dimarco et al. 2026)</w:t>
      </w:r>
      <w:r>
        <w:t xml:space="preserve"> </w:t>
      </w:r>
      <w:r>
        <w:t xml:space="preserve">used 500 m predictors in four countries and a full transfer matrix. No transfer fell</w:t>
      </w:r>
      <w:r>
        <w:t xml:space="preserve"> </w:t>
      </w:r>
      <w:r>
        <w:t xml:space="preserve">below an AUC of 0.80, and similar countries scored higher, but the predictors were static attributes</w:t>
      </w:r>
      <w:r>
        <w:t xml:space="preserve"> </w:t>
      </w:r>
      <w:r>
        <w:t xml:space="preserve">of a place and the response was human-caused ignition. Susceptibility has also been mapped with one</w:t>
      </w:r>
      <w:r>
        <w:t xml:space="preserve"> </w:t>
      </w:r>
      <w:r>
        <w:t xml:space="preserve">random forest for thirteen countries of the eastern Mediterranean and southern Black Sea from a decade</w:t>
      </w:r>
      <w:r>
        <w:t xml:space="preserve"> </w:t>
      </w:r>
      <w:r>
        <w:t xml:space="preserve">of fires</w:t>
      </w:r>
      <w:r>
        <w:t xml:space="preserve"> </w:t>
      </w:r>
      <w:r>
        <w:t xml:space="preserve">(Trucchia et al. 2023)</w:t>
      </w:r>
      <w:r>
        <w:t xml:space="preserve">, but such a model is fitted on all regions at once, so it does not measure</w:t>
      </w:r>
      <w:r>
        <w:t xml:space="preserve"> </w:t>
      </w:r>
      <w:r>
        <w:t xml:space="preserve">transfer to a region without a fire record.</w:t>
      </w:r>
      <w:r>
        <w:t xml:space="preserve"> </w:t>
      </w:r>
      <w:r>
        <w:t xml:space="preserve">Conclusions about wildfire models also depend on how they are evaluated</w:t>
      </w:r>
      <w:r>
        <w:t xml:space="preserve"> </w:t>
      </w:r>
      <w:r>
        <w:t xml:space="preserve">(Xu et al. 2026)</w:t>
      </w:r>
      <w:r>
        <w:t xml:space="preserve">.</w:t>
      </w:r>
    </w:p>
    <w:p>
      <w:pPr>
        <w:pStyle w:val="BodyText"/>
      </w:pPr>
      <w:r>
        <w:t xml:space="preserve">When a model is moved, the predictor distribution may change (covariate shift), which can in</w:t>
      </w:r>
      <w:r>
        <w:t xml:space="preserve"> </w:t>
      </w:r>
      <w:r>
        <w:t xml:space="preserve">principle be corrected without target labels, for example by covariance alignment (CORAL)</w:t>
      </w:r>
      <w:r>
        <w:t xml:space="preserve"> </w:t>
      </w:r>
      <w:r>
        <w:t xml:space="preserve">(Sun et al. 2016)</w:t>
      </w:r>
      <w:r>
        <w:t xml:space="preserve">, as is common in remote sensing</w:t>
      </w:r>
      <w:r>
        <w:t xml:space="preserve"> </w:t>
      </w:r>
      <w:r>
        <w:t xml:space="preserve">(Persello and Bruzzone 2012; Tuia et al. 2016)</w:t>
      </w:r>
      <w:r>
        <w:t xml:space="preserve">, where shift decomposition</w:t>
      </w:r>
      <w:r>
        <w:t xml:space="preserve"> </w:t>
      </w:r>
      <w:r>
        <w:t xml:space="preserve">has also been used</w:t>
      </w:r>
      <w:r>
        <w:t xml:space="preserve"> </w:t>
      </w:r>
      <w:r>
        <w:t xml:space="preserve">(Huang et al. 2026)</w:t>
      </w:r>
      <w:r>
        <w:t xml:space="preserve">. The predictor-response relationship itself may also change (concept</w:t>
      </w:r>
      <w:r>
        <w:t xml:space="preserve"> </w:t>
      </w:r>
      <w:r>
        <w:t xml:space="preserve">shift)</w:t>
      </w:r>
      <w:r>
        <w:t xml:space="preserve"> </w:t>
      </w:r>
      <w:r>
        <w:t xml:space="preserve">(Moreno-Torres et al. 2012)</w:t>
      </w:r>
      <w:r>
        <w:t xml:space="preserve">, and a reversed association can only be seen with target labels. We found</w:t>
      </w:r>
      <w:r>
        <w:t xml:space="preserve"> </w:t>
      </w:r>
      <w:r>
        <w:t xml:space="preserve">no use of covariance alignment for fire susceptibility or burned-area prediction.</w:t>
      </w:r>
    </w:p>
    <w:bookmarkEnd w:id="18"/>
    <w:bookmarkStart w:id="19" w:name="pre-fire-thermal-state-as-a-test-case"/>
    <w:p>
      <w:pPr>
        <w:pStyle w:val="Heading2"/>
      </w:pPr>
      <w:r>
        <w:t xml:space="preserve">1.2 Pre-fire thermal state as a test case</w:t>
      </w:r>
    </w:p>
    <w:p>
      <w:pPr>
        <w:pStyle w:val="FirstParagraph"/>
      </w:pPr>
      <w:r>
        <w:t xml:space="preserve">Satellite measurements of the land surface before a fire are a third kind of predictor. They change</w:t>
      </w:r>
      <w:r>
        <w:t xml:space="preserve"> </w:t>
      </w:r>
      <w:r>
        <w:t xml:space="preserve">from season to season like weather, but they describe each location like a map. Static predictors</w:t>
      </w:r>
      <w:r>
        <w:t xml:space="preserve"> </w:t>
      </w:r>
      <w:r>
        <w:t xml:space="preserve">change little between years, so they cannot explain why one summer burned and another did not.</w:t>
      </w:r>
      <w:r>
        <w:t xml:space="preserve"> </w:t>
      </w:r>
      <w:r>
        <w:t xml:space="preserve">Satellite thermal data can be used to estimate fuel moisture</w:t>
      </w:r>
      <w:r>
        <w:t xml:space="preserve"> </w:t>
      </w:r>
      <w:r>
        <w:t xml:space="preserve">(Yebra et al. 2013)</w:t>
      </w:r>
      <w:r>
        <w:t xml:space="preserve">, because land surface</w:t>
      </w:r>
      <w:r>
        <w:t xml:space="preserve"> </w:t>
      </w:r>
      <w:r>
        <w:t xml:space="preserve">temperature (LST) rises as vegetation dries. LST combined with a vegetation index was used by</w:t>
      </w:r>
      <w:r>
        <w:t xml:space="preserve"> </w:t>
      </w:r>
      <w:r>
        <w:t xml:space="preserve">Chuvieco et al.</w:t>
      </w:r>
      <w:r>
        <w:t xml:space="preserve"> </w:t>
      </w:r>
      <w:r>
        <w:t xml:space="preserve">(2004)</w:t>
      </w:r>
      <w:r>
        <w:t xml:space="preserve"> </w:t>
      </w:r>
      <w:r>
        <w:t xml:space="preserve">to estimate live fuel moisture for fire-danger rating, and the</w:t>
      </w:r>
      <w:r>
        <w:t xml:space="preserve"> </w:t>
      </w:r>
      <w:r>
        <w:t xml:space="preserve">Temperature-Vegetation Dryness Index (TVDI)</w:t>
      </w:r>
      <w:r>
        <w:t xml:space="preserve"> </w:t>
      </w:r>
      <w:r>
        <w:t xml:space="preserve">(Sandholt et al. 2002)</w:t>
      </w:r>
      <w:r>
        <w:t xml:space="preserve"> </w:t>
      </w:r>
      <w:r>
        <w:t xml:space="preserve">is an internally normalised form of this</w:t>
      </w:r>
      <w:r>
        <w:t xml:space="preserve"> </w:t>
      </w:r>
      <w:r>
        <w:t xml:space="preserve">approach, so it is often expected to transfer better than raw temperature. Pre-fire LST anomalies are</w:t>
      </w:r>
      <w:r>
        <w:t xml:space="preserve"> </w:t>
      </w:r>
      <w:r>
        <w:t xml:space="preserve">related to the burned area and duration of later fires</w:t>
      </w:r>
      <w:r>
        <w:t xml:space="preserve"> </w:t>
      </w:r>
      <w:r>
        <w:t xml:space="preserve">(Maffei et al. 2018, 2021)</w:t>
      </w:r>
      <w:r>
        <w:t xml:space="preserve">, pre-fire optical</w:t>
      </w:r>
      <w:r>
        <w:t xml:space="preserve"> </w:t>
      </w:r>
      <w:r>
        <w:t xml:space="preserve">moisture indices carry similar information</w:t>
      </w:r>
      <w:r>
        <w:t xml:space="preserve"> </w:t>
      </w:r>
      <w:r>
        <w:t xml:space="preserve">(Maffei and Menenti 2019)</w:t>
      </w:r>
      <w:r>
        <w:t xml:space="preserve">, and dead fuel moisture was the</w:t>
      </w:r>
      <w:r>
        <w:t xml:space="preserve"> </w:t>
      </w:r>
      <w:r>
        <w:t xml:space="preserve">strongest predictor of human-caused ignition across Europe in a pooled model</w:t>
      </w:r>
      <w:r>
        <w:t xml:space="preserve"> </w:t>
      </w:r>
      <w:r>
        <w:t xml:space="preserve">(Gelabert et al. 2025)</w:t>
      </w:r>
      <w:r>
        <w:t xml:space="preserve">.</w:t>
      </w:r>
      <w:r>
        <w:t xml:space="preserve"> </w:t>
      </w:r>
      <w:r>
        <w:t xml:space="preserve">Pre-fire evaporative stress from spaceborne thermal data has been used to predict unseen fires</w:t>
      </w:r>
      <w:r>
        <w:t xml:space="preserve"> </w:t>
      </w:r>
      <w:r>
        <w:t xml:space="preserve">within one region</w:t>
      </w:r>
      <w:r>
        <w:t xml:space="preserve"> </w:t>
      </w:r>
      <w:r>
        <w:t xml:space="preserve">(Pascolini-Campbell et al. 2025)</w:t>
      </w:r>
      <w:r>
        <w:t xml:space="preserve">, and within-region susceptibility models exist for</w:t>
      </w:r>
      <w:r>
        <w:t xml:space="preserve"> </w:t>
      </w:r>
      <w:r>
        <w:t xml:space="preserve">Turkish Mediterranean landscapes</w:t>
      </w:r>
      <w:r>
        <w:t xml:space="preserve"> </w:t>
      </w:r>
      <w:r>
        <w:t xml:space="preserve">(Iban and Sekertekin 2022; Akıncı and Akıncı 2023)</w:t>
      </w:r>
      <w:r>
        <w:t xml:space="preserve">. Satellite fuel-moisture models are,</w:t>
      </w:r>
      <w:r>
        <w:t xml:space="preserve"> </w:t>
      </w:r>
      <w:r>
        <w:t xml:space="preserve">however, usually site-specific, and their transfer is rarely tested</w:t>
      </w:r>
      <w:r>
        <w:t xml:space="preserve"> </w:t>
      </w:r>
      <w:r>
        <w:t xml:space="preserve">(Marino et al. 2024)</w:t>
      </w:r>
      <w:r>
        <w:t xml:space="preserve">. To our knowledge,</w:t>
      </w:r>
      <w:r>
        <w:t xml:space="preserve"> </w:t>
      </w:r>
      <w:r>
        <w:t xml:space="preserve">the transfer of a classifier that uses pre-fire thermal state to another region, without target</w:t>
      </w:r>
      <w:r>
        <w:t xml:space="preserve"> </w:t>
      </w:r>
      <w:r>
        <w:t xml:space="preserve">labels, has not been tested. Large datacubes now support deep-learning fire-danger models</w:t>
      </w:r>
      <w:r>
        <w:t xml:space="preserve"> </w:t>
      </w:r>
      <w:r>
        <w:t xml:space="preserve">(Kondylatos et al. 2023)</w:t>
      </w:r>
      <w:r>
        <w:t xml:space="preserve">; we used a simple fixed classifier, so that only the evaluation changes. Surface</w:t>
      </w:r>
      <w:r>
        <w:t xml:space="preserve"> </w:t>
      </w:r>
      <w:r>
        <w:t xml:space="preserve">predictors of this kind are meant to complement weather-driven danger ratings, not to replace them.</w:t>
      </w:r>
    </w:p>
    <w:bookmarkEnd w:id="19"/>
    <w:bookmarkStart w:id="20" w:name="evaluation-area-and-similarity"/>
    <w:p>
      <w:pPr>
        <w:pStyle w:val="Heading2"/>
      </w:pPr>
      <w:r>
        <w:t xml:space="preserve">1.3 Evaluation area and similarity</w:t>
      </w:r>
    </w:p>
    <w:p>
      <w:pPr>
        <w:pStyle w:val="FirstParagraph"/>
      </w:pPr>
      <w:r>
        <w:t xml:space="preserve">In species distribution modelling, the evaluation area is known to affect the area under the</w:t>
      </w:r>
      <w:r>
        <w:t xml:space="preserve"> </w:t>
      </w:r>
      <w:r>
        <w:t xml:space="preserve">receiver operating characteristic curve (ROC-AUC).</w:t>
      </w:r>
      <w:r>
        <w:t xml:space="preserve"> </w:t>
      </w:r>
      <w:r>
        <w:t xml:space="preserve">Lobo et al. (2008)</w:t>
      </w:r>
      <w:r>
        <w:t xml:space="preserve"> </w:t>
      </w:r>
      <w:r>
        <w:t xml:space="preserve">list it among the main</w:t>
      </w:r>
      <w:r>
        <w:t xml:space="preserve"> </w:t>
      </w:r>
      <w:r>
        <w:t xml:space="preserve">reasons for caution when AUC values are compared, because a larger area adds more easy absences and</w:t>
      </w:r>
      <w:r>
        <w:t xml:space="preserve"> </w:t>
      </w:r>
      <w:r>
        <w:t xml:space="preserve">raises the score. Related effects were shown for spatial sorting bias between training and test</w:t>
      </w:r>
      <w:r>
        <w:t xml:space="preserve"> </w:t>
      </w:r>
      <w:r>
        <w:t xml:space="preserve">sites</w:t>
      </w:r>
      <w:r>
        <w:t xml:space="preserve"> </w:t>
      </w:r>
      <w:r>
        <w:t xml:space="preserve">(Hijmans 2012)</w:t>
      </w:r>
      <w:r>
        <w:t xml:space="preserve">, in a general analysis of AUC</w:t>
      </w:r>
      <w:r>
        <w:t xml:space="preserve"> </w:t>
      </w:r>
      <w:r>
        <w:t xml:space="preserve">(Jiménez-Valverde 2012)</w:t>
      </w:r>
      <w:r>
        <w:t xml:space="preserve"> </w:t>
      </w:r>
      <w:r>
        <w:t xml:space="preserve">and for calibration</w:t>
      </w:r>
      <w:r>
        <w:t xml:space="preserve"> </w:t>
      </w:r>
      <w:r>
        <w:t xml:space="preserve">(VanDerWal et al. 2009)</w:t>
      </w:r>
      <w:r>
        <w:t xml:space="preserve">, and the effect was described in general terms as the accessible area</w:t>
      </w:r>
      <w:r>
        <w:t xml:space="preserve"> </w:t>
      </w:r>
      <w:r>
        <w:t xml:space="preserve">(Barve et al. 2011)</w:t>
      </w:r>
      <w:r>
        <w:t xml:space="preserve">.</w:t>
      </w:r>
      <w:r>
        <w:t xml:space="preserve"> </w:t>
      </w:r>
      <w:r>
        <w:t xml:space="preserve">Its size depends on the problem. We found no wildfire study that keeps the model fixed and changes</w:t>
      </w:r>
      <w:r>
        <w:t xml:space="preserve"> </w:t>
      </w:r>
      <w:r>
        <w:t xml:space="preserve">only the evaluation cells, although region-wide scores are often read as if they described</w:t>
      </w:r>
      <w:r>
        <w:t xml:space="preserve"> </w:t>
      </w:r>
      <w:r>
        <w:t xml:space="preserve">performance next to the fire.</w:t>
      </w:r>
    </w:p>
    <w:p>
      <w:pPr>
        <w:pStyle w:val="BodyText"/>
      </w:pPr>
      <w:r>
        <w:t xml:space="preserve">If transfer cannot be assumed, it might still be predicted from the similarity of two regions.</w:t>
      </w:r>
      <w:r>
        <w:t xml:space="preserve"> </w:t>
      </w:r>
      <w:r>
        <w:t xml:space="preserve">Species distribution studies disagree on this.</w:t>
      </w:r>
      <w:r>
        <w:t xml:space="preserve"> </w:t>
      </w:r>
      <w:r>
        <w:t xml:space="preserve">Vesk et al. (2021)</w:t>
      </w:r>
      <w:r>
        <w:t xml:space="preserve"> </w:t>
      </w:r>
      <w:r>
        <w:t xml:space="preserve">found that trait-based models</w:t>
      </w:r>
      <w:r>
        <w:t xml:space="preserve"> </w:t>
      </w:r>
      <w:r>
        <w:t xml:space="preserve">did not predict worse with increasing geographic or environmental distance, whereas Rousseau and</w:t>
      </w:r>
      <w:r>
        <w:t xml:space="preserve"> </w:t>
      </w:r>
      <w:r>
        <w:t xml:space="preserve">Betts</w:t>
      </w:r>
      <w:r>
        <w:t xml:space="preserve"> </w:t>
      </w:r>
      <w:r>
        <w:t xml:space="preserve">(Rousseau and Betts 2022)</w:t>
      </w:r>
      <w:r>
        <w:t xml:space="preserve"> </w:t>
      </w:r>
      <w:r>
        <w:t xml:space="preserve">found that transferability decreased with geographic distance and with</w:t>
      </w:r>
      <w:r>
        <w:t xml:space="preserve"> </w:t>
      </w:r>
      <w:r>
        <w:t xml:space="preserve">extrapolation. Niche overlap can be measured with 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0"/>
    <w:bookmarkStart w:id="21" w:name="objectives"/>
    <w:p>
      <w:pPr>
        <w:pStyle w:val="Heading2"/>
      </w:pPr>
      <w:r>
        <w:t xml:space="preserve">1.4 Objectives</w:t>
      </w:r>
    </w:p>
    <w:p>
      <w:pPr>
        <w:pStyle w:val="FirstParagraph"/>
      </w:pPr>
      <w:r>
        <w:t xml:space="preserve">We measured how far the skill of pre-fire thermal predictors transfers between five Mediterranean</w:t>
      </w:r>
      <w:r>
        <w:t xml:space="preserve"> </w:t>
      </w:r>
      <w:r>
        <w:t xml:space="preserve">regions, each with one large fire season, and asked three questions.</w:t>
      </w:r>
    </w:p>
    <w:p>
      <w:pPr>
        <w:pStyle w:val="Compact"/>
        <w:numPr>
          <w:ilvl w:val="0"/>
          <w:numId w:val="1001"/>
        </w:numPr>
      </w:pPr>
      <w:r>
        <w:t xml:space="preserve">How much does the evaluation area change the score of one fixed model? We kept the model, the</w:t>
      </w:r>
      <w:r>
        <w:t xml:space="preserve"> </w:t>
      </w:r>
      <w:r>
        <w:t xml:space="preserve">predictors and the fitting fixed and changed only the scored cells.</w:t>
      </w:r>
    </w:p>
    <w:p>
      <w:pPr>
        <w:pStyle w:val="Compact"/>
        <w:numPr>
          <w:ilvl w:val="0"/>
          <w:numId w:val="1001"/>
        </w:numPr>
      </w:pPr>
      <w:r>
        <w:t xml:space="preserve">Does within-region thermal skill transfer to another region without target labels? If the link</w:t>
      </w:r>
      <w:r>
        <w:t xml:space="preserve"> </w:t>
      </w:r>
      <w:r>
        <w:t xml:space="preserve">between moisture stress and burning is general, thermal predictors should keep at least part of</w:t>
      </w:r>
      <w:r>
        <w:t xml:space="preserve"> </w:t>
      </w:r>
      <w:r>
        <w:t xml:space="preserve">their value in a new region, and normalised channels such as the TVDI should transfer best,</w:t>
      </w:r>
      <w:r>
        <w:t xml:space="preserve"> </w:t>
      </w:r>
      <w:r>
        <w:t xml:space="preserve">because they should be less affected by temperature differences between regions.</w:t>
      </w:r>
    </w:p>
    <w:p>
      <w:pPr>
        <w:pStyle w:val="Compact"/>
        <w:numPr>
          <w:ilvl w:val="0"/>
          <w:numId w:val="1001"/>
        </w:numPr>
      </w:pPr>
      <w:r>
        <w:t xml:space="preserve">Can the similarity of two regions predict transfer, so that a source region could be chosen</w:t>
      </w:r>
      <w:r>
        <w:t xml:space="preserve"> </w:t>
      </w:r>
      <w:r>
        <w:t xml:space="preserve">before a fire?</w:t>
      </w:r>
    </w:p>
    <w:p>
      <w:pPr>
        <w:pStyle w:val="FirstParagraph"/>
      </w:pPr>
      <w:r>
        <w:t xml:space="preserve">We also tested two label-free adaptation methods</w:t>
      </w:r>
      <w:r>
        <w:t xml:space="preserve"> </w:t>
      </w:r>
      <w:r>
        <w:t xml:space="preserve">(Sun et al. 2016)</w:t>
      </w:r>
      <w:r>
        <w:t xml:space="preserve">, pooled training and the removal of</w:t>
      </w:r>
      <w:r>
        <w:t xml:space="preserve"> </w:t>
      </w:r>
      <w:r>
        <w:t xml:space="preserve">predictors whose association reversed between regions. The analysis code, configuration and frozen</w:t>
      </w:r>
      <w:r>
        <w:t xml:space="preserve"> </w:t>
      </w:r>
      <w:r>
        <w:t xml:space="preserve">outputs are public, so all results can be checked and re-run (Data availability).</w:t>
      </w:r>
    </w:p>
    <w:bookmarkEnd w:id="21"/>
    <w:bookmarkEnd w:id="22"/>
    <w:bookmarkStart w:id="42" w:name="methods"/>
    <w:p>
      <w:pPr>
        <w:pStyle w:val="Heading1"/>
      </w:pPr>
      <w:r>
        <w:t xml:space="preserve">2 Methods</w:t>
      </w:r>
    </w:p>
    <w:p>
      <w:pPr>
        <w:pStyle w:val="FirstParagraph"/>
      </w:pPr>
      <w:r>
        <w:t xml:space="preserve">We use the following terms throughout. A</w:t>
      </w:r>
      <w:r>
        <w:t xml:space="preserve"> </w:t>
      </w:r>
      <w:r>
        <w:rPr>
          <w:b/>
          <w:bCs/>
        </w:rPr>
        <w:t xml:space="preserve">study area</w:t>
      </w:r>
      <w:r>
        <w:t xml:space="preserve"> </w:t>
      </w:r>
      <w:r>
        <w:t xml:space="preserve">is the rectangle drawn 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w:t>
      </w:r>
      <w:r>
        <w:t xml:space="preserve"> </w:t>
      </w:r>
      <w:r>
        <w:t xml:space="preserve">area together with a 2 km collar of unburned cells around it, and a</w:t>
      </w:r>
      <w:r>
        <w:t xml:space="preserve"> </w:t>
      </w:r>
      <w:r>
        <w:rPr>
          <w:b/>
          <w:bCs/>
        </w:rPr>
        <w:t xml:space="preserve">distance collar</w:t>
      </w:r>
      <w:r>
        <w:t xml:space="preserve"> </w:t>
      </w:r>
      <w:r>
        <w:t xml:space="preserve">keeps all</w:t>
      </w:r>
      <w:r>
        <w:t xml:space="preserve"> </w:t>
      </w:r>
      <w:r>
        <w:t xml:space="preserve">cells within 5 or 10 km of any burned cell. We call a result</w:t>
      </w:r>
      <w:r>
        <w:t xml:space="preserve"> </w:t>
      </w:r>
      <w:r>
        <w:rPr>
          <w:b/>
          <w:bCs/>
        </w:rPr>
        <w:t xml:space="preserve">supported</w:t>
      </w:r>
      <w:r>
        <w:t xml:space="preserve"> </w:t>
      </w:r>
      <w:r>
        <w:t xml:space="preserve">when its 95 % interval</w:t>
      </w:r>
      <w:r>
        <w:t xml:space="preserve"> </w:t>
      </w:r>
      <w:r>
        <w:t xml:space="preserve">excludes the null value (0.5 for an AUC, 0 for a difference).</w:t>
      </w:r>
      <w:r>
        <w:t xml:space="preserve"> </w:t>
      </w:r>
      <w:r>
        <w:rPr>
          <w:b/>
          <w:bCs/>
        </w:rPr>
        <w:t xml:space="preserve">Label-free</w:t>
      </w:r>
      <w:r>
        <w:t xml:space="preserve"> </w:t>
      </w:r>
      <w:r>
        <w:t xml:space="preserve">methods use target</w:t>
      </w:r>
      <w:r>
        <w:t xml:space="preserve"> </w:t>
      </w:r>
      <w:r>
        <w:t xml:space="preserve">features but never target labels.</w:t>
      </w:r>
    </w:p>
    <w:p>
      <w:pPr>
        <w:pStyle w:val="BodyText"/>
      </w:pPr>
      <w:r>
        <w:t xml:space="preserve">The within-region comparison, the transfer matrix, the two adaptation methods, the gap decomposition</w:t>
      </w:r>
      <w:r>
        <w:t xml:space="preserve"> </w:t>
      </w:r>
      <w:r>
        <w:t xml:space="preserve">and the reversal test follow the fixed protocols of the processing pipeline. We recorded the twenty</w:t>
      </w:r>
      <w:r>
        <w:t xml:space="preserve"> </w:t>
      </w:r>
      <w:r>
        <w:t xml:space="preserve">similarity measures on 8 August 2026, before the label correction of Section 2.2. We added the frame</w:t>
      </w:r>
      <w:r>
        <w:t xml:space="preserve"> </w:t>
      </w:r>
      <w:r>
        <w:t xml:space="preserve">test (Section 2.12), the distance collars, the equivalence tests, the additional resampling units and</w:t>
      </w:r>
      <w:r>
        <w:t xml:space="preserve"> </w:t>
      </w:r>
      <w:r>
        <w:t xml:space="preserve">the analyses listed in Tables S21 and S35 (Sections S1.22 and S1.23) after the first results; they</w:t>
      </w:r>
      <w:r>
        <w:t xml:space="preserve"> </w:t>
      </w:r>
      <w:r>
        <w:t xml:space="preserve">are exploratory, and we report them as such. Sections, tables and figures numbered with S (for example Section S1.23, Table S21 and Fig. S1) are in Additional file 1.</w:t>
      </w:r>
    </w:p>
    <w:bookmarkStart w:id="29" w:name="study-regions-and-temporal-windows"/>
    <w:p>
      <w:pPr>
        <w:pStyle w:val="Heading2"/>
      </w:pPr>
      <w:r>
        <w:t xml:space="preserve">2.1 Study regions and temporal windows</w:t>
      </w:r>
    </w:p>
    <w:p>
      <w:pPr>
        <w:pStyle w:val="FirstParagraph"/>
      </w:pPr>
      <w:r>
        <w:t xml:space="preserve">We analysed five Mediterranean wildfire regions (Fig. 1): Manavgat 2021 and Muğla 2021 in Türkiye,</w:t>
      </w:r>
      <w:r>
        <w:t xml:space="preserve"> </w:t>
      </w:r>
      <w:r>
        <w:t xml:space="preserve">Bejís 2022 in Spain, North Evia 2021 in Greece and Montiferru 2021 in Sardinia. Each region</w:t>
      </w:r>
      <w:r>
        <w:t xml:space="preserve"> </w:t>
      </w:r>
      <w:r>
        <w:t xml:space="preserve">contributed one fire season, and each season was dominated by one large fire; in Muğla, however,</w:t>
      </w:r>
      <w:r>
        <w:t xml:space="preserve"> </w:t>
      </w:r>
      <w:r>
        <w:t xml:space="preserve">several separate burned areas occurred in the same weeks. In every region, most burned cells lay in</w:t>
      </w:r>
      <w:r>
        <w:t xml:space="preserve"> </w:t>
      </w:r>
      <w:r>
        <w:t xml:space="preserve">natural vegetation, that is, in tree, shrub and grass cover (Section 3.1). The events were not</w:t>
      </w:r>
      <w:r>
        <w:t xml:space="preserve"> </w:t>
      </w:r>
      <w:r>
        <w:t xml:space="preserve">sampled from a defined population of fires, so the results describe large single-season events.</w:t>
      </w:r>
      <w:r>
        <w:t xml:space="preserve"> </w:t>
      </w:r>
      <w:r>
        <w:t xml:space="preserve">Unlike susceptibility maps trained on multi-year fire inventories</w:t>
      </w:r>
      <w:r>
        <w:t xml:space="preserve"> </w:t>
      </w:r>
      <w:r>
        <w:t xml:space="preserve">(Tonini et al. 2020; Trucchia et al. 2022)</w:t>
      </w:r>
      <w:r>
        <w:t xml:space="preserve">, each</w:t>
      </w:r>
      <w:r>
        <w:t xml:space="preserve"> </w:t>
      </w:r>
      <w:r>
        <w:t xml:space="preserve">model here was trained on the footprint of one fire season, so the task is closer to predicting which</w:t>
      </w:r>
      <w:r>
        <w:t xml:space="preserve"> </w:t>
      </w:r>
      <w:r>
        <w:t xml:space="preserve">fuel burned during one large event. Each study area is a rectangle in EPSG:4326 around the fire. We did not clip it to the fire perimeter, so</w:t>
      </w:r>
      <w:r>
        <w:t xml:space="preserve"> </w:t>
      </w:r>
      <w:r>
        <w:t xml:space="preserve">the unburned cells around each fire form the negative class.</w:t>
      </w:r>
    </w:p>
    <w:p>
      <w:pPr>
        <w:pStyle w:val="CaptionedFigure"/>
      </w:pPr>
      <w:r>
        <w:drawing>
          <wp:inline>
            <wp:extent cx="5753100" cy="1886094"/>
            <wp:effectExtent b="0" l="0" r="0" t="0"/>
            <wp:docPr descr="Fig. 1 Study regions and the gate negative control. 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 title="" id="24" name="Picture"/>
            <a:graphic>
              <a:graphicData uri="http://schemas.openxmlformats.org/drawingml/2006/picture">
                <pic:pic>
                  <pic:nvPicPr>
                    <pic:cNvPr descr="C:/Users/CORSAIR/projects/thermal-twin-main/paper/submission_fire_ecology/_embed/Fig1.png" id="25" name="Picture"/>
                    <pic:cNvPicPr>
                      <a:picLocks noChangeArrowheads="1" noChangeAspect="1"/>
                    </pic:cNvPicPr>
                  </pic:nvPicPr>
                  <pic:blipFill>
                    <a:blip r:embed="rId23"/>
                    <a:stretch>
                      <a:fillRect/>
                    </a:stretch>
                  </pic:blipFill>
                  <pic:spPr bwMode="auto">
                    <a:xfrm>
                      <a:off x="0" y="0"/>
                      <a:ext cx="5753100" cy="1886094"/>
                    </a:xfrm>
                    <a:prstGeom prst="rect">
                      <a:avLst/>
                    </a:prstGeom>
                    <a:noFill/>
                    <a:ln w="9525">
                      <a:noFill/>
                      <a:headEnd/>
                      <a:tailEnd/>
                    </a:ln>
                  </pic:spPr>
                </pic:pic>
              </a:graphicData>
            </a:graphic>
          </wp:inline>
        </w:drawing>
      </w:r>
    </w:p>
    <w:p>
      <w:pPr>
        <w:pStyle w:val="ImageCaption"/>
      </w:pPr>
      <w:r>
        <w:rPr>
          <w:b/>
          <w:bCs/>
        </w:rPr>
        <w:t xml:space="preserve">Fig. 1 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t xml:space="preserve">We did not fix all rectangles before any outcome was seen. Only the Montiferru rectangle follows a</w:t>
      </w:r>
      <w:r>
        <w:t xml:space="preserve"> </w:t>
      </w:r>
      <w:r>
        <w:t xml:space="preserve">stated rule, and we extended the North Evia rectangle after the first one showed a very high burned</w:t>
      </w:r>
      <w:r>
        <w:t xml:space="preserve"> </w:t>
      </w:r>
      <w:r>
        <w:t xml:space="preserve">fraction (Section S3.3, Table S19). We kept the first Evia rectangle as a sensitivity analysis</w:t>
      </w:r>
      <w:r>
        <w:t xml:space="preserve"> </w:t>
      </w:r>
      <w:r>
        <w:t xml:space="preserve">(Section S1.1). A sixth region, Kozan 2023, served as a negative control and was excluded by the gate</w:t>
      </w:r>
      <w:r>
        <w:t xml:space="preserve"> </w:t>
      </w:r>
      <w:r>
        <w:t xml:space="preserve">of Section 2.3.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were 57 to 61 days long and label windows 35 to 59 days. Four earlier years of</w:t>
      </w:r>
      <w:r>
        <w:t xml:space="preserve"> </w:t>
      </w:r>
      <w:r>
        <w:t xml:space="preserve">composites from the same calendar window served as the baseline for the anomaly channels. Fig. 2</w:t>
      </w:r>
      <w:r>
        <w:t xml:space="preserve"> </w:t>
      </w:r>
      <w:r>
        <w:t xml:space="preserve">shows the processing chain.</w:t>
      </w:r>
    </w:p>
    <w:p>
      <w:pPr>
        <w:pStyle w:val="CaptionedFigure"/>
      </w:pPr>
      <w:r>
        <w:drawing>
          <wp:inline>
            <wp:extent cx="5753100" cy="2877831"/>
            <wp:effectExtent b="0" l="0" r="0" t="0"/>
            <wp:docPr descr="Fig. 2 Processing chain and evaluation design. Each box names the Methods section that describes it. Five source products (MCD64A1, Landsat Collection 2 Level-2, MOD11A1, Copernicus DEM GLO-30 and European Space Agency (ESA) WorldCover) are combined on the \sim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2.10). Leakage control, seed 42 and the spatial-block bootstrap (§2.13) apply throughout." title="" id="27" name="Picture"/>
            <a:graphic>
              <a:graphicData uri="http://schemas.openxmlformats.org/drawingml/2006/picture">
                <pic:pic>
                  <pic:nvPicPr>
                    <pic:cNvPr descr="C:/Users/CORSAIR/projects/thermal-twin-main/paper/submission_fire_ecology/_embed/Fig2.png" id="28" name="Picture"/>
                    <pic:cNvPicPr>
                      <a:picLocks noChangeArrowheads="1" noChangeAspect="1"/>
                    </pic:cNvPicPr>
                  </pic:nvPicPr>
                  <pic:blipFill>
                    <a:blip r:embed="rId26"/>
                    <a:stretch>
                      <a:fillRect/>
                    </a:stretch>
                  </pic:blipFill>
                  <pic:spPr bwMode="auto">
                    <a:xfrm>
                      <a:off x="0" y="0"/>
                      <a:ext cx="5753100" cy="2877831"/>
                    </a:xfrm>
                    <a:prstGeom prst="rect">
                      <a:avLst/>
                    </a:prstGeom>
                    <a:noFill/>
                    <a:ln w="9525">
                      <a:noFill/>
                      <a:headEnd/>
                      <a:tailEnd/>
                    </a:ln>
                  </pic:spPr>
                </pic:pic>
              </a:graphicData>
            </a:graphic>
          </wp:inline>
        </w:drawing>
      </w:r>
    </w:p>
    <w:p>
      <w:pPr>
        <w:pStyle w:val="ImageCaption"/>
      </w:pPr>
      <w:r>
        <w:rPr>
          <w:b/>
          <w:bCs/>
        </w:rPr>
        <w:t xml:space="preserve">Fig. 2 Processing chain and evaluation design.</w:t>
      </w:r>
      <w:r>
        <w:t xml:space="preserve"> </w:t>
      </w:r>
      <w:r>
        <w:t xml:space="preserve">Each box names the Methods section that describes it. Five source products (MCD64A1, Landsat Collection 2 Level-2, MOD11A1, Copernicus DEM GLO-30 and European Space Agency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(§2.10). Leakage control, seed 42 and the spatial-block bootstrap (§2.13) apply throughout.</w:t>
      </w:r>
    </w:p>
    <w:bookmarkEnd w:id="29"/>
    <w:bookmarkStart w:id="30" w:name="Xcc92d46017428efca605b7a585437f9896a0ad0"/>
    <w:p>
      <w:pPr>
        <w:pStyle w:val="Heading2"/>
      </w:pPr>
      <w:r>
        <w:t xml:space="preserve">2.2 Burned-area label and the ~500 m analysis grid</w:t>
      </w:r>
    </w:p>
    <w:p>
      <w:pPr>
        <w:pStyle w:val="FirstParagraph"/>
      </w:pPr>
      <w:r>
        <w:t xml:space="preserve">We took labels from the Moderate Resolution Imaging Spectroradiometer (MODIS) MCD64A1 burned-area</w:t>
      </w:r>
      <w:r>
        <w:t xml:space="preserve"> </w:t>
      </w:r>
      <w:r>
        <w:t xml:space="preserve">product, Collection 6.1</w:t>
      </w:r>
      <w:r>
        <w:t xml:space="preserve"> </w:t>
      </w:r>
      <w:r>
        <w:t xml:space="preserve">(Giglio et al. 2018, 2021)</w:t>
      </w:r>
      <w:r>
        <w:t xml:space="preserve">, through Google Earth Engine</w:t>
      </w:r>
      <w:r>
        <w:t xml:space="preserve"> </w:t>
      </w:r>
      <w:r>
        <w:t xml:space="preserve">(Gorelick et al. 2017)</w:t>
      </w:r>
      <w:r>
        <w:t xml:space="preserve">. Its</w:t>
      </w:r>
      <w:r>
        <w:t xml:space="preserve"> </w:t>
      </w:r>
      <w:r>
        <w:t xml:space="preserve">errors</w:t>
      </w:r>
      <w:r>
        <w:t xml:space="preserve"> </w:t>
      </w:r>
      <w:r>
        <w:t xml:space="preserve">(Boschetti et al. 2019)</w:t>
      </w:r>
      <w:r>
        <w:t xml:space="preserve"> </w:t>
      </w:r>
      <w:r>
        <w:t xml:space="preserve">limit every model in this study. As a check, we repeated the within-region</w:t>
      </w:r>
      <w:r>
        <w:t xml:space="preserve"> </w:t>
      </w:r>
      <w:r>
        <w:t xml:space="preserve">and transfer analyses with the Visible Infrared Imaging Radiometer Suite (VIIRS) VNP64A1 product</w:t>
      </w:r>
      <w:r>
        <w:t xml:space="preserve"> </w:t>
      </w:r>
      <w:r>
        <w:t xml:space="preserve">(Giglio 2024)</w:t>
      </w:r>
      <w:r>
        <w:t xml:space="preserve"> </w:t>
      </w:r>
      <w:r>
        <w:t xml:space="preserve">(Section S1.23). We sampled the MCD64A1 monthly burn-date layer onto the 30 m reference</w:t>
      </w:r>
      <w:r>
        <w:t xml:space="preserve"> </w:t>
      </w:r>
      <w:r>
        <w:t xml:space="preserve">grid of the processing pipeline by nearest neighbour, so each ~500 m observation is repeated over the</w:t>
      </w:r>
      <w:r>
        <w:t xml:space="preserve"> </w:t>
      </w:r>
      <w:r>
        <w:t xml:space="preserve">30 m pixels below it, and built the analysis grid from this grid in blocks of 17 × 17 pixels. A cell</w:t>
      </w:r>
      <w:r>
        <w:t xml:space="preserve"> </w:t>
      </w:r>
      <w:r>
        <w:t xml:space="preserve">is therefore about 510 m from north to south and 390 to 407 m from east to west, with an area of</w:t>
      </w:r>
      <w:r>
        <w:t xml:space="preserve"> </w:t>
      </w:r>
      <w:r>
        <w:t xml:space="preserve">0.199 to 0.208 km² (a MODIS cell is 0.215 km²). We labelled a cell burned when any of its pixels had a</w:t>
      </w:r>
      <w:r>
        <w:t xml:space="preserve"> </w:t>
      </w:r>
      <w:r>
        <w:t xml:space="preserve">burn date in the label window, so a scar can grow by up to one cell at its edge. The population filter</w:t>
      </w:r>
      <w:r>
        <w:t xml:space="preserve"> </w:t>
      </w:r>
      <w:r>
        <w:t xml:space="preserve">of Section 2.5 removes water cells.</w:t>
      </w:r>
    </w:p>
    <w:p>
      <w:pPr>
        <w:pStyle w:val="BodyText"/>
      </w:pPr>
      <w:r>
        <w:rPr>
          <w:b/>
          <w:bCs/>
        </w:rPr>
        <w:t xml:space="preserve">Earlier burning.</w:t>
      </w:r>
      <w:r>
        <w:t xml:space="preserve"> </w:t>
      </w:r>
      <w:r>
        <w:t xml:space="preserve">We removed cells that burned in the predictor window in Muğla (49 cells), North</w:t>
      </w:r>
      <w:r>
        <w:t xml:space="preserve"> </w:t>
      </w:r>
      <w:r>
        <w:t xml:space="preserve">Evia (16) and Montiferru (61); Manavgat had no burning in that window. In Bejís this removal was not</w:t>
      </w:r>
      <w:r>
        <w:t xml:space="preserve"> </w:t>
      </w:r>
      <w:r>
        <w:t xml:space="preserve">applied, so 48 cells that burned before the label window were kept. We did not screen burning in the</w:t>
      </w:r>
      <w:r>
        <w:t xml:space="preserve"> </w:t>
      </w:r>
      <w:r>
        <w:t xml:space="preserve">five previous years in any region. When we excluded those cells, the mean transfer gain fell from</w:t>
      </w:r>
      <w:r>
        <w:t xml:space="preserve"> </w:t>
      </w:r>
      <w:r>
        <w:t xml:space="preserve">+0.007 to +0.003, while the within-region gain stayed positive in all regions (Section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30"/>
    <w:bookmarkStart w:id="31" w:name="burned-landcover-admissibility-gate"/>
    <w:p>
      <w:pPr>
        <w:pStyle w:val="Heading2"/>
      </w:pPr>
      <w:r>
        <w:t xml:space="preserve">2.3 Burned-landcover admissibility gate</w:t>
      </w:r>
    </w:p>
    <w:p>
      <w:pPr>
        <w:pStyle w:val="FirstParagraph"/>
      </w:pPr>
      <w:r>
        <w:t xml:space="preserve">Before modelling, each region had to pass a gate on the fraction of burned cells covered mainly by</w:t>
      </w:r>
      <w:r>
        <w:t xml:space="preserve"> </w:t>
      </w:r>
      <w:r>
        <w:t xml:space="preserve">natural vegetation, using European Space Agency (ESA) WorldCover classes</w:t>
      </w:r>
      <w:r>
        <w:t xml:space="preserve"> </w:t>
      </w:r>
      <w:r>
        <w:t xml:space="preserve">(Zanaga et al. 2022)</w:t>
      </w:r>
      <w:r>
        <w:t xml:space="preserve">. We admitted a</w:t>
      </w:r>
      <w:r>
        <w:t xml:space="preserve"> </w:t>
      </w:r>
      <w:r>
        <w:t xml:space="preserve">region if this fraction was at least 0.50 and at least 30 cells burned, and we rejected it as a</w:t>
      </w:r>
      <w:r>
        <w:t xml:space="preserve"> </w:t>
      </w:r>
      <w:r>
        <w:t xml:space="preserve">cropland control if the cropland fraction was at least 0.50 (Section S3.1).</w:t>
      </w:r>
    </w:p>
    <w:bookmarkEnd w:id="31"/>
    <w:bookmarkStart w:id="32" w:name="predictor-variables"/>
    <w:p>
      <w:pPr>
        <w:pStyle w:val="Heading2"/>
      </w:pPr>
      <w:r>
        <w:t xml:space="preserve">2.4 Predictor variables</w:t>
      </w:r>
    </w:p>
    <w:p>
      <w:pPr>
        <w:pStyle w:val="FirstParagraph"/>
      </w:pPr>
      <w:r>
        <w:t xml:space="preserve">We used ten predictors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normalised difference vegetation index (NDVI) of the predictor window from Landsat 8</w:t>
      </w:r>
      <w:r>
        <w:t xml:space="preserve"> </w:t>
      </w:r>
      <w:r>
        <w:t xml:space="preserve">Collection 2 Level-2</w:t>
      </w:r>
      <w:r>
        <w:t xml:space="preserve"> </w:t>
      </w:r>
      <w:r>
        <w:t xml:space="preserve">(U.S. Geological Survey Earth Resources Observation and Science (EROS) Center 2020)</w:t>
      </w:r>
      <w:r>
        <w:t xml:space="preserve">. These change little over one fire season. The</w:t>
      </w:r>
      <w:r>
        <w:t xml:space="preserve"> </w:t>
      </w:r>
      <w:r>
        <w:rPr>
          <w:b/>
          <w:bCs/>
        </w:rPr>
        <w:t xml:space="preserve">thermal</w:t>
      </w:r>
      <w:r>
        <w:t xml:space="preserve"> </w:t>
      </w:r>
      <w:r>
        <w:t xml:space="preserve">set</w:t>
      </w:r>
      <w:r>
        <w:t xml:space="preserve"> </w:t>
      </w:r>
      <w:r>
        <w:t xml:space="preserve">adds six channels derived from Landsat 8 surface temperature, screened for quality and composited as</w:t>
      </w:r>
      <w:r>
        <w:t xml:space="preserve"> </w:t>
      </w:r>
      <w:r>
        <w:t xml:space="preserve">the median of the predictor window: current LST, its anomaly against the four baseline years, the</w:t>
      </w:r>
      <w:r>
        <w:t xml:space="preserve"> </w:t>
      </w:r>
      <w:r>
        <w:t xml:space="preserve">TVDI</w:t>
      </w:r>
      <w:r>
        <w:t xml:space="preserve"> </w:t>
      </w:r>
      <w:r>
        <w:t xml:space="preserve">(Sandholt et al. 2002)</w:t>
      </w:r>
      <w:r>
        <w:t xml:space="preserve">, its difference from the baseline years, a downscaled LST and a fused LST. The</w:t>
      </w:r>
      <w:r>
        <w:t xml:space="preserve"> </w:t>
      </w:r>
      <w:r>
        <w:t xml:space="preserve">last two use MODIS MOD11A1 v061 daytime LST (Terra, about 10:30 local time)</w:t>
      </w:r>
      <w:r>
        <w:t xml:space="preserve"> </w:t>
      </w:r>
      <w:r>
        <w:t xml:space="preserve">(Wan et al. 2021)</w:t>
      </w:r>
      <w:r>
        <w:t xml:space="preserve"> </w:t>
      </w:r>
      <w:r>
        <w:t xml:space="preserve">and a</w:t>
      </w:r>
      <w:r>
        <w:t xml:space="preserve"> </w:t>
      </w:r>
      <w:r>
        <w:t xml:space="preserve">random-forest downscaling model to fill gaps in Landsat (0.11 % to 9.70 % of pixels, depending on the</w:t>
      </w:r>
      <w:r>
        <w:t xml:space="preserve"> </w:t>
      </w:r>
      <w:r>
        <w:t xml:space="preserve">region). Because TVDI edges are fitted inside each study area and window, a TVDI value does not mean</w:t>
      </w:r>
      <w:r>
        <w:t xml:space="preserve"> </w:t>
      </w:r>
      <w:r>
        <w:t xml:space="preserve">the same moisture state in two regions (Section S3.4). The median pixel had three to six clear</w:t>
      </w:r>
      <w:r>
        <w:t xml:space="preserve"> </w:t>
      </w:r>
      <w:r>
        <w:t xml:space="preserve">Landsat observations in the predictor window, and one to seven in each baseline year (Table S36). We</w:t>
      </w:r>
      <w:r>
        <w:t xml:space="preserve"> </w:t>
      </w:r>
      <w:r>
        <w:t xml:space="preserve">did not use Landsat 9.</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at 0.88 to 0.98, and the two anomaly</w:t>
      </w:r>
      <w:r>
        <w:t xml:space="preserve"> </w:t>
      </w:r>
      <w:r>
        <w:t xml:space="preserve">channels at 0.71 to 0.94. Two principal components explain 92 % to 98 % of their variance (Section</w:t>
      </w:r>
      <w:r>
        <w:t xml:space="preserve"> </w:t>
      </w:r>
      <w:r>
        <w:t xml:space="preserve">S3.4), so we read counts over the nine numeric predictors with care.</w:t>
      </w:r>
    </w:p>
    <w:p>
      <w:pPr>
        <w:pStyle w:val="BodyText"/>
      </w:pPr>
      <w:r>
        <w:rPr>
          <w:b/>
          <w:bCs/>
        </w:rPr>
        <w:t xml:space="preserve">Land cover.</w:t>
      </w:r>
      <w:r>
        <w:t xml:space="preserve"> </w:t>
      </w:r>
      <w:r>
        <w:t xml:space="preserve">WorldCover v200 is built from 2021 images, which is after the fire for the four 2021</w:t>
      </w:r>
      <w:r>
        <w:t xml:space="preserve"> </w:t>
      </w:r>
      <w:r>
        <w:t xml:space="preserve">events, so we repeated all analyses with the 2020 map (WorldCover v100</w:t>
      </w:r>
      <w:r>
        <w:t xml:space="preserve"> </w:t>
      </w:r>
      <w:r>
        <w:t xml:space="preserve">(Zanaga et al. 2021)</w:t>
      </w:r>
      <w:r>
        <w:t xml:space="preserve">). It changed the</w:t>
      </w:r>
      <w:r>
        <w:t xml:space="preserve"> </w:t>
      </w:r>
      <w:r>
        <w:t xml:space="preserve">population by at most 43 burned cells in four regions, but added 142 burned cells in Montiferru, and</w:t>
      </w:r>
      <w:r>
        <w:t xml:space="preserve"> </w:t>
      </w:r>
      <w:r>
        <w:t xml:space="preserve">no conclusion changed (Section S1.23).</w:t>
      </w:r>
    </w:p>
    <w:bookmarkEnd w:id="32"/>
    <w:bookmarkStart w:id="33" w:name="Xcd627174e40b9796b647a00c1e510f4d83b1a1e"/>
    <w:p>
      <w:pPr>
        <w:pStyle w:val="Heading2"/>
      </w:pPr>
      <w:r>
        <w:t xml:space="preserve">2.5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 the</w:t>
      </w:r>
      <w:r>
        <w:t xml:space="preserve"> </w:t>
      </w:r>
      <w:r>
        <w:t xml:space="preserve">region. We filled these values inside the model pipeline (Section 2.6), and missingness was not</w:t>
      </w:r>
      <w:r>
        <w:t xml:space="preserve"> </w:t>
      </w:r>
      <w:r>
        <w:t xml:space="preserve">related to burning (AUC 0.49 to 0.51 in every region; Table S35). We used a</w:t>
      </w:r>
      <w:r>
        <w:t xml:space="preserve"> </w:t>
      </w:r>
      <w:r>
        <w:rPr>
          <w:b/>
          <w:bCs/>
        </w:rPr>
        <w:t xml:space="preserve">secondary</w:t>
      </w:r>
      <w:r>
        <w:t xml:space="preserve"> </w:t>
      </w:r>
      <w:r>
        <w:t xml:space="preserve">population</w:t>
      </w:r>
      <w:r>
        <w:t xml:space="preserve"> </w:t>
      </w:r>
      <w:r>
        <w:t xml:space="preserve">of all valid cells only as a within-region sensitivity analysis in two regions (Section S1.17).</w:t>
      </w:r>
    </w:p>
    <w:bookmarkEnd w:id="33"/>
    <w:bookmarkStart w:id="34" w:name="classifier"/>
    <w:p>
      <w:pPr>
        <w:pStyle w:val="Heading2"/>
      </w:pPr>
      <w:r>
        <w:t xml:space="preserve">2.6 Classifier</w:t>
      </w:r>
    </w:p>
    <w:p>
      <w:pPr>
        <w:pStyle w:val="FirstParagraph"/>
      </w:pPr>
      <w:r>
        <w:t xml:space="preserve">The thermal set contains the baseline set (Section 2.4). We one-hot encoded land cover and replaced</w:t>
      </w:r>
      <w:r>
        <w:t xml:space="preserve"> </w:t>
      </w:r>
      <w:r>
        <w:t xml:space="preserve">missing numeric values by the median and missing land cover by the most frequent class. We fitted</w:t>
      </w:r>
      <w:r>
        <w:t xml:space="preserve"> </w:t>
      </w:r>
      <w:r>
        <w:t xml:space="preserve">these values inside each training fold, and on the source region only in transfer, so no test data</w:t>
      </w:r>
      <w:r>
        <w:t xml:space="preserve"> </w:t>
      </w:r>
      <w:r>
        <w:t xml:space="preserve">were used in fitting; the adapted models of Section 2.9 are the only exception. The classifier is a</w:t>
      </w:r>
      <w:r>
        <w:t xml:space="preserve"> </w:t>
      </w:r>
      <w:r>
        <w:t xml:space="preserve">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We fixed these settings in advance, did not tune them, and used the</w:t>
      </w:r>
      <w:r>
        <w:t xml:space="preserve"> </w:t>
      </w:r>
      <w:r>
        <w:t xml:space="preserve">same settings in every analysis.</w:t>
      </w:r>
    </w:p>
    <w:bookmarkEnd w:id="34"/>
    <w:bookmarkStart w:id="35" w:name="X785b6d2d3cf248a9e68f1dbafb66b89e91ecc74"/>
    <w:p>
      <w:pPr>
        <w:pStyle w:val="Heading2"/>
      </w:pPr>
      <w:r>
        <w:t xml:space="preserve">2.7 Spatial-block cross-validation and bootstrap uncertainty</w:t>
      </w:r>
    </w:p>
    <w:p>
      <w:pPr>
        <w:pStyle w:val="FirstParagraph"/>
      </w:pPr>
      <w:r>
        <w:t xml:space="preserve">We blocked the cross-validation spatially.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w:t>
      </w:r>
      <w:r>
        <w:t xml:space="preserve"> </w:t>
      </w:r>
      <w:r>
        <w:t xml:space="preserve">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We drew five folds over whole blocks, stratified by label, so a block is never split between</w:t>
      </w:r>
      <w:r>
        <w:t xml:space="preserve"> </w:t>
      </w:r>
      <w:r>
        <w:t xml:space="preserve">training and test. We report block sizes of</w:t>
      </w:r>
      <w:r>
        <w:t xml:space="preserve"> </w:t>
      </w:r>
      <m:oMath>
        <m:r>
          <m:t>k</m:t>
        </m:r>
      </m:oMath>
      <w:r>
        <w:t xml:space="preserve"> </w:t>
      </w:r>
      <w:r>
        <w:t xml:space="preserve">= 2, 10 and 20 cells and write them as 1 km, 5 km</w:t>
      </w:r>
      <w:r>
        <w:t xml:space="preserve"> </w:t>
      </w:r>
      <w:r>
        <w:t xml:space="preserve">and 10 km blocking.</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so the metric</w:t>
      </w:r>
      <w:r>
        <w:t xml:space="preserve"> </w:t>
      </w:r>
      <w:r>
        <w:t xml:space="preserve">can change when the frame changes, even when no score changes (Section 2.12). We also report</w:t>
      </w:r>
      <w:r>
        <w:t xml:space="preserve"> </w:t>
      </w:r>
      <w:r>
        <w:t xml:space="preserve">precision-recall AUC, because it reflects how a susceptibility map is used when burned cells are rare</w:t>
      </w:r>
      <w:r>
        <w:t xml:space="preserve"> </w:t>
      </w:r>
      <w:r>
        <w:t xml:space="preserve">(Sofaer et al. 2019)</w:t>
      </w:r>
      <w:r>
        <w:t xml:space="preserve">. The out-of-fold residuals stay spatially correlated beyond 5 km, in North Evia up to</w:t>
      </w:r>
      <w:r>
        <w:t xml:space="preserve"> </w:t>
      </w:r>
      <w:r>
        <w:t xml:space="preserve">20 to 40 km (Section S1.23), so intervals at 5 km blocking may be too narrow, and we give the 10 km</w:t>
      </w:r>
      <w:r>
        <w:t xml:space="preserve"> </w:t>
      </w:r>
      <w:r>
        <w:t xml:space="preserve">results as a check.</w:t>
      </w:r>
    </w:p>
    <w:p>
      <w:pPr>
        <w:pStyle w:val="BodyText"/>
      </w:pPr>
      <w:r>
        <w:t xml:space="preserve">We estimated uncertainty with a spatial-block bootstrap. We resampled blocks with replacement, 1000</w:t>
      </w:r>
      <w:r>
        <w:t xml:space="preserve"> </w:t>
      </w:r>
      <w:r>
        <w:t xml:space="preserve">times, with seed 42, and took the 2.5 and 97.5 percentiles as the interval. Differences are paired</w:t>
      </w:r>
      <w:r>
        <w:t xml:space="preserve"> </w:t>
      </w:r>
      <w:r>
        <w:t xml:space="preserve">within each replicate, and the block size is given with every result. We resampled quantities with</w:t>
      </w:r>
      <w:r>
        <w:t xml:space="preserve"> </w:t>
      </w:r>
      <w:r>
        <w:t xml:space="preserve">one value per transfer direction over the ten region pairs; this pair-cluster bootstrap is the</w:t>
      </w:r>
      <w:r>
        <w:t xml:space="preserve"> </w:t>
      </w:r>
      <w:r>
        <w:rPr>
          <w:b/>
          <w:bCs/>
        </w:rPr>
        <w:t xml:space="preserve">primary resampling unit</w:t>
      </w:r>
      <w:r>
        <w:t xml:space="preserve"> </w:t>
      </w:r>
      <w:r>
        <w:t xml:space="preserve">for direction-level intervals, and we compare five further units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5"/>
    <w:bookmarkStart w:id="36" w:name="cross-region-transfer-protocol"/>
    <w:p>
      <w:pPr>
        <w:pStyle w:val="Heading2"/>
      </w:pPr>
      <w:r>
        <w:t xml:space="preserve">2.8 Cross-region transfer protocol</w:t>
      </w:r>
    </w:p>
    <w:p>
      <w:pPr>
        <w:pStyle w:val="FirstParagraph"/>
      </w:pPr>
      <w:r>
        <w:t xml:space="preserve">For each ordered pair of regions, we fitted the model on the source region and applied it to the</w:t>
      </w:r>
      <w:r>
        <w:t xml:space="preserve"> </w:t>
      </w:r>
      <w:r>
        <w:t xml:space="preserve">target region.</w:t>
      </w:r>
      <w:r>
        <w:t xml:space="preserve"> </w:t>
      </w:r>
      <w:r>
        <w:rPr>
          <w:b/>
          <w:bCs/>
        </w:rPr>
        <w:t xml:space="preserve">We used no target label</w:t>
      </w:r>
      <w:r>
        <w:t xml:space="preserve">: there was no refitting, threshold selection or</w:t>
      </w:r>
      <w:r>
        <w:t xml:space="preserve"> </w:t>
      </w:r>
      <w:r>
        <w:t xml:space="preserve">calibration on the target. We transferred both feature sets, so the gain from the thermal block is a</w:t>
      </w:r>
      <w:r>
        <w:t xml:space="preserve"> </w:t>
      </w:r>
      <w:r>
        <w:t xml:space="preserve">paired difference within each direction, and we computed all twenty ordered directions.</w:t>
      </w:r>
    </w:p>
    <w:bookmarkEnd w:id="36"/>
    <w:bookmarkStart w:id="37" w:name="label-free-domain-adaptation"/>
    <w:p>
      <w:pPr>
        <w:pStyle w:val="Heading2"/>
      </w:pPr>
      <w:r>
        <w:t xml:space="preserve">2.9 Label-free domain adaptation</w:t>
      </w:r>
    </w:p>
    <w:p>
      <w:pPr>
        <w:pStyle w:val="FirstParagraph"/>
      </w:pPr>
      <w:r>
        <w:t xml:space="preserve">We tested two label-free methods on every direction and in both feature sets.</w:t>
      </w:r>
      <w:r>
        <w:t xml:space="preserve"> </w:t>
      </w:r>
      <w:r>
        <w:rPr>
          <w:b/>
          <w:bCs/>
        </w:rPr>
        <w:t xml:space="preserve">Region-wise z-score</w:t>
      </w:r>
      <w:r>
        <w:t xml:space="preserve"> </w:t>
      </w:r>
      <w:r>
        <w:t xml:space="preserve">standardises the numeric features of each region with its own statistics.</w:t>
      </w:r>
      <w:r>
        <w:t xml:space="preserve"> </w:t>
      </w:r>
      <w:r>
        <w:rPr>
          <w:b/>
          <w:bCs/>
        </w:rPr>
        <w:t xml:space="preserve">CORAL after region-wise</w:t>
      </w:r>
      <w:r>
        <w:rPr>
          <w:b/>
          <w:bCs/>
        </w:rPr>
        <w:t xml:space="preserve"> </w:t>
      </w:r>
      <w:r>
        <w:rPr>
          <w:b/>
          <w:bCs/>
        </w:rPr>
        <w:t xml:space="preserve">z-score</w:t>
      </w:r>
      <w:r>
        <w:t xml:space="preserve"> </w:t>
      </w:r>
      <w:r>
        <w:t xml:space="preserve">then aligns the source covariance with the target covariance</w:t>
      </w:r>
      <w:r>
        <w:t xml:space="preserve"> </w:t>
      </w:r>
      <w:r>
        <w:t xml:space="preserve">(Sun et al. 2016)</w:t>
      </w:r>
      <w:r>
        <w:t xml:space="preserve">, with λ = 10⁻⁵.</w:t>
      </w:r>
      <w:r>
        <w:t xml:space="preserve"> </w:t>
      </w:r>
      <w:r>
        <w:t xml:space="preserve">Both methods use target feature statistics, which are available before a fire, but never target</w:t>
      </w:r>
      <w:r>
        <w:t xml:space="preserve"> </w:t>
      </w:r>
      <w:r>
        <w:t xml:space="preserve">labels. We did not choose λ by performance; we report its effect in Sections S1.2 and S1.23 and give</w:t>
      </w:r>
      <w:r>
        <w:t xml:space="preserve"> </w:t>
      </w:r>
      <w:r>
        <w:t xml:space="preserve">details in Section S3.8.</w:t>
      </w:r>
    </w:p>
    <w:bookmarkEnd w:id="37"/>
    <w:bookmarkStart w:id="38" w:name="Xd87d771640219ba40600ec3fb81f3aaf53cf849"/>
    <w:p>
      <w:pPr>
        <w:pStyle w:val="Heading2"/>
      </w:pPr>
      <w:r>
        <w:t xml:space="preserve">2.10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We split the gap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we report it as negative. Intervals come from the</w:t>
      </w:r>
      <w:r>
        <w:t xml:space="preserve"> </w:t>
      </w:r>
      <w:r>
        <w:t xml:space="preserve">paired bootstrap of Section 2.7 (Section S3.7).</w:t>
      </w:r>
    </w:p>
    <w:p>
      <w:pPr>
        <w:pStyle w:val="BodyText"/>
      </w:pPr>
      <w:r>
        <w:t xml:space="preserve">We measured the direction of each predictor with a</w:t>
      </w:r>
      <w:r>
        <w:t xml:space="preserve"> </w:t>
      </w:r>
      <w:r>
        <w:rPr>
          <w:b/>
          <w:bCs/>
        </w:rPr>
        <w:t xml:space="preserve">signed univariate association</w:t>
      </w:r>
      <w:r>
        <w:t xml:space="preserve">: the ROC-AUC of</w:t>
      </w:r>
      <w:r>
        <w:t xml:space="preserve"> </w:t>
      </w:r>
      <w:r>
        <w:t xml:space="preserve">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We call a reversal</w:t>
      </w:r>
      <w:r>
        <w:t xml:space="preserve"> </w:t>
      </w:r>
      <w:r>
        <w:t xml:space="preserve">between two regions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we also report a Holm</w:t>
      </w:r>
      <w:r>
        <w:t xml:space="preserve"> </w:t>
      </w:r>
      <w:r>
        <w:t xml:space="preserve">correction over each family of feature-by-pair comparisons (Section S1.19). A marginal reversal can</w:t>
      </w:r>
      <w:r>
        <w:t xml:space="preserve"> </w:t>
      </w:r>
      <w:r>
        <w:t xml:space="preserve">also arise when the predictors are distributed differently in two regions, so it is not a direct test</w:t>
      </w:r>
      <w:r>
        <w:t xml:space="preserve"> </w:t>
      </w:r>
      <w:r>
        <w:t xml:space="preserve">of a change in the predictor-burning relationship.</w:t>
      </w:r>
    </w:p>
    <w:bookmarkEnd w:id="38"/>
    <w:bookmarkStart w:id="39" w:name="interventions"/>
    <w:p>
      <w:pPr>
        <w:pStyle w:val="Heading2"/>
      </w:pPr>
      <w:r>
        <w:t xml:space="preserve">2.11 Interventions</w:t>
      </w:r>
    </w:p>
    <w:p>
      <w:pPr>
        <w:pStyle w:val="FirstParagraph"/>
      </w:pPr>
      <w:r>
        <w:rPr>
          <w:b/>
          <w:bCs/>
        </w:rPr>
        <w:t xml:space="preserve">Pooled training.</w:t>
      </w:r>
      <w:r>
        <w:t xml:space="preserve"> </w:t>
      </w:r>
      <w:r>
        <w:t xml:space="preserve">In leave-one-region-out training, we trained a model on the other four regions</w:t>
      </w:r>
      <w:r>
        <w:t xml:space="preserve"> </w:t>
      </w:r>
      <w:r>
        <w:t xml:space="preserve">together and tested it on the held-out region. We compared it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We removed the two predictors whose reversal was supported under</w:t>
      </w:r>
      <w:r>
        <w:t xml:space="preserve"> </w:t>
      </w:r>
      <w:r>
        <w:t xml:space="preserve">the 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refitted all models, and also removed</w:t>
      </w:r>
      <w:r>
        <w:t xml:space="preserve"> </w:t>
      </w:r>
      <w:r>
        <w:t xml:space="preserve">each predictor alone. We did not repeat the selection under the corrected label (Table S10). Because</w:t>
      </w:r>
      <w:r>
        <w:t xml:space="preserve"> </w:t>
      </w:r>
      <w:r>
        <w:t xml:space="preserve">the two features were chosen from the same data, both results are post-selection estimates.</w:t>
      </w:r>
    </w:p>
    <w:bookmarkEnd w:id="39"/>
    <w:bookmarkStart w:id="40" w:name="Xfd989a21ac0161e368811493eaad5791392c395"/>
    <w:p>
      <w:pPr>
        <w:pStyle w:val="Heading2"/>
      </w:pPr>
      <w:r>
        <w:t xml:space="preserve">2.12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We used</w:t>
      </w:r>
      <w:r>
        <w:t xml:space="preserve"> </w:t>
      </w:r>
      <w:r>
        <w:t xml:space="preserve">four evaluations (Section 3.3). A scores the out-of-fold predictions of 5-fold blocked</w:t>
      </w:r>
      <w:r>
        <w:t xml:space="preserve"> </w:t>
      </w:r>
      <w:r>
        <w:t xml:space="preserve">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w:t>
      </w:r>
      <w:r>
        <w:t xml:space="preserve"> </w:t>
      </w:r>
      <w:r>
        <w:t xml:space="preserve">same model scored 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D averages, over the four other regions, a model fitted</w:t>
      </w:r>
      <w:r>
        <w:t xml:space="preserve"> </w:t>
      </w:r>
      <w:r>
        <w:t xml:space="preserve">on that region and scored on</w:t>
      </w:r>
      <w:r>
        <w:t xml:space="preserve"> </w:t>
      </w:r>
      <m:oMath>
        <m:sSub>
          <m:e>
            <m:r>
              <m:t>H</m:t>
            </m:r>
          </m:e>
          <m:sub>
            <m:r>
              <m:t>K</m:t>
            </m:r>
          </m:sub>
        </m:sSub>
      </m:oMath>
      <w:r>
        <w:t xml:space="preserve">. Three controls reuse the predictions of A: a prevalence-matched</w:t>
      </w:r>
      <w:r>
        <w:t xml:space="preserve"> </w:t>
      </w:r>
      <w:r>
        <w:t xml:space="preserve">sample, a negative-pool 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we fitted the model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it on</w:t>
      </w:r>
      <w:r>
        <w:t xml:space="preserve"> </w:t>
      </w:r>
      <m:oMath>
        <m:sSub>
          <m:e>
            <m:r>
              <m:t>F</m:t>
            </m:r>
          </m:e>
          <m:sub>
            <m:r>
              <m:t>t</m:t>
            </m:r>
          </m:sub>
        </m:sSub>
        <m:r>
          <m:rPr>
            <m:sty m:val="p"/>
          </m:rPr>
          <m:t>(</m:t>
        </m:r>
        <m:sSub>
          <m:e>
            <m:r>
              <m:t>r</m:t>
            </m:r>
          </m:e>
          <m:sub>
            <m:r>
              <m:t>t</m:t>
            </m:r>
          </m:sub>
        </m:sSub>
        <m:r>
          <m:rPr>
            <m:sty m:val="p"/>
          </m:rPr>
          <m:t>)</m:t>
        </m:r>
      </m:oMath>
      <w:r>
        <w:t xml:space="preserve">. Fig. S1 maps the study areas,</w:t>
      </w:r>
      <w:r>
        <w:t xml:space="preserve"> </w:t>
      </w:r>
      <w:r>
        <w:t xml:space="preserve">burned cells and collars.</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40"/>
    <w:bookmarkStart w:id="41" w:name="leakage-control-and-reproducibility"/>
    <w:p>
      <w:pPr>
        <w:pStyle w:val="Heading2"/>
      </w:pPr>
      <w:r>
        <w:t xml:space="preserve">2.13 Leakage control and reproducibility</w:t>
      </w:r>
    </w:p>
    <w:p>
      <w:pPr>
        <w:pStyle w:val="FirstParagraph"/>
      </w:pPr>
      <w:r>
        <w:t xml:space="preserve">We checked a list of forbidden columns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w:t>
      </w:r>
      <w:r>
        <w:t xml:space="preserve"> </w:t>
      </w:r>
      <w:r>
        <w:t xml:space="preserve">changed mean transfer by at most 0.003, but single directions by up to 0.049 (seed-to-seed standard</w:t>
      </w:r>
      <w:r>
        <w:t xml:space="preserve"> </w:t>
      </w:r>
      <w:r>
        <w:t xml:space="preserve">deviation at most 0.015; Section S1.23), and this variation is not part of the direction-level</w:t>
      </w:r>
      <w:r>
        <w:t xml:space="preserve"> </w:t>
      </w:r>
      <w:r>
        <w:t xml:space="preserve">intervals. Across five bootstrap seeds, every transfer verdict at 1 km blocking is stable, whereas at</w:t>
      </w:r>
      <w:r>
        <w:t xml:space="preserve"> </w:t>
      </w:r>
      <w:r>
        <w:t xml:space="preserve">5 km three verdicts change (Section S1.20).</w:t>
      </w:r>
    </w:p>
    <w:p>
      <w:pPr>
        <w:pStyle w:val="BodyText"/>
      </w:pPr>
      <w:r>
        <w:t xml:space="preserve">Refitting every within-region model and all twenty CORAL transfers reproduced the frozen pipeline</w:t>
      </w:r>
      <w:r>
        <w:t xml:space="preserve"> </w:t>
      </w:r>
      <w:r>
        <w:t xml:space="preserve">outputs exactly within regions and to within 1.3×10⁻⁸ in transfer (Section S3.6.2). Under</w:t>
      </w:r>
      <w:r>
        <w:t xml:space="preserve"> </w:t>
      </w:r>
      <w:r>
        <w:t xml:space="preserve">scikit-learn 1.5.2 instead of 1.9.0, single-direction AUCs moved by up to 0.047 (Section S3.5(vi)), so</w:t>
      </w:r>
      <w:r>
        <w:t xml:space="preserve"> </w:t>
      </w:r>
      <w:r>
        <w:t xml:space="preserve">exact reproduction needs the archived environment. Every input dataset is identified by its SHA-256</w:t>
      </w:r>
      <w:r>
        <w:t xml:space="preserve"> </w:t>
      </w:r>
      <w:r>
        <w:t xml:space="preserve">hash, and the reported numbers are checked automatically against the tracked outputs.</w:t>
      </w:r>
    </w:p>
    <w:bookmarkEnd w:id="41"/>
    <w:bookmarkEnd w:id="42"/>
    <w:bookmarkStart w:id="67" w:name="results"/>
    <w:p>
      <w:pPr>
        <w:pStyle w:val="Heading1"/>
      </w:pPr>
      <w:r>
        <w:t xml:space="preserve">3 Results</w:t>
      </w:r>
    </w:p>
    <w:bookmarkStart w:id="43" w:name="study-regions-and-the-admissibility-gate"/>
    <w:p>
      <w:pPr>
        <w:pStyle w:val="Heading2"/>
      </w:pPr>
      <w:r>
        <w:t xml:space="preserve">3.1 Study regions and the admissibility gate</w:t>
      </w:r>
    </w:p>
    <w:p>
      <w:pPr>
        <w:pStyle w:val="FirstParagraph"/>
      </w:pPr>
      <w:r>
        <w:t xml:space="preserve">All five regions passed the burned-landcover gate, and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separated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3"/>
    <w:bookmarkStart w:id="47" w:name="the-thermal-gain-within-regions"/>
    <w:p>
      <w:pPr>
        <w:pStyle w:val="Heading2"/>
      </w:pPr>
      <w:r>
        <w:t xml:space="preserve">3.2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rested on only 6 to 33 blocks that contain burned cells, so they are indicative. The gain</w:t>
      </w:r>
      <w:r>
        <w:t xml:space="preserve"> </w:t>
      </w:r>
      <w:r>
        <w:t xml:space="preserve">also stayed positive, with interval support in all five regions, when the predictor window was closed</w:t>
      </w:r>
      <w:r>
        <w:t xml:space="preserve"> </w:t>
      </w:r>
      <w:r>
        <w:t xml:space="preserve">up to two weeks earlier (Section S1.4), and at the point estimates in all five regions with labels</w:t>
      </w:r>
      <w:r>
        <w:t xml:space="preserve"> </w:t>
      </w:r>
      <w:r>
        <w:t xml:space="preserve">from VIIRS VNP64A1 instead of MCD64A1 (Section S1.23). When terrain aspect was added to both feature</w:t>
      </w:r>
      <w:r>
        <w:t xml:space="preserve"> </w:t>
      </w:r>
      <w:r>
        <w:t xml:space="preserve">sets, the gain stayed supported in four regions (+0.044 to +0.139) but fell to +0.020 [−0.025, +0.066]</w:t>
      </w:r>
      <w:r>
        <w:t xml:space="preserve"> </w:t>
      </w:r>
      <w:r>
        <w:t xml:space="preserve">in Montiferru (Section S1.23).</w:t>
      </w:r>
    </w:p>
    <w:p>
      <w:pPr>
        <w:pStyle w:val="CaptionedFigure"/>
      </w:pPr>
      <w:r>
        <w:drawing>
          <wp:inline>
            <wp:extent cx="5753100" cy="2785576"/>
            <wp:effectExtent b="0" l="0" r="0" t="0"/>
            <wp:docPr descr="Fig. 3 The within-region thermal gain in all five regions, by block size. Natural-vegetation population; random forest; 95% spatial-block bootstrap intervals (1000 replicates, seed 42). (a) Baseline (open marker) and thermal (filled marker) area under the receiver operating characteristic curve (ROC-AUC) at 2-cell (\sim1 km) blocking. The right-hand column gives the paired \DeltaAUC and its interval. (b) Thermal ROC-AUC at 2, 10 and 20 cells (\approx1, 5 and 10 km). Skill falls as the blocks become larger. (c) \DeltaAUC at the same block sizes. The interval excludes zero in all regions at 2 and 10 cells. At 20 cells only 6 to 33 blocks contain burned cells, so these intervals are indicative (Table 1, note). Colour and marker shape both show the region." title="" id="45" name="Picture"/>
            <a:graphic>
              <a:graphicData uri="http://schemas.openxmlformats.org/drawingml/2006/picture">
                <pic:pic>
                  <pic:nvPicPr>
                    <pic:cNvPr descr="C:/Users/CORSAIR/projects/thermal-twin-main/paper/submission_fire_ecology/_embed/Fig3.png" id="46" name="Picture"/>
                    <pic:cNvPicPr>
                      <a:picLocks noChangeArrowheads="1" noChangeAspect="1"/>
                    </pic:cNvPicPr>
                  </pic:nvPicPr>
                  <pic:blipFill>
                    <a:blip r:embed="rId44"/>
                    <a:stretch>
                      <a:fillRect/>
                    </a:stretch>
                  </pic:blipFill>
                  <pic:spPr bwMode="auto">
                    <a:xfrm>
                      <a:off x="0" y="0"/>
                      <a:ext cx="5753100" cy="2785576"/>
                    </a:xfrm>
                    <a:prstGeom prst="rect">
                      <a:avLst/>
                    </a:prstGeom>
                    <a:noFill/>
                    <a:ln w="9525">
                      <a:noFill/>
                      <a:headEnd/>
                      <a:tailEnd/>
                    </a:ln>
                  </pic:spPr>
                </pic:pic>
              </a:graphicData>
            </a:graphic>
          </wp:inline>
        </w:drawing>
      </w:r>
    </w:p>
    <w:p>
      <w:pPr>
        <w:pStyle w:val="ImageCaption"/>
      </w:pPr>
      <w:r>
        <w:rPr>
          <w:b/>
          <w:bCs/>
        </w:rPr>
        <w:t xml:space="preserve">Fig. 3 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area under the receiver operating characteristic curve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keepNext/>
      </w:pPr>
      <w:r>
        <w:rPr>
          <w:b/>
          <w:bCs/>
        </w:rPr>
        <w:t xml:space="preserve">Table 1</w:t>
      </w:r>
      <w:r>
        <w:t xml:space="preserve"> </w:t>
      </w:r>
      <w:r>
        <w:t xml:space="preserve">Within-region baseline versus thermal performance and block-size robustness</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t xml:space="preserve">Primary (natural-vegetation) population; spatially blocked 5-fold cross-validation (Section 2.7); paired spatial-block bootstrap, 1000 replicates. Block sizes of 2, 10 and 20 cells correspond to about 1, 5 and 10 km. The Baseline and Thermal columns are ROC-AUC, and the 95 % confidence interval (CI) belongs to ΔAUC. Source files are listed in the Supplementary Material. At 10 cells (about 5 km), every region has 16 to 70 blocks with burned cells, so this is the coarsest blocking that the design supports. The 20-cell rows are indicative. Block counts are given in Section S1.3.</w:t>
      </w:r>
    </w:p>
    <w:bookmarkEnd w:id="47"/>
    <w:bookmarkStart w:id="48" w:name="Xbabaa583d4cd0f63ce80a00e9c1cb16703a29e2"/>
    <w:p>
      <w:pPr>
        <w:pStyle w:val="Heading2"/>
      </w:pPr>
      <w:r>
        <w:t xml:space="preserve">3.3 The effect of the evaluation frame within one region</w:t>
      </w:r>
    </w:p>
    <w:p>
      <w:pPr>
        <w:pStyle w:val="FirstParagraph"/>
      </w:pPr>
      <w:r>
        <w:t xml:space="preserve">This test measured the effect of the evaluation frame on one model in one region, so no transfer was</w:t>
      </w:r>
      <w:r>
        <w:t xml:space="preserve"> </w:t>
      </w:r>
      <w:r>
        <w:t xml:space="preserve">involved. We compared four evaluations (Table 2). The last three were scored on</w:t>
      </w:r>
      <w:r>
        <w:t xml:space="preserve"> </w:t>
      </w:r>
      <w:r>
        <w:rPr>
          <w:b/>
          <w:bCs/>
        </w:rPr>
        <w:t xml:space="preserve">the same cells</w:t>
      </w:r>
      <w:r>
        <w:t xml:space="preserve">,</w:t>
      </w:r>
      <w:r>
        <w:t xml:space="preserve"> </w:t>
      </w:r>
      <w:r>
        <w:t xml:space="preserve">so they differed only in the training data. The held-out unit was a scar of at least 50 burned cells</w:t>
      </w:r>
      <w:r>
        <w:t xml:space="preserve"> </w:t>
      </w:r>
      <w:r>
        <w:t xml:space="preserve">together with its 2 km collar.</w:t>
      </w:r>
    </w:p>
    <w:p>
      <w:pPr>
        <w:pStyle w:val="BodyText"/>
        <w:keepNext/>
      </w:pPr>
      <w:r>
        <w:rPr>
          <w:b/>
          <w:bCs/>
        </w:rPr>
        <w:t xml:space="preserve">Table 2</w:t>
      </w:r>
      <w:r>
        <w:t xml:space="preserve"> </w:t>
      </w:r>
      <w:r>
        <w:t xml:space="preserve">The four evaluations of the frame test</w:t>
      </w:r>
    </w:p>
    <w:tbl>
      <w:tblPr>
        <w:tblStyle w:val="Table"/>
        <w:tblW w:type="auto" w:w="0"/>
        <w:tblLook w:firstRow="1" w:lastRow="0" w:firstColumn="0" w:lastColumn="0" w:noHBand="0" w:noVBand="0" w:val="0020"/>
      </w:tblPr>
      <w:tblGrid>
        <w:gridCol w:w="2824"/>
        <w:gridCol w:w="2995"/>
        <w:gridCol w:w="1369"/>
        <w:gridCol w:w="685"/>
        <w:gridCol w:w="1198"/>
      </w:tblGrid>
      <w:tr>
        <w:trPr>
          <w:tblHeader w:val="on"/>
          <w:cantSplit/>
        </w:trPr>
        <w:tc>
          <w:tcPr>
            <w:tcW w:type="dxa" w:w="2824"/>
          </w:tcPr>
          <w:p>
            <w:pPr>
              <w:pStyle w:val="Compact"/>
              <w:spacing w:line="240" w:lineRule="auto" w:after="20"/>
            </w:pPr>
            <w:r>
              <w:rPr>
                <w:sz w:val="20"/>
              </w:rPr>
              <w:t xml:space="preserve">Evaluation</w:t>
            </w:r>
          </w:p>
        </w:tc>
        <w:tc>
          <w:tcPr>
            <w:tcW w:type="dxa" w:w="2995"/>
          </w:tcPr>
          <w:p>
            <w:pPr>
              <w:pStyle w:val="Compact"/>
              <w:spacing w:line="240" w:lineRule="auto" w:after="20"/>
            </w:pPr>
            <w:r>
              <w:rPr>
                <w:sz w:val="20"/>
              </w:rPr>
              <w:t xml:space="preserve">Model trained on</w:t>
            </w:r>
          </w:p>
        </w:tc>
        <w:tc>
          <w:tcPr>
            <w:tcW w:type="dxa" w:w="1369"/>
          </w:tcPr>
          <w:p>
            <w:pPr>
              <w:pStyle w:val="Compact"/>
              <w:spacing w:line="240" w:lineRule="auto" w:after="20"/>
            </w:pPr>
            <w:r>
              <w:rPr>
                <w:sz w:val="20"/>
              </w:rPr>
              <w:t xml:space="preserve">Scored on</w:t>
            </w:r>
          </w:p>
        </w:tc>
        <w:tc>
          <w:tcPr>
            <w:tcW w:type="dxa" w:w="685"/>
          </w:tcPr>
          <w:p>
            <w:pPr>
              <w:pStyle w:val="Compact"/>
              <w:spacing w:line="240" w:lineRule="auto" w:after="20"/>
              <w:jc w:val="right"/>
            </w:pPr>
            <w:r>
              <w:rPr>
                <w:sz w:val="20"/>
              </w:rPr>
              <w:t xml:space="preserve">Mean AUC</w:t>
            </w:r>
          </w:p>
        </w:tc>
        <w:tc>
          <w:tcPr>
            <w:tcW w:type="dxa" w:w="1198"/>
          </w:tcPr>
          <w:p>
            <w:pPr>
              <w:pStyle w:val="Compact"/>
              <w:spacing w:line="240" w:lineRule="auto" w:after="20"/>
            </w:pPr>
            <w:r>
              <w:rPr>
                <w:sz w:val="20"/>
              </w:rPr>
              <w:t xml:space="preserve">95 % CI</w:t>
            </w:r>
          </w:p>
        </w:tc>
      </w:tr>
      <w:tr>
        <w:trPr>
          <w:cantSplit/>
        </w:trPr>
        <w:tc>
          <w:tcPr>
            <w:tcW w:type="dxa" w:w="2824"/>
          </w:tcPr>
          <w:p>
            <w:pPr>
              <w:pStyle w:val="Compact"/>
              <w:spacing w:line="240" w:lineRule="auto" w:after="20"/>
            </w:pPr>
            <w:r>
              <w:rPr>
                <w:sz w:val="20"/>
              </w:rPr>
              <w:t xml:space="preserve">A. Blocked cross-validation</w:t>
            </w:r>
          </w:p>
        </w:tc>
        <w:tc>
          <w:tcPr>
            <w:tcW w:type="dxa" w:w="2995"/>
          </w:tcPr>
          <w:p>
            <w:pPr>
              <w:pStyle w:val="Compact"/>
              <w:spacing w:line="240" w:lineRule="auto" w:after="20"/>
            </w:pPr>
            <w:r>
              <w:rPr>
                <w:sz w:val="20"/>
              </w:rPr>
              <w:t xml:space="preserve">the region, scar included</w:t>
            </w:r>
          </w:p>
        </w:tc>
        <w:tc>
          <w:tcPr>
            <w:tcW w:type="dxa" w:w="1369"/>
          </w:tcPr>
          <w:p>
            <w:pPr>
              <w:pStyle w:val="Compact"/>
              <w:spacing w:line="240" w:lineRule="auto" w:after="20"/>
            </w:pPr>
            <w:r>
              <w:rPr>
                <w:sz w:val="20"/>
              </w:rPr>
              <w:t xml:space="preserve">the whole region</w:t>
            </w:r>
          </w:p>
        </w:tc>
        <w:tc>
          <w:tcPr>
            <w:tcW w:type="dxa" w:w="685"/>
          </w:tcPr>
          <w:p>
            <w:pPr>
              <w:pStyle w:val="Compact"/>
              <w:spacing w:line="240" w:lineRule="auto" w:after="20"/>
              <w:jc w:val="right"/>
            </w:pPr>
            <w:r>
              <w:rPr>
                <w:sz w:val="20"/>
              </w:rPr>
              <w:t xml:space="preserve">0.773</w:t>
            </w:r>
          </w:p>
        </w:tc>
        <w:tc>
          <w:tcPr>
            <w:tcW w:type="dxa" w:w="1198"/>
          </w:tcPr>
          <w:p>
            <w:pPr>
              <w:pStyle w:val="Compact"/>
              <w:spacing w:line="240" w:lineRule="auto" w:after="20"/>
            </w:pPr>
            <w:r>
              <w:rPr>
                <w:sz w:val="20"/>
              </w:rPr>
              <w:t xml:space="preserve">[0.729, 0.818]</w:t>
            </w:r>
          </w:p>
        </w:tc>
      </w:tr>
      <w:tr>
        <w:trPr>
          <w:cantSplit/>
        </w:trPr>
        <w:tc>
          <w:tcPr>
            <w:tcW w:type="dxa" w:w="2824"/>
          </w:tcPr>
          <w:p>
            <w:pPr>
              <w:pStyle w:val="Compact"/>
              <w:spacing w:line="240" w:lineRule="auto" w:after="20"/>
            </w:pPr>
            <w:r>
              <w:rPr>
                <w:sz w:val="20"/>
              </w:rPr>
              <w:t xml:space="preserve">B. Same blocked model, restricted</w:t>
            </w:r>
          </w:p>
        </w:tc>
        <w:tc>
          <w:tcPr>
            <w:tcW w:type="dxa" w:w="2995"/>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0.640</w:t>
            </w:r>
          </w:p>
        </w:tc>
        <w:tc>
          <w:tcPr>
            <w:tcW w:type="dxa" w:w="1198"/>
          </w:tcPr>
          <w:p>
            <w:pPr>
              <w:pStyle w:val="Compact"/>
              <w:spacing w:line="240" w:lineRule="auto" w:after="20"/>
            </w:pPr>
            <w:r>
              <w:rPr>
                <w:sz w:val="20"/>
              </w:rPr>
              <w:t xml:space="preserve">[0.544, 0.736]</w:t>
            </w:r>
          </w:p>
        </w:tc>
      </w:tr>
      <w:tr>
        <w:trPr>
          <w:cantSplit/>
        </w:trPr>
        <w:tc>
          <w:tcPr>
            <w:tcW w:type="dxa" w:w="2824"/>
          </w:tcPr>
          <w:p>
            <w:pPr>
              <w:pStyle w:val="Compact"/>
              <w:spacing w:line="240" w:lineRule="auto" w:after="20"/>
            </w:pPr>
            <w:r>
              <w:rPr>
                <w:sz w:val="20"/>
              </w:rPr>
              <w:t xml:space="preserve">C. Leave-one-scar-out</w:t>
            </w:r>
          </w:p>
        </w:tc>
        <w:tc>
          <w:tcPr>
            <w:tcW w:type="dxa" w:w="2995"/>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0.546</w:t>
            </w:r>
          </w:p>
        </w:tc>
        <w:tc>
          <w:tcPr>
            <w:tcW w:type="dxa" w:w="1198"/>
          </w:tcPr>
          <w:p>
            <w:pPr>
              <w:pStyle w:val="Compact"/>
              <w:spacing w:line="240" w:lineRule="auto" w:after="20"/>
            </w:pPr>
            <w:r>
              <w:rPr>
                <w:sz w:val="20"/>
              </w:rPr>
              <w:t xml:space="preserve">[0.488, 0.604]</w:t>
            </w:r>
          </w:p>
        </w:tc>
      </w:tr>
      <w:tr>
        <w:trPr>
          <w:cantSplit/>
        </w:trPr>
        <w:tc>
          <w:tcPr>
            <w:tcW w:type="dxa" w:w="2824"/>
          </w:tcPr>
          <w:p>
            <w:pPr>
              <w:pStyle w:val="Compact"/>
              <w:spacing w:line="240" w:lineRule="auto" w:after="20"/>
            </w:pPr>
            <w:r>
              <w:rPr>
                <w:sz w:val="20"/>
              </w:rPr>
              <w:t xml:space="preserve">D. Foreign region</w:t>
            </w:r>
          </w:p>
        </w:tc>
        <w:tc>
          <w:tcPr>
            <w:tcW w:type="dxa" w:w="2995"/>
          </w:tcPr>
          <w:p>
            <w:pPr>
              <w:pStyle w:val="Compact"/>
              <w:spacing w:line="240" w:lineRule="auto" w:after="20"/>
            </w:pPr>
            <w:r>
              <w:rPr>
                <w:sz w:val="20"/>
              </w:rPr>
              <w:t xml:space="preserve">another region, 306 to 2802 km away</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0.553</w:t>
            </w:r>
          </w:p>
        </w:tc>
        <w:tc>
          <w:tcPr>
            <w:tcW w:type="dxa" w:w="1198"/>
          </w:tcPr>
          <w:p>
            <w:pPr>
              <w:pStyle w:val="Compact"/>
              <w:spacing w:line="240" w:lineRule="auto" w:after="20"/>
            </w:pPr>
            <w:r>
              <w:rPr>
                <w:sz w:val="20"/>
              </w:rPr>
              <w:t xml:space="preserve">[0.495, 0.611]</w:t>
            </w:r>
          </w:p>
        </w:tc>
      </w:tr>
    </w:tbl>
    <w:p>
      <w:pPr>
        <w:pStyle w:val="BodyText"/>
      </w:pPr>
      <w:r>
        <w:t xml:space="preserve">Primary population, 5 km blocking. Rows B, C and D are scored on the scar frame. Row A is the whole region and is shown to make the difference visible. Means and Student</w:t>
      </w:r>
      <w:r>
        <w:t xml:space="preserve"> </w:t>
      </w:r>
      <w:r>
        <w:rPr>
          <w:i/>
          <w:iCs/>
        </w:rPr>
        <w:t xml:space="preserve">t</w:t>
      </w:r>
      <w:r>
        <w:t xml:space="preserve"> </w:t>
      </w:r>
      <w:r>
        <w:t xml:space="preserve">intervals over the seven scars that allow row C: four in Muğla, two in Montiferru and one in Evia. The</w:t>
      </w:r>
      <w:r>
        <w:t xml:space="preserve"> </w:t>
      </w:r>
      <w:r>
        <w:rPr>
          <w:i/>
          <w:iCs/>
        </w:rPr>
        <w:t xml:space="preserve">t</w:t>
      </w:r>
      <w:r>
        <w:t xml:space="preserve"> </w:t>
      </w:r>
      <w:r>
        <w:t xml:space="preserve">intervals treat scars as independent; region-level estimates are given in the text. Cell counts per scar are in Table S1.</w:t>
      </w:r>
      <w:r>
        <w:t xml:space="preserve"> </w:t>
      </w:r>
      <w:r>
        <w:rPr>
          <w:b/>
          <w:bCs/>
        </w:rPr>
        <w:t xml:space="preserve">The same model scored lower on the scar frame.</w:t>
      </w:r>
      <w:r>
        <w:t xml:space="preserve"> </w:t>
      </w:r>
      <w:r>
        <w:t xml:space="preserve">Rows A and B used one model and one set of</w:t>
      </w:r>
      <w:r>
        <w:t xml:space="preserve"> </w:t>
      </w:r>
      <w:r>
        <w:t xml:space="preserve">predictions, and only the scored cells differed. Over the seven scars of Table 2, A minus B was 0.133</w:t>
      </w:r>
      <w:r>
        <w:t xml:space="preserve"> </w:t>
      </w:r>
      <w:r>
        <w:t xml:space="preserve">[+0.060, +0.207]. The primary estimate uses all nine scars, including the single scars of Manavgat</w:t>
      </w:r>
      <w:r>
        <w:t xml:space="preserve"> </w:t>
      </w:r>
      <w:r>
        <w:t xml:space="preserve">and Bejís, which have no row C (Tables S1 and S5). With the region as the unit, the change then cost</w:t>
      </w:r>
      <w:r>
        <w:t xml:space="preserve"> </w:t>
      </w:r>
      <w:r>
        <w:rPr>
          <w:b/>
          <w:bCs/>
        </w:rPr>
        <w:t xml:space="preserve">+0.160 [+0.090, +0.230]</w:t>
      </w:r>
      <w:r>
        <w:t xml:space="preserve"> </w:t>
      </w:r>
      <w:r>
        <w:t xml:space="preserve">over five regions, and +0.137 [+0.048, +0.226] over the three regions of</w:t>
      </w:r>
      <w:r>
        <w:t xml:space="preserve"> </w:t>
      </w:r>
      <w:r>
        <w:t xml:space="preserve">Table 2. The seven-scar interval is too narrow, because row A is repeated for each scar of a region.</w:t>
      </w:r>
      <w:r>
        <w:t xml:space="preserve"> </w:t>
      </w:r>
      <w:r>
        <w:t xml:space="preserve">With the region as the unit, the fall from A to C was +0.266 [−0.022, +0.553].</w:t>
      </w:r>
      <w:r>
        <w:t xml:space="preserve"> </w:t>
      </w:r>
      <w:r>
        <w:rPr>
          <w:b/>
          <w:bCs/>
        </w:rPr>
        <w:t xml:space="preserve">Only the frame cost</w:t>
      </w:r>
      <w:r>
        <w:rPr>
          <w:b/>
          <w:bCs/>
        </w:rPr>
        <w:t xml:space="preserve"> </w:t>
      </w:r>
      <w:r>
        <w:rPr>
          <w:b/>
          <w:bCs/>
        </w:rPr>
        <w:t xml:space="preserve">is therefore established at the region level.</w:t>
      </w:r>
      <w:r>
        <w:t xml:space="preserve"> </w:t>
      </w:r>
      <w:r>
        <w:t xml:space="preserve">The two frames answer different questions (Section</w:t>
      </w:r>
      <w:r>
        <w:t xml:space="preserve"> </w:t>
      </w:r>
      <w:r>
        <w:t xml:space="preserve">2.12), so the region-wide score is not a biased version of the scar score. It was, however, the more</w:t>
      </w:r>
      <w:r>
        <w:t xml:space="preserve"> </w:t>
      </w:r>
      <w:r>
        <w:t xml:space="preserve">optimistic of the two in all nine scars.</w:t>
      </w:r>
    </w:p>
    <w:p>
      <w:pPr>
        <w:pStyle w:val="BodyText"/>
      </w:pPr>
      <w:r>
        <w:rPr>
          <w:b/>
          <w:bCs/>
        </w:rPr>
        <w:t xml:space="preserve">The cost came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as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 unit</w:t>
      </w:r>
      <w:r>
        <w:t xml:space="preserve"> </w:t>
      </w:r>
      <w:r>
        <w:t xml:space="preserve">(Table S21). Across regions, the cost showed no relation to the share of distant cells in the study</w:t>
      </w:r>
      <w:r>
        <w:t xml:space="preserve"> </w:t>
      </w:r>
      <w:r>
        <w:t xml:space="preserve">area (slope 0.005 [−0.41, +0.42], n = 5), although this test has little power.</w:t>
      </w:r>
    </w:p>
    <w:p>
      <w:pPr>
        <w:pStyle w:val="BodyText"/>
      </w:pPr>
      <w:r>
        <w:rPr>
          <w:b/>
          <w:bCs/>
        </w:rPr>
        <w:t xml:space="preserve">Withholding the fire or moving the model had no measurable cost, but the test was weak.</w:t>
      </w:r>
      <w:r>
        <w:t xml:space="preserve"> </w:t>
      </w:r>
      <w:r>
        <w:t xml:space="preserve">B minus</w:t>
      </w:r>
      <w:r>
        <w:t xml:space="preserve"> </w:t>
      </w:r>
      <w:r>
        <w:t xml:space="preserve">C, the effect of withholding the scar, was +0.094 [−0.012, +0.200]. C minus D, the effect of using a</w:t>
      </w:r>
      <w:r>
        <w:t xml:space="preserve"> </w:t>
      </w:r>
      <w:r>
        <w:t xml:space="preserve">model from 306 to 2,802 km away, was −0.007 [−0.070, +0.057]. Both intervals included zero, and both</w:t>
      </w:r>
      <w:r>
        <w:t xml:space="preserve"> </w:t>
      </w:r>
      <w:r>
        <w:t xml:space="preserve">evaluations were close to chance. In Evia, however, withholding the scar left only 11 burned cells for</w:t>
      </w:r>
      <w:r>
        <w:t xml:space="preserve"> </w:t>
      </w:r>
      <w:r>
        <w:t xml:space="preserve">training. In Muğla alone, where every held-out case kept a well-trained model, C and D were 0.579 and</w:t>
      </w:r>
      <w:r>
        <w:t xml:space="preserve"> </w:t>
      </w:r>
      <w:r>
        <w:t xml:space="preserve">0.586. With region-level clustering the intervals widened strongly; for example, the difference in</w:t>
      </w:r>
      <w:r>
        <w:t xml:space="preserve"> </w:t>
      </w:r>
      <w:r>
        <w:t xml:space="preserve">thermal gain between rows C and D widened from [−0.061, +0.094] to [−0.154, +0.186]. Effects of up to</w:t>
      </w:r>
      <w:r>
        <w:t xml:space="preserve"> </w:t>
      </w:r>
      <w:r>
        <w:t xml:space="preserve">about 0.2 therefore cannot be excluded.</w:t>
      </w:r>
    </w:p>
    <w:p>
      <w:pPr>
        <w:pStyle w:val="BodyText"/>
      </w:pPr>
      <w:r>
        <w:rPr>
          <w:b/>
          <w:bCs/>
        </w:rPr>
        <w:t xml:space="preserve">On the scar frame, the thermal gain was not established.</w:t>
      </w:r>
      <w:r>
        <w:t xml:space="preserve"> </w:t>
      </w:r>
      <w:r>
        <w:t xml:space="preserve">Averaged over the seven scars at 5 km</w:t>
      </w:r>
      <w:r>
        <w:t xml:space="preserve"> </w:t>
      </w:r>
      <w:r>
        <w:t xml:space="preserve">blocking, with Muğla counted four times, the region-wide gain was +0.095. On the scar frame the same</w:t>
      </w:r>
      <w:r>
        <w:t xml:space="preserve"> </w:t>
      </w:r>
      <w:r>
        <w:t xml:space="preserve">predictions gave +0.021 [−0.059, +0.100], leave-one-scar-out +0.024 [−0.040, +0.089], and a foreign</w:t>
      </w:r>
      <w:r>
        <w:t xml:space="preserve"> </w:t>
      </w:r>
      <w:r>
        <w:t xml:space="preserve">model +0.008 [−0.021, +0.038]. The fall from +0.095 is therefore consistent with a change of frame</w:t>
      </w:r>
      <w:r>
        <w:t xml:space="preserve"> </w:t>
      </w:r>
      <w:r>
        <w:t xml:space="preserve">rather than of training data, but with effects of up to about 0.2 not excluded, the data do not</w:t>
      </w:r>
      <w:r>
        <w:t xml:space="preserve"> </w:t>
      </w:r>
      <w:r>
        <w:t xml:space="preserve">resolve this (Section S1.9.3).</w:t>
      </w:r>
    </w:p>
    <w:bookmarkEnd w:id="48"/>
    <w:bookmarkStart w:id="49" w:name="the-frame-effect-between-regions"/>
    <w:p>
      <w:pPr>
        <w:pStyle w:val="Heading2"/>
      </w:pPr>
      <w:r>
        <w:t xml:space="preserve">3.4 The frame effect between regions</w:t>
      </w:r>
    </w:p>
    <w:p>
      <w:pPr>
        <w:pStyle w:val="FirstParagraph"/>
      </w:pPr>
      <w:r>
        <w:t xml:space="preserve">The five study areas differed strongly in how many distant unburned cells they contained. The share</w:t>
      </w:r>
      <w:r>
        <w:t xml:space="preserve"> </w:t>
      </w:r>
      <w:r>
        <w:t xml:space="preserve">of cells more than 10 km from any burned cell was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w:t>
      </w:r>
      <w:r>
        <w:t xml:space="preserve"> </w:t>
      </w:r>
      <w:r>
        <w:t xml:space="preserve">(Table S13). In Manavgat, the median elevation of the modelled cells rose from 330 m within 5 km of</w:t>
      </w:r>
      <w:r>
        <w:t xml:space="preserve"> </w:t>
      </w:r>
      <w:r>
        <w:t xml:space="preserve">the fire to 1,273 m at 20 to 50 km, while the burned cells had a median of 287 m.</w:t>
      </w:r>
    </w:p>
    <w:p>
      <w:pPr>
        <w:pStyle w:val="BodyText"/>
      </w:pPr>
      <w:r>
        <w:rPr>
          <w:b/>
          <w:bCs/>
        </w:rPr>
        <w:t xml:space="preserve">Comparable study areas.</w:t>
      </w:r>
      <w:r>
        <w:t xml:space="preserve"> </w:t>
      </w:r>
      <w:r>
        <w:t xml:space="preserve">Restricting every region to cells within 10 km of any burned cell</w:t>
      </w:r>
      <w:r>
        <w:t xml:space="preserve"> </w:t>
      </w:r>
      <w:r>
        <w:t xml:space="preserve">removes only distant unburned cells. Table 3 compares transfer on these collars with transfer on the</w:t>
      </w:r>
      <w:r>
        <w:t xml:space="preserve"> </w:t>
      </w:r>
      <w:r>
        <w:t xml:space="preserve">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2.12).</w:t>
      </w:r>
    </w:p>
    <w:p>
      <w:pPr>
        <w:pStyle w:val="BodyText"/>
        <w:keepNext/>
      </w:pPr>
      <w:r>
        <w:rPr>
          <w:b/>
          <w:bCs/>
        </w:rPr>
        <w:t xml:space="preserve">Table 3</w:t>
      </w:r>
      <w:r>
        <w:t xml:space="preserve"> </w:t>
      </w:r>
      <w:r>
        <w:t xml:space="preserve">Cross-region transfer on the original study areas and on the distance collars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t xml:space="preserve">Twenty ordered directions, primary population, thermal feature set unless stated. The below-chance count is a point count.</w:t>
      </w:r>
      <w:r>
        <w:t xml:space="preserve"> </w:t>
      </w:r>
      <w:r>
        <w:t xml:space="preserve">“Supported above / below”</w:t>
      </w:r>
      <w:r>
        <w:t xml:space="preserve"> </w:t>
      </w:r>
      <w:r>
        <w:t xml:space="preserve">counts directions whose interval excludes 0.5, from a 10-cell (about 5 km) target-block bootstrap. Δ is the paired thermal-minus-baseline difference with a pair-cluster bootstrap interval, 1000 replicates (with 20000 replicates, as in Table S31, the collar interval is [−0.003, +0.051]). W − T is the within-region thermal gain minus the transfer gain, averaged by target region, with a Student</w:t>
      </w:r>
      <w:r>
        <w:t xml:space="preserve"> </w:t>
      </w:r>
      <w:r>
        <w:rPr>
          <w:i/>
          <w:iCs/>
        </w:rPr>
        <w:t xml:space="preserve">t</w:t>
      </w:r>
      <w:r>
        <w:t xml:space="preserve"> </w:t>
      </w:r>
      <w:r>
        <w:t xml:space="preserve">interval over the five targets.</w:t>
      </w:r>
      <w:r>
        <w:t xml:space="preserve"> </w:t>
      </w:r>
      <w:r>
        <w:rPr>
          <w:b/>
          <w:bCs/>
        </w:rPr>
        <w:t xml:space="preserve">The thermal gain in transfer was small on every frame.</w:t>
      </w:r>
      <w:r>
        <w:t xml:space="preserve"> </w:t>
      </w:r>
      <w:r>
        <w:t xml:space="preserve">On the 10 km collar its interval included</w:t>
      </w:r>
      <w:r>
        <w:t xml:space="preserve"> </w:t>
      </w:r>
      <w:r>
        <w:t xml:space="preserve">zero under the primary resampling unit. Of the five other units that can be computed, two excluded</w:t>
      </w:r>
      <w:r>
        <w:t xml:space="preserve"> </w:t>
      </w:r>
      <w:r>
        <w:t xml:space="preserve">zero: clustering by target region and clustering by source region (Section S1.22). In an exploratory</w:t>
      </w:r>
      <w:r>
        <w:t xml:space="preserve"> </w:t>
      </w:r>
      <w:r>
        <w:t xml:space="preserve">equivalence test with a margin of ±0.05, the gain was within the margin under all six units that can be</w:t>
      </w:r>
      <w:r>
        <w:t xml:space="preserve"> </w:t>
      </w:r>
      <w:r>
        <w:t xml:space="preserve">computed on the original areas and under four of six on the collar (Table S21). The margin was set</w:t>
      </w:r>
      <w:r>
        <w:t xml:space="preserve"> </w:t>
      </w:r>
      <w:r>
        <w:t xml:space="preserve">after the results and is close to the smallest within-region gain (+0.045), so the test does not show</w:t>
      </w:r>
      <w:r>
        <w:t xml:space="preserve"> </w:t>
      </w:r>
      <w:r>
        <w:t xml:space="preserve">that the transfer gain is negligible relative to local gains. The difference between the</w:t>
      </w:r>
      <w:r>
        <w:t xml:space="preserve"> </w:t>
      </w:r>
      <w:r>
        <w:t xml:space="preserve">within-region and transfer gains (W − T) was positive on the original areas and on the 10 km collar,</w:t>
      </w:r>
      <w:r>
        <w:t xml:space="preserve"> </w:t>
      </w:r>
      <w:r>
        <w:t xml:space="preserve">but not on the 5 km collar (Table 3).</w:t>
      </w:r>
    </w:p>
    <w:p>
      <w:pPr>
        <w:pStyle w:val="BodyText"/>
      </w:pPr>
      <w:r>
        <w:rPr>
          <w:b/>
          <w:bCs/>
        </w:rPr>
        <w:t xml:space="preserve">Associations on the collar.</w:t>
      </w:r>
      <w:r>
        <w:t xml:space="preserve"> </w:t>
      </w:r>
      <w:r>
        <w:t xml:space="preserve">On the collar, four regions agreed in sign on elevation, LST and</w:t>
      </w:r>
      <w:r>
        <w:t xml:space="preserve"> </w:t>
      </w:r>
      <w:r>
        <w:t xml:space="preserve">TVDI, and Manavgat was on the other side of 0.5 on all three. Its elevation association was 0.376</w:t>
      </w:r>
      <w:r>
        <w:t xml:space="preserve"> </w:t>
      </w:r>
      <w:r>
        <w:t xml:space="preserve">[0.300, 0.465], against 0.606 [0.525, 0.685] in Muğla and 0.648 [0.550, 0.740] in Evia (Bejís and</w:t>
      </w:r>
      <w:r>
        <w:t xml:space="preserve"> </w:t>
      </w:r>
      <w:r>
        <w:t xml:space="preserve">Montiferru in Table S14). Under the per-comparison criterion of Section 2.10,</w:t>
      </w:r>
      <w:r>
        <w:t xml:space="preserve"> </w:t>
      </w:r>
      <w:r>
        <w:rPr>
          <w:b/>
          <w:bCs/>
        </w:rPr>
        <w:t xml:space="preserve">two reversals were</w:t>
      </w:r>
      <w:r>
        <w:rPr>
          <w:b/>
          <w:bCs/>
        </w:rPr>
        <w:t xml:space="preserve"> </w:t>
      </w:r>
      <w:r>
        <w:rPr>
          <w:b/>
          <w:bCs/>
        </w:rPr>
        <w:t xml:space="preserve">supported on the collar, both on elevation and both involving Manavgat.</w:t>
      </w:r>
      <w:r>
        <w:t xml:space="preserve"> </w:t>
      </w:r>
      <w:r>
        <w:t xml:space="preserve">They were not the same pairs</w:t>
      </w:r>
      <w:r>
        <w:t xml:space="preserve"> </w:t>
      </w:r>
      <w:r>
        <w:t xml:space="preserve">as on the original areas. Manavgat against Muğla was supported on both frames. Manavgat against Evia</w:t>
      </w:r>
      <w:r>
        <w:t xml:space="preserve"> </w:t>
      </w:r>
      <w:r>
        <w:t xml:space="preserve">became supported on the collar, because the Evia interval excluded 0.5 only there. Manavgat against</w:t>
      </w:r>
      <w:r>
        <w:t xml:space="preserve"> </w:t>
      </w:r>
      <w:r>
        <w:t xml:space="preserve">Bejís lost support narrowly: the Bejís interval, [0.496, 0.722], missed 0.5 by 0.004. Neither collar</w:t>
      </w:r>
      <w:r>
        <w:t xml:space="preserve"> </w:t>
      </w:r>
      <w:r>
        <w:t xml:space="preserve">reversal survived a Holm correction over the ninety feature-by-pair comparisons (adjusted</w:t>
      </w:r>
      <w:r>
        <w:t xml:space="preserve"> </w:t>
      </w:r>
      <w:r>
        <w:rPr>
          <w:i/>
          <w:iCs/>
        </w:rPr>
        <w:t xml:space="preserve">p</w:t>
      </w:r>
      <w:r>
        <w:t xml:space="preserve"> </w:t>
      </w:r>
      <w:r>
        <w:t xml:space="preserve">= 0.33</w:t>
      </w:r>
      <w:r>
        <w:t xml:space="preserve"> </w:t>
      </w:r>
      <w:r>
        <w:t xml:space="preserve">and 0.79; Section S1.19).</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were hotter (current LST 0.665 on the original area), but they were also</w:t>
      </w:r>
      <w:r>
        <w:t xml:space="preserve"> </w:t>
      </w:r>
      <w:r>
        <w:t xml:space="preserve">low-lying. When elevation was held constant through deciles, the Manavgat LST association fell to</w:t>
      </w:r>
      <w:r>
        <w:t xml:space="preserve"> </w:t>
      </w:r>
      <w:r>
        <w:t xml:space="preserve">0.403 [0.343, 0.464] on the collar, and after the linear effect of elevation was removed it was 0.409</w:t>
      </w:r>
      <w:r>
        <w:t xml:space="preserve"> </w:t>
      </w:r>
      <w:r>
        <w:t xml:space="preserve">[0.350, 0.475]. On the original area the same values were 0.455 and 0.446, with intervals that include</w:t>
      </w:r>
      <w:r>
        <w:t xml:space="preserve"> </w:t>
      </w:r>
      <w:r>
        <w:t xml:space="preserve">0.5 (Sections S1.11 and S1.23).</w:t>
      </w:r>
    </w:p>
    <w:p>
      <w:pPr>
        <w:pStyle w:val="BodyText"/>
      </w:pPr>
      <w:r>
        <w:rPr>
          <w:b/>
          <w:bCs/>
        </w:rPr>
        <w:t xml:space="preserve">Similarity measures on the collar.</w:t>
      </w:r>
      <w:r>
        <w:t xml:space="preserve"> </w:t>
      </w:r>
      <w:r>
        <w:t xml:space="preserve">The sign-agreement fraction, which is built from these signed</w:t>
      </w:r>
      <w:r>
        <w:t xml:space="preserve"> </w:t>
      </w:r>
      <w:r>
        <w:t xml:space="preserve">associations, did not predict transfer on the original areas (ρ = +0.52 [−0.27, +0.87]) or on the</w:t>
      </w:r>
      <w:r>
        <w:t xml:space="preserve"> </w:t>
      </w:r>
      <w:r>
        <w:t xml:space="preserve">collar (ρ = +0.38). Its cosine version predicted collar transfer at ρ = +0.57 [+0.05, +0.88]. However,</w:t>
      </w:r>
      <w:r>
        <w:t xml:space="preserve"> </w:t>
      </w:r>
      <w:r>
        <w:t xml:space="preserve">this is one of about forty uncorrected tests, on a frame defined by the labels, so we report it but</w:t>
      </w:r>
      <w:r>
        <w:t xml:space="preserve"> </w:t>
      </w:r>
      <w:r>
        <w:t xml:space="preserve">do not use it (Section S1.19).</w:t>
      </w:r>
    </w:p>
    <w:p>
      <w:pPr>
        <w:pStyle w:val="BodyText"/>
      </w:pPr>
      <w:r>
        <w:rPr>
          <w:b/>
          <w:bCs/>
        </w:rPr>
        <w:t xml:space="preserve">The within-region gain survived the collar.</w:t>
      </w:r>
      <w:r>
        <w:t xml:space="preserve"> </w:t>
      </w:r>
      <w:r>
        <w:t xml:space="preserve">It stayed positive in all five regions on the collar,</w:t>
      </w:r>
      <w:r>
        <w:t xml:space="preserve"> </w:t>
      </w:r>
      <w:r>
        <w:t xml:space="preserve">with a mean of +0.083 against +0.087 on the original areas.</w:t>
      </w:r>
    </w:p>
    <w:p>
      <w:pPr>
        <w:pStyle w:val="BodyText"/>
      </w:pPr>
      <w:r>
        <w:rPr>
          <w:b/>
          <w:bCs/>
        </w:rPr>
        <w:t xml:space="preserve">The transfer shortfall remained on matched frames.</w:t>
      </w:r>
      <w:r>
        <w:t xml:space="preserve"> </w:t>
      </w:r>
      <w:r>
        <w:t xml:space="preserve">On the 10 km collar at 5 km blocking, the</w:t>
      </w:r>
      <w:r>
        <w:t xml:space="preserve"> </w:t>
      </w:r>
      <w:r>
        <w:t xml:space="preserve">within-region reference was 0.786, and transfer was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had the largest shortfall (+0.319).</w:t>
      </w:r>
    </w:p>
    <w:bookmarkEnd w:id="49"/>
    <w:bookmarkStart w:id="56" w:name="Xc7d931bc3eeaa873b188fd34ba113dd66de31ac"/>
    <w:p>
      <w:pPr>
        <w:pStyle w:val="Heading2"/>
      </w:pPr>
      <w:r>
        <w:t xml:space="preserve">3.5 Cross-region transfer on the original study areas</w:t>
      </w:r>
    </w:p>
    <w:p>
      <w:pPr>
        <w:pStyle w:val="FirstParagraph"/>
      </w:pPr>
      <w:r>
        <w:t xml:space="preserve">These results use the original study areas and should be read together with Section 3.4. Values for</w:t>
      </w:r>
      <w:r>
        <w:t xml:space="preserve"> </w:t>
      </w:r>
      <w:r>
        <w:t xml:space="preserve">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were narrower (Section S1.20).</w:t>
      </w:r>
      <w:r>
        <w:t xml:space="preserve"> </w:t>
      </w:r>
      <w:r>
        <w:t xml:space="preserve">Two below-chance directions kept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CaptionedFigure"/>
      </w:pPr>
      <w:r>
        <w:drawing>
          <wp:inline>
            <wp:extent cx="5753100" cy="2150044"/>
            <wp:effectExtent b="0" l="0" r="0" t="0"/>
            <wp:docPr descr="Fig. 4 Cross-region transfer, without and with label-free adaptation. Thermal transfer ROC-AUC for the 20 ordered directions; natural-vegetation population; original study areas. (a) Raw transfer. (b) After region-wise z-scoring. (c) After CORAL. Rows are source regions and columns are target regions (Man. = Manavgat, Bej. = Bejís, Muğ. = Muğla, Evia = North Evia, Mont. = Montiferru). The diagonal is empty. The colour scale is centred on 0.5: orange is below chance and purple is above. Cells below chance are also hatched. In (a), a dot marks a direction whose 10-cell (\approx5 km) target-block interval excludes 0.5 (nine above and six below chance). The ranges are 0.314 to 0.677 (raw), 0.302 to 0.630 (z-score) and 0.406 to 0.624 (CORAL). Adaptation moves the matrix toward chance. Under z-scoring, Bejís\rightarrowManavgat falls further below chance (0.314 to 0.302). Hatching uses the exact value, so three cells printed as 0.50 are hatched differently (CORAL Bejís\rightarrowEvia is 0.4991). Intervals are given in Table S16." title="" id="51" name="Picture"/>
            <a:graphic>
              <a:graphicData uri="http://schemas.openxmlformats.org/drawingml/2006/picture">
                <pic:pic>
                  <pic:nvPicPr>
                    <pic:cNvPr descr="C:/Users/CORSAIR/projects/thermal-twin-main/paper/submission_fire_ecology/_embed/Fig4.png" id="52" name="Picture"/>
                    <pic:cNvPicPr>
                      <a:picLocks noChangeArrowheads="1" noChangeAspect="1"/>
                    </pic:cNvPicPr>
                  </pic:nvPicPr>
                  <pic:blipFill>
                    <a:blip r:embed="rId50"/>
                    <a:stretch>
                      <a:fillRect/>
                    </a:stretch>
                  </pic:blipFill>
                  <pic:spPr bwMode="auto">
                    <a:xfrm>
                      <a:off x="0" y="0"/>
                      <a:ext cx="5753100" cy="2150044"/>
                    </a:xfrm>
                    <a:prstGeom prst="rect">
                      <a:avLst/>
                    </a:prstGeom>
                    <a:noFill/>
                    <a:ln w="9525">
                      <a:noFill/>
                      <a:headEnd/>
                      <a:tailEnd/>
                    </a:ln>
                  </pic:spPr>
                </pic:pic>
              </a:graphicData>
            </a:graphic>
          </wp:inline>
        </w:drawing>
      </w:r>
    </w:p>
    <w:p>
      <w:pPr>
        <w:pStyle w:val="ImageCaption"/>
      </w:pPr>
      <w:r>
        <w:rPr>
          <w:b/>
          <w:bCs/>
        </w:rPr>
        <w:t xml:space="preserve">Fig. 4 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In (a), a dot marks a direction whose 10-cell (</w:t>
      </w:r>
      <m:oMath>
        <m:r>
          <m:rPr>
            <m:sty m:val="p"/>
          </m:rPr>
          <m:t>≈</m:t>
        </m:r>
      </m:oMath>
      <w:r>
        <w:t xml:space="preserve">5 km) target-block interval excludes 0.5 (nine above and six below chance).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In precision terms, transfer was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The median lift over the baseline was 1.18, and seven of twenty directions were below</w:t>
      </w:r>
      <w:r>
        <w:t xml:space="preserve"> </w:t>
      </w:r>
      <w:r>
        <w:t xml:space="preserve">their own baseline; at 5 km blocking, two of these seven had intervals below the baseline, both into</w:t>
      </w:r>
      <w:r>
        <w:t xml:space="preserve"> </w:t>
      </w:r>
      <w:r>
        <w:t xml:space="preserve">Manavgat (Table S11). In map terms, the 10 % of target cells with the highest scores contained on</w:t>
      </w:r>
      <w:r>
        <w:t xml:space="preserve"> </w:t>
      </w:r>
      <w:r>
        <w:t xml:space="preserve">average 10.3 % of the burned cells, which is what a random ranking gives, and eight of twenty</w:t>
      </w:r>
      <w:r>
        <w:t xml:space="preserve"> </w:t>
      </w:r>
      <w:r>
        <w:t xml:space="preserve">directions did worse. 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varied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six resampling units that can be</w:t>
      </w:r>
      <w:r>
        <w:t xml:space="preserve"> </w:t>
      </w:r>
      <w:r>
        <w:t xml:space="preserve">computed on this frame gave intervals that include zero, from [−0.006, +0.022] (clustering by target</w:t>
      </w:r>
      <w:r>
        <w:t xml:space="preserve"> </w:t>
      </w:r>
      <w:r>
        <w:t xml:space="preserve">region) to [−0.028, +0.045] (pigeonhole bootstrap; Sections S1.15 and S1.23). A crossed</w:t>
      </w:r>
      <w:r>
        <w:t xml:space="preserve"> </w:t>
      </w:r>
      <w:r>
        <w:t xml:space="preserve">random-effects model with source and target intercepts gave the widest interval, +0.007 [−0.035,</w:t>
      </w:r>
      <w:r>
        <w:t xml:space="preserve"> </w:t>
      </w:r>
      <w:r>
        <w:t xml:space="preserve">+0.050]; it is more conservative, not an independent confirmation (Table S35).</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which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In the gap decomposition, which was</w:t>
      </w:r>
      <w:r>
        <w:t xml:space="preserve"> </w:t>
      </w:r>
      <w:r>
        <w:t xml:space="preserve">computed before Montiferru was added and covers the twelve directions among the other four regions,</w:t>
      </w:r>
      <w:r>
        <w:t xml:space="preserve"> </w:t>
      </w:r>
      <w:r>
        <w:t xml:space="preserve">seven directions showed negative recovery, five of them with intervals below zero (Section S1.10).</w:t>
      </w:r>
      <w:r>
        <w:t xml:space="preserve"> </w:t>
      </w:r>
      <w:r>
        <w:t xml:space="preserve">A movement toward chance is also what any loss of information would produce: aligning the source</w:t>
      </w:r>
      <w:r>
        <w:t xml:space="preserve"> </w:t>
      </w:r>
      <w:r>
        <w:t xml:space="preserve">with the covariance of a third, unrelated region moved 15 of 20 directions toward chance as well</w:t>
      </w:r>
      <w:r>
        <w:t xml:space="preserve"> </w:t>
      </w:r>
      <w:r>
        <w:t xml:space="preserve">(mean 0.507), and a stronger regularisation (λ = 1, mean 0.512) did not help (Section S1.23). These</w:t>
      </w:r>
      <w:r>
        <w:t xml:space="preserve"> </w:t>
      </w:r>
      <w:r>
        <w:t xml:space="preserve">results therefore do not show that the methods removed a distribution shift.</w:t>
      </w:r>
    </w:p>
    <w:p>
      <w:pPr>
        <w:pStyle w:val="CaptionedFigure"/>
      </w:pPr>
      <w:r>
        <w:drawing>
          <wp:inline>
            <wp:extent cx="5753100" cy="3269913"/>
            <wp:effectExtent b="0" l="0" r="0" t="0"/>
            <wp:docPr descr="Fig. 5 Label-free adaptation moves transfer toward chance. 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A cross marks the result of CORAL alone, which uses no target labels. The grey tick is the target’s within-region reference at 1 km blocking, and the dashed line is chance. Solid blue arrows (five) move toward the reference; dashed orange arrows (seven) move away from it. Eleven of twelve directions end closer to chance. The exception is Manavgat\rightarrowMuğla (0.438 to 0.427). Bejís\rightarrowManavgat is shown as a recovery because CORAL raises it from 0.314 to 0.406; under z-scoring it falls to 0.302 (Fig. 4). The largest loss is Evia\rightarrowManavgat, from 0.677 to 0.417, against a reference of 0.908 (recovered fraction -1.126). No arrow reaches its reference." title="" id="54" name="Picture"/>
            <a:graphic>
              <a:graphicData uri="http://schemas.openxmlformats.org/drawingml/2006/picture">
                <pic:pic>
                  <pic:nvPicPr>
                    <pic:cNvPr descr="C:/Users/CORSAIR/projects/thermal-twin-main/paper/submission_fire_ecology/_embed/Fig5.png" id="55" name="Picture"/>
                    <pic:cNvPicPr>
                      <a:picLocks noChangeArrowheads="1" noChangeAspect="1"/>
                    </pic:cNvPicPr>
                  </pic:nvPicPr>
                  <pic:blipFill>
                    <a:blip r:embed="rId53"/>
                    <a:stretch>
                      <a:fillRect/>
                    </a:stretch>
                  </pic:blipFill>
                  <pic:spPr bwMode="auto">
                    <a:xfrm>
                      <a:off x="0" y="0"/>
                      <a:ext cx="5753100" cy="3269913"/>
                    </a:xfrm>
                    <a:prstGeom prst="rect">
                      <a:avLst/>
                    </a:prstGeom>
                    <a:noFill/>
                    <a:ln w="9525">
                      <a:noFill/>
                      <a:headEnd/>
                      <a:tailEnd/>
                    </a:ln>
                  </pic:spPr>
                </pic:pic>
              </a:graphicData>
            </a:graphic>
          </wp:inline>
        </w:drawing>
      </w:r>
    </w:p>
    <w:p>
      <w:pPr>
        <w:pStyle w:val="ImageCaption"/>
      </w:pPr>
      <w:r>
        <w:rPr>
          <w:b/>
          <w:bCs/>
        </w:rPr>
        <w:t xml:space="preserve">Fig. 5 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A cross marks the result of CORAL alone, which uses no target labels.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bookmarkEnd w:id="56"/>
    <w:bookmarkStart w:id="66" w:name="further-results"/>
    <w:p>
      <w:pPr>
        <w:pStyle w:val="Heading2"/>
      </w:pPr>
      <w:r>
        <w:t xml:space="preserve">3.6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 for</w:t>
      </w:r>
      <w:r>
        <w:t xml:space="preserve"> </w:t>
      </w:r>
      <w:r>
        <w:t xml:space="preserve">the other four at the point estimates (Fig. 6).</w:t>
      </w:r>
    </w:p>
    <w:p>
      <w:pPr>
        <w:pStyle w:val="CaptionedFigure"/>
      </w:pPr>
      <w:r>
        <w:drawing>
          <wp:inline>
            <wp:extent cx="5753100" cy="2362743"/>
            <wp:effectExtent b="0" l="0" r="0" t="0"/>
            <wp:docPr descr="Fig. 6 Pooling the other regions helps one target of five. For each target (row), a model trained on the other four regions together (filled orange circle, with its 95% spatial-block, \approx5 km, bootstrap interval below the row) is compared with the mean of the four single-source models (open grey square) and the best single source (open blue diamond; this choice uses target labels). The grey tick is the within-region ceiling at 1 km block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 title="" id="58" name="Picture"/>
            <a:graphic>
              <a:graphicData uri="http://schemas.openxmlformats.org/drawingml/2006/picture">
                <pic:pic>
                  <pic:nvPicPr>
                    <pic:cNvPr descr="C:/Users/CORSAIR/projects/thermal-twin-main/paper/submission_fire_ecology/_embed/Fig6.png" id="59" name="Picture"/>
                    <pic:cNvPicPr>
                      <a:picLocks noChangeArrowheads="1" noChangeAspect="1"/>
                    </pic:cNvPicPr>
                  </pic:nvPicPr>
                  <pic:blipFill>
                    <a:blip r:embed="rId57"/>
                    <a:stretch>
                      <a:fillRect/>
                    </a:stretch>
                  </pic:blipFill>
                  <pic:spPr bwMode="auto">
                    <a:xfrm>
                      <a:off x="0" y="0"/>
                      <a:ext cx="5753100" cy="2362743"/>
                    </a:xfrm>
                    <a:prstGeom prst="rect">
                      <a:avLst/>
                    </a:prstGeom>
                    <a:noFill/>
                    <a:ln w="9525">
                      <a:noFill/>
                      <a:headEnd/>
                      <a:tailEnd/>
                    </a:ln>
                  </pic:spPr>
                </pic:pic>
              </a:graphicData>
            </a:graphic>
          </wp:inline>
        </w:drawing>
      </w:r>
    </w:p>
    <w:p>
      <w:pPr>
        <w:pStyle w:val="ImageCaption"/>
      </w:pPr>
      <w:r>
        <w:rPr>
          <w:b/>
          <w:bCs/>
        </w:rPr>
        <w:t xml:space="preserve">Fig. 6 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at 1 km blocking,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Feature removal.</w:t>
      </w:r>
      <w:r>
        <w:t xml:space="preserve"> </w:t>
      </w:r>
      <w:r>
        <w:t xml:space="preserve">Removing the two reversing features lowered within-region AUC by 0.076 and</w:t>
      </w:r>
      <w:r>
        <w:t xml:space="preserve"> </w:t>
      </w:r>
      <w:r>
        <w:t xml:space="preserve">changed transfer by +0.014 [−0.018, +0.049] under the primary pair-cluster bootstrap, which includes</w:t>
      </w:r>
      <w:r>
        <w:t xml:space="preserve"> </w:t>
      </w:r>
      <w:r>
        <w:t xml:space="preserve">zero; the pair-t interval plotted in Fig. 7 is +0.014 [−0.028, +0.056] (Section S1.14).</w:t>
      </w:r>
    </w:p>
    <w:p>
      <w:pPr>
        <w:pStyle w:val="CaptionedFigure"/>
      </w:pPr>
      <w:r>
        <w:drawing>
          <wp:inline>
            <wp:extent cx="5753100" cy="2785576"/>
            <wp:effectExtent b="0" l="0" r="0" t="0"/>
            <wp:docPr descr="Fig. 7 Removing the reversing features costs local skill and gives no measurable transfer gain. Mean within-region ROC-AUC over five regions at 1 km blocking (horizontal) against mean transfer ROC-AUC over 20 directions (vertical), for four feature sets: the full thermal set, without the land surface temperature (LST) anomaly, without elevation, and without both. Along the grey path, within-region skill falls (0.896 \rightarrow 0.820) and mean transfer rises (0.527 \rightarrow 0.541). The within-region cost is 0.076 ROC-AUC and is supported in every region. The change in transfer is +0.014 ROC-AUC, with a pair-t interval over ten region pairs of [-0.028, +0.056], which includes zero (the primary pair-cluster bootstrap gives [-0.018, +0.049]). The vertical whisker shows this interval around the full-set transfer level (dotted line)." title="" id="61" name="Picture"/>
            <a:graphic>
              <a:graphicData uri="http://schemas.openxmlformats.org/drawingml/2006/picture">
                <pic:pic>
                  <pic:nvPicPr>
                    <pic:cNvPr descr="C:/Users/CORSAIR/projects/thermal-twin-main/paper/submission_fire_ecology/_embed/Fig7.png" id="62" name="Picture"/>
                    <pic:cNvPicPr>
                      <a:picLocks noChangeArrowheads="1" noChangeAspect="1"/>
                    </pic:cNvPicPr>
                  </pic:nvPicPr>
                  <pic:blipFill>
                    <a:blip r:embed="rId60"/>
                    <a:stretch>
                      <a:fillRect/>
                    </a:stretch>
                  </pic:blipFill>
                  <pic:spPr bwMode="auto">
                    <a:xfrm>
                      <a:off x="0" y="0"/>
                      <a:ext cx="5753100" cy="2785576"/>
                    </a:xfrm>
                    <a:prstGeom prst="rect">
                      <a:avLst/>
                    </a:prstGeom>
                    <a:noFill/>
                    <a:ln w="9525">
                      <a:noFill/>
                      <a:headEnd/>
                      <a:tailEnd/>
                    </a:ln>
                  </pic:spPr>
                </pic:pic>
              </a:graphicData>
            </a:graphic>
          </wp:inline>
        </w:drawing>
      </w:r>
    </w:p>
    <w:p>
      <w:pPr>
        <w:pStyle w:val="ImageCaption"/>
      </w:pPr>
      <w:r>
        <w:rPr>
          <w:b/>
          <w:bCs/>
        </w:rPr>
        <w:t xml:space="preserve">Fig. 7 Removing the reversing features costs local skill and gives no measurable transfer gain.</w:t>
      </w:r>
      <w:r>
        <w:t xml:space="preserve"> </w:t>
      </w:r>
      <w:r>
        <w:t xml:space="preserve">Mean within-region ROC-AUC over five regions at 1 km blocking (horizontal) against mean transfer ROC-AUC over 20 directions (vertical), for four feature sets: the full thermal set, without the land surface temperature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ROC-AUC and is supported in every region. The change in transfer is</w:t>
      </w:r>
      <w:r>
        <w:t xml:space="preserve"> </w:t>
      </w:r>
      <m:oMath>
        <m:r>
          <m:rPr>
            <m:sty m:val="p"/>
          </m:rPr>
          <m:t>+</m:t>
        </m:r>
      </m:oMath>
      <w:r>
        <w:t xml:space="preserve">0.014 ROC-AUC,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primary pair-cluster bootstrap gives [</w:t>
      </w:r>
      <m:oMath>
        <m:r>
          <m:rPr>
            <m:sty m:val="p"/>
          </m:rPr>
          <m:t>−</m:t>
        </m:r>
      </m:oMath>
      <w:r>
        <w:t xml:space="preserve">0.018,</w:t>
      </w:r>
      <w:r>
        <w:t xml:space="preserve"> </w:t>
      </w:r>
      <m:oMath>
        <m:r>
          <m:rPr>
            <m:sty m:val="p"/>
          </m:rPr>
          <m:t>+</m:t>
        </m:r>
      </m:oMath>
      <w:r>
        <w:t xml:space="preserve">0.049]). The vertical whisker shows this interval around the full-set transfer level (dotted line).</w:t>
      </w:r>
    </w:p>
    <w:p>
      <w:pPr>
        <w:pStyle w:val="BodyText"/>
      </w:pPr>
      <w:r>
        <w:rPr>
          <w:b/>
          <w:bCs/>
        </w:rPr>
        <w:t xml:space="preserve">Similarity measures.</w:t>
      </w:r>
      <w:r>
        <w:t xml:space="preserve"> </w:t>
      </w:r>
      <w:r>
        <w:t xml:space="preserve">The twenty similarity measures were not changed after the label correction.</w:t>
      </w:r>
      <w:r>
        <w:t xml:space="preserve"> </w:t>
      </w:r>
      <w:r>
        <w:t xml:space="preserve">On the original study areas, none predicted transfer with an interval that excludes zero (Table S17),</w:t>
      </w:r>
      <w:r>
        <w:t xml:space="preserve"> </w:t>
      </w:r>
      <w:r>
        <w:t xml:space="preserve">and in a permutation test over all 120 orderings of the five regions no measure reached p &lt; 0.10</w:t>
      </w:r>
      <w:r>
        <w:t xml:space="preserve"> </w:t>
      </w:r>
      <w:r>
        <w:t xml:space="preserve">(Section S1.23). Under the original Manavgat label, the two largest conditional measures, the</w:t>
      </w:r>
      <w:r>
        <w:t xml:space="preserve"> </w:t>
      </w:r>
      <w:r>
        <w:t xml:space="preserve">sign-agreement fraction and its cosine, had intervals that excluded zero (+0.84 and +0.81); after the</w:t>
      </w:r>
      <w:r>
        <w:t xml:space="preserve"> </w:t>
      </w:r>
      <w:r>
        <w:t xml:space="preserve">label correction they did not, so this null result depends on the correction (Section S1.21). Only</w:t>
      </w:r>
      <w:r>
        <w:t xml:space="preserve"> </w:t>
      </w:r>
      <w:r>
        <w:t xml:space="preserve">the marginal measures and geographic distance can be computed before a fire, because the others need</w:t>
      </w:r>
      <w:r>
        <w:t xml:space="preserve"> </w:t>
      </w:r>
      <w:r>
        <w:t xml:space="preserve">burned labels in both regions, and none of them predicted transfer (Section S1.21). The contrast pairs</w:t>
      </w:r>
      <w:r>
        <w:t xml:space="preserve"> </w:t>
      </w:r>
      <w:r>
        <w:t xml:space="preserve">illustrate this at the point estimates (Fig. 8). Manavgat and Muğla have the highest niche</w:t>
      </w:r>
      <w:r>
        <w:t xml:space="preserve"> </w:t>
      </w:r>
      <w:r>
        <w:t xml:space="preserve">overlap in the cohort (mean one-dimensional Schoener’s</w:t>
      </w:r>
      <w:r>
        <w:t xml:space="preserve"> </w:t>
      </w:r>
      <w:r>
        <w:rPr>
          <w:i/>
          <w:iCs/>
        </w:rPr>
        <w:t xml:space="preserve">D</w:t>
      </w:r>
      <w:r>
        <w:t xml:space="preserve"> </w:t>
      </w:r>
      <w:r>
        <w:t xml:space="preserve">= 0.80), but transfer was below chance in</w:t>
      </w:r>
      <w:r>
        <w:t xml:space="preserve"> </w:t>
      </w:r>
      <w:r>
        <w:t xml:space="preserve">both directions, at 0.438 and 0.345. Conversely, Bejís and Montiferru have the lowest overlap</w:t>
      </w:r>
      <w:r>
        <w:t xml:space="preserve"> </w:t>
      </w:r>
      <w:r>
        <w:t xml:space="preserve">(</w:t>
      </w:r>
      <w:r>
        <w:rPr>
          <w:i/>
          <w:iCs/>
        </w:rPr>
        <w:t xml:space="preserve">D</w:t>
      </w:r>
      <w:r>
        <w:t xml:space="preserve"> </w:t>
      </w:r>
      <w:r>
        <w:t xml:space="preserve">= 0.48), but transfer was above chance in both directions, at 0.594 and 0.548. At 5 km blocking</w:t>
      </w:r>
      <w:r>
        <w:t xml:space="preserve"> </w:t>
      </w:r>
      <w:r>
        <w:t xml:space="preserve">only Muğla to Manavgat kept interval support (Section S1.16).</w:t>
      </w:r>
    </w:p>
    <w:p>
      <w:pPr>
        <w:pStyle w:val="CaptionedFigure"/>
      </w:pPr>
      <w:r>
        <w:drawing>
          <wp:inline>
            <wp:extent cx="5753100" cy="3087966"/>
            <wp:effectExtent b="0" l="0" r="0" t="0"/>
            <wp:docPr descr="Fig. 8 The contrast pairs. (a) Manavgat and Muğla have the highest niche overlap (mean one-dimensional Schoener’s D, \bar{D}=0.80; rank 1 of 10 on all five overlap measures). Transfer is below chance in both directions at the point estimates (0.438 and 0.345). (b) Bejís and Montiferru have the lowest overlap (\bar{D}=0.48, rank 10). Transfer is above chance in both directions (0.594 and 0.548). Arrows run from 0.5 to the signed univariate AUC of each feature in each region; a value above 0.5 means that the feature is higher on burned cells. A filled arrowhead marks a 95% spatial-block (10-cell, \approx5 km) bootstrap interval that excludes 0.5; an open arrowhead marks one that does not. Solid blue is the first region and dashed orange the second. Shaded rows mark features with opposite signs in the two regions. Side bars give Schoener’s D per feature. In (a), six features are supported in both regions and all six have opposite signs; signs agree on 2 of 9 features. In (b), no feature is supported in both regions, and signs agree on 7 of 9. At 1 km blocking all four directions have interval support; at 5 km only Muğla\rightarrowManavgat has, so the contrast is stated at the point estimates." title="" id="64" name="Picture"/>
            <a:graphic>
              <a:graphicData uri="http://schemas.openxmlformats.org/drawingml/2006/picture">
                <pic:pic>
                  <pic:nvPicPr>
                    <pic:cNvPr descr="C:/Users/CORSAIR/projects/thermal-twin-main/paper/submission_fire_ecology/_embed/Fig8.png" id="65" name="Picture"/>
                    <pic:cNvPicPr>
                      <a:picLocks noChangeArrowheads="1" noChangeAspect="1"/>
                    </pic:cNvPicPr>
                  </pic:nvPicPr>
                  <pic:blipFill>
                    <a:blip r:embed="rId63"/>
                    <a:stretch>
                      <a:fillRect/>
                    </a:stretch>
                  </pic:blipFill>
                  <pic:spPr bwMode="auto">
                    <a:xfrm>
                      <a:off x="0" y="0"/>
                      <a:ext cx="5753100" cy="3087966"/>
                    </a:xfrm>
                    <a:prstGeom prst="rect">
                      <a:avLst/>
                    </a:prstGeom>
                    <a:noFill/>
                    <a:ln w="9525">
                      <a:noFill/>
                      <a:headEnd/>
                      <a:tailEnd/>
                    </a:ln>
                  </pic:spPr>
                </pic:pic>
              </a:graphicData>
            </a:graphic>
          </wp:inline>
        </w:drawing>
      </w:r>
    </w:p>
    <w:p>
      <w:pPr>
        <w:pStyle w:val="ImageCaption"/>
      </w:pPr>
      <w:r>
        <w:rPr>
          <w:b/>
          <w:bCs/>
        </w:rPr>
        <w:t xml:space="preserve">Fig. 8 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value above 0.5 means that the feature is higher on burned cells.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66"/>
    <w:bookmarkEnd w:id="67"/>
    <w:bookmarkStart w:id="74" w:name="discussion"/>
    <w:p>
      <w:pPr>
        <w:pStyle w:val="Heading1"/>
      </w:pPr>
      <w:r>
        <w:t xml:space="preserve">4 Discussion</w:t>
      </w:r>
    </w:p>
    <w:bookmarkStart w:id="68" w:name="the-three-findings-together"/>
    <w:p>
      <w:pPr>
        <w:pStyle w:val="Heading2"/>
      </w:pPr>
      <w:r>
        <w:t xml:space="preserve">4.1 The three findings together</w:t>
      </w:r>
    </w:p>
    <w:p>
      <w:pPr>
        <w:pStyle w:val="FirstParagraph"/>
      </w:pPr>
      <w:r>
        <w:t xml:space="preserve">The first finding sets the size of the second. When the study areas were made comparable, three</w:t>
      </w:r>
      <w:r>
        <w:t xml:space="preserve"> </w:t>
      </w:r>
      <w:r>
        <w:t xml:space="preserve">between-region results changed (Section 3.4): mean transfer, which elevation reversals have interval</w:t>
      </w:r>
      <w:r>
        <w:t xml:space="preserve"> </w:t>
      </w:r>
      <w:r>
        <w:t xml:space="preserve">support, and the correlation of one similarity measure with transfer. Two results remained: transfer</w:t>
      </w:r>
      <w:r>
        <w:t xml:space="preserve"> </w:t>
      </w:r>
      <w:r>
        <w:t xml:space="preserve">stayed well below within-region skill, and the elevation association of Manavgat stayed reversed</w:t>
      </w:r>
      <w:r>
        <w:t xml:space="preserve"> </w:t>
      </w:r>
      <w:r>
        <w:t xml:space="preserve">against other regions. The supported pairs, however, changed between the frames, and none survived</w:t>
      </w:r>
      <w:r>
        <w:t xml:space="preserve"> </w:t>
      </w:r>
      <w:r>
        <w:t xml:space="preserve">multiplicity correction. The third finding closes an obvious way around the second. If transfer</w:t>
      </w:r>
      <w:r>
        <w:t xml:space="preserve"> </w:t>
      </w:r>
      <w:r>
        <w:t xml:space="preserve">cannot be assumed, it might still be predicted from the similarity of two regions, but none of the</w:t>
      </w:r>
      <w:r>
        <w:t xml:space="preserve"> </w:t>
      </w:r>
      <w:r>
        <w:t xml:space="preserve">twenty measures did this on the original study areas.</w:t>
      </w:r>
    </w:p>
    <w:bookmarkEnd w:id="68"/>
    <w:bookmarkStart w:id="69" w:name="what-the-within-region-score-measures"/>
    <w:p>
      <w:pPr>
        <w:pStyle w:val="Heading2"/>
      </w:pPr>
      <w:r>
        <w:t xml:space="preserve">4.2 What the within-region score measures</w:t>
      </w:r>
    </w:p>
    <w:p>
      <w:pPr>
        <w:pStyle w:val="FirstParagraph"/>
      </w:pPr>
      <w:r>
        <w:t xml:space="preserve">The thermal gain within regions was robust, with one exception. It was supported in every region</w:t>
      </w:r>
      <w:r>
        <w:t xml:space="preserve"> </w:t>
      </w:r>
      <w:r>
        <w:t xml:space="preserve">under blocked validation and with an earlier predictor window, and it stayed positive at the point</w:t>
      </w:r>
      <w:r>
        <w:t xml:space="preserve"> </w:t>
      </w:r>
      <w:r>
        <w:t xml:space="preserve">estimates without the coordinate-informed channels (Section S1.7) and with VNP64A1 labels; once</w:t>
      </w:r>
      <w:r>
        <w:t xml:space="preserve"> </w:t>
      </w:r>
      <w:r>
        <w:t xml:space="preserve">terrain aspect was added, however, the gain in Montiferru was no longer supported (Section 3.2). On the scar frame,</w:t>
      </w:r>
      <w:r>
        <w:t xml:space="preserve"> </w:t>
      </w:r>
      <w:r>
        <w:t xml:space="preserve">however, the same gain fell to +0.021 and was not established, and withholding the scar did not</w:t>
      </w:r>
      <w:r>
        <w:t xml:space="preserve"> </w:t>
      </w:r>
      <w:r>
        <w:t xml:space="preserve">change it. The fall is therefore consistent with an effect of the scored cells rather than of the</w:t>
      </w:r>
      <w:r>
        <w:t xml:space="preserve"> </w:t>
      </w:r>
      <w:r>
        <w:t xml:space="preserve">held-out cells, although the data cannot exclude the latter (Section 3.3).</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interpolation, how well a model fills gaps inside an</w:t>
      </w:r>
      <w:r>
        <w:t xml:space="preserve"> </w:t>
      </w:r>
      <w:r>
        <w:t xml:space="preserve">observed fire season, whereas transfer is extrapolation to a new one. Part of the transfer shortfall</w:t>
      </w:r>
      <w:r>
        <w:t xml:space="preserve"> </w:t>
      </w:r>
      <w:r>
        <w:t xml:space="preserve">is thus a matter of distance, and a model of this kind is best described as having short-range skill.</w:t>
      </w:r>
    </w:p>
    <w:p>
      <w:pPr>
        <w:pStyle w:val="BodyText"/>
      </w:pPr>
      <w:r>
        <w:t xml:space="preserve">Each region also contributed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 before</w:t>
      </w:r>
      <w:r>
        <w:t xml:space="preserve"> </w:t>
      </w:r>
      <w:r>
        <w:t xml:space="preserve">the fire. The shortfall can therefore not be attributed to the region rather than to the event. A</w:t>
      </w:r>
      <w:r>
        <w:t xml:space="preserve"> </w:t>
      </w:r>
      <w:r>
        <w:t xml:space="preserve">second Muğla fire was examined for this purpose, but that comparison is confounded by overlapping</w:t>
      </w:r>
      <w:r>
        <w:t xml:space="preserve"> </w:t>
      </w:r>
      <w:r>
        <w:t xml:space="preserve">populations and the study area and is reported only in Section S1.13.</w:t>
      </w:r>
    </w:p>
    <w:bookmarkEnd w:id="69"/>
    <w:bookmarkStart w:id="70" w:name="the-two-interventions"/>
    <w:p>
      <w:pPr>
        <w:pStyle w:val="Heading2"/>
      </w:pPr>
      <w:r>
        <w:t xml:space="preserve">4.3 The two interventions</w:t>
      </w:r>
    </w:p>
    <w:p>
      <w:pPr>
        <w:pStyle w:val="FirstParagraph"/>
      </w:pPr>
      <w:r>
        <w:t xml:space="preserve">Pooling four source regions helped only Evia, and for all five targets it stayed well below the</w:t>
      </w:r>
      <w:r>
        <w:t xml:space="preserve"> </w:t>
      </w:r>
      <w:r>
        <w:t xml:space="preserve">within-region ceiling (Section S1.14). Removing the two reversing predictors lowered within-region</w:t>
      </w:r>
      <w:r>
        <w:t xml:space="preserve"> </w:t>
      </w:r>
      <w:r>
        <w:t xml:space="preserve">skill by 0.076, most of it from elevation, with interval support in every region, and changed mean</w:t>
      </w:r>
      <w:r>
        <w:t xml:space="preserve"> </w:t>
      </w:r>
      <w:r>
        <w:t xml:space="preserve">transfer by +0.014 [−0.018, +0.049] under the primary pair-cluster bootstrap (the pair-t interval</w:t>
      </w:r>
      <w:r>
        <w:t xml:space="preserve"> </w:t>
      </w:r>
      <w:r>
        <w:t xml:space="preserve">plotted in Fig. 7 is +0.014 [−0.028, +0.056]). These two numbers should not be read as an exchange of</w:t>
      </w:r>
      <w:r>
        <w:t xml:space="preserve"> </w:t>
      </w:r>
      <w:r>
        <w:t xml:space="preserve">local skill for transfer. The thermal contribution to transfer is +0.007, removal returns +0.014, and</w:t>
      </w:r>
      <w:r>
        <w:t xml:space="preserve"> </w:t>
      </w:r>
      <w:r>
        <w:t xml:space="preserve">both intervals include zero, so a local cost is measured but no gain in transfer.</w:t>
      </w:r>
    </w:p>
    <w:bookmarkEnd w:id="70"/>
    <w:bookmarkStart w:id="71" w:name="what-the-thermal-predictors-measured"/>
    <w:p>
      <w:pPr>
        <w:pStyle w:val="Heading2"/>
      </w:pPr>
      <w:r>
        <w:t xml:space="preserve">4.4 What the thermal predictors measured</w:t>
      </w:r>
    </w:p>
    <w:p>
      <w:pPr>
        <w:pStyle w:val="FirstParagraph"/>
      </w:pPr>
      <w:r>
        <w:t xml:space="preserve">The thermal predictors were chosen as a measure of pre-fire dryness, but they did not behave as one.</w:t>
      </w:r>
      <w:r>
        <w:t xml:space="preserve"> </w:t>
      </w:r>
      <w:r>
        <w:t xml:space="preserve">At the point estimates, hotter surfaces burned less in four of five regions, and in Manavgat once</w:t>
      </w:r>
      <w:r>
        <w:t xml:space="preserve"> </w:t>
      </w:r>
      <w:r>
        <w:t xml:space="preserve">elevation was held; the Manavgat result has interval support only on the collar (Section 3.4). In</w:t>
      </w:r>
      <w:r>
        <w:t xml:space="preserve"> </w:t>
      </w:r>
      <w:r>
        <w:t xml:space="preserve">summer, land surface temperature is strongly shaped by canopy cover, exposed soil and terrain. Dense,</w:t>
      </w:r>
      <w:r>
        <w:t xml:space="preserve"> </w:t>
      </w:r>
      <w:r>
        <w:t xml:space="preserve">cooler vegetation carries more fuel, so a negative association is consistent with LST acting as a</w:t>
      </w:r>
      <w:r>
        <w:t xml:space="preserve"> </w:t>
      </w:r>
      <w:r>
        <w:t xml:space="preserve">land-surface descriptor rather than as a dryness index. In Montiferru, most of the within-region</w:t>
      </w:r>
      <w:r>
        <w:t xml:space="preserve"> </w:t>
      </w:r>
      <w:r>
        <w:t xml:space="preserve">thermal gain disappeared once terrain aspect was added, which fits this reading. Descriptively,</w:t>
      </w:r>
      <w:r>
        <w:t xml:space="preserve"> </w:t>
      </w:r>
      <w:r>
        <w:t xml:space="preserve">across only five regions, the mean LST anomaly also followed the ERA5-Land</w:t>
      </w:r>
      <w:r>
        <w:t xml:space="preserve"> </w:t>
      </w:r>
      <w:r>
        <w:t xml:space="preserve">(Muñoz-Sabater et al. 2021)</w:t>
      </w:r>
      <w:r>
        <w:t xml:space="preserve"> </w:t>
      </w:r>
      <w:r>
        <w:t xml:space="preserve">air-temperature anomaly of the predictor window, but not its relative-humidity anomaly (Section</w:t>
      </w:r>
      <w:r>
        <w:t xml:space="preserve"> </w:t>
      </w:r>
      <w:r>
        <w:t xml:space="preserve">S1.23). The normalised channels did not transfer better than the absolute ones either (Section S1.6).</w:t>
      </w:r>
      <w:r>
        <w:t xml:space="preserve"> </w:t>
      </w:r>
      <w:r>
        <w:t xml:space="preserve">In Mediterranean ecosystems, the link between fire and climate also depends on fuel and productivity</w:t>
      </w:r>
      <w:r>
        <w:t xml:space="preserve"> </w:t>
      </w:r>
      <w:r>
        <w:t xml:space="preserve">(Pausas and Paula 2012)</w:t>
      </w:r>
      <w:r>
        <w:t xml:space="preserve">, so the sign of a surface predictor may differ between landscapes. Whether a fire</w:t>
      </w:r>
      <w:r>
        <w:t xml:space="preserve"> </w:t>
      </w:r>
      <w:r>
        <w:t xml:space="preserve">becomes very large depends mostly on fire weather acting on drought-stressed fuel</w:t>
      </w:r>
      <w:r>
        <w:t xml:space="preserve"> </w:t>
      </w:r>
      <w:r>
        <w:t xml:space="preserve">(Ghasemiazma et al. 2026)</w:t>
      </w:r>
      <w:r>
        <w:t xml:space="preserve">,</w:t>
      </w:r>
      <w:r>
        <w:t xml:space="preserve"> </w:t>
      </w:r>
      <w:r>
        <w:t xml:space="preserve">which no surface predictor measured before the fire can carry; the surface component tested here</w:t>
      </w:r>
      <w:r>
        <w:t xml:space="preserve"> </w:t>
      </w:r>
      <w:r>
        <w:t xml:space="preserve">would complement, not replace, weather-driven danger rating</w:t>
      </w:r>
      <w:r>
        <w:t xml:space="preserve"> </w:t>
      </w:r>
      <w:r>
        <w:t xml:space="preserve">(Vitolo et al. 2020)</w:t>
      </w:r>
      <w:r>
        <w:t xml:space="preserve">, as in products that combine</w:t>
      </w:r>
      <w:r>
        <w:t xml:space="preserve"> </w:t>
      </w:r>
      <w:r>
        <w:t xml:space="preserve">susceptibility with pre-season weather</w:t>
      </w:r>
      <w:r>
        <w:t xml:space="preserve"> </w:t>
      </w:r>
      <w:r>
        <w:t xml:space="preserve">(Bergonse et al. 2021)</w:t>
      </w:r>
      <w:r>
        <w:t xml:space="preserve">.</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Their predictors are static attributes of a place, and their response is a record of</w:t>
      </w:r>
      <w:r>
        <w:t xml:space="preserve"> </w:t>
      </w:r>
      <w:r>
        <w:t xml:space="preserve">human-caused ignitions; here the predictors describe the surface in one season, and the response is</w:t>
      </w:r>
      <w:r>
        <w:t xml:space="preserve"> </w:t>
      </w:r>
      <w:r>
        <w:t xml:space="preserve">the footprint of one fire season per region. These two differences cannot be separated in this</w:t>
      </w:r>
      <w:r>
        <w:t xml:space="preserve"> </w:t>
      </w:r>
      <w:r>
        <w:t xml:space="preserve">comparison, but in this cohort the static baseline also did not transfer (mean 0.519), so predictor</w:t>
      </w:r>
      <w:r>
        <w:t xml:space="preserve"> </w:t>
      </w:r>
      <w:r>
        <w:t xml:space="preserve">class alone does not explain the difference.</w:t>
      </w:r>
    </w:p>
    <w:bookmarkEnd w:id="71"/>
    <w:bookmarkStart w:id="72" w:name="implications-for-fire-management"/>
    <w:p>
      <w:pPr>
        <w:pStyle w:val="Heading2"/>
      </w:pPr>
      <w:r>
        <w:t xml:space="preserve">4.5 Implications for fire management</w:t>
      </w:r>
    </w:p>
    <w:p>
      <w:pPr>
        <w:pStyle w:val="FirstParagraph"/>
      </w:pPr>
      <w:r>
        <w:t xml:space="preserve">Region-wide susceptibility maps serve prevention planning, and four changes in practice are</w:t>
      </w:r>
      <w:r>
        <w:t xml:space="preserve"> </w:t>
      </w:r>
      <w:r>
        <w:t xml:space="preserve">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On average, a model</w:t>
      </w:r>
      <w:r>
        <w:t xml:space="preserve"> </w:t>
      </w:r>
      <w:r>
        <w:t xml:space="preserve">moved to a new region did not usefully rank the burned cells there: its highest-scored 10 % of cells</w:t>
      </w:r>
      <w:r>
        <w:t xml:space="preserve"> </w:t>
      </w:r>
      <w:r>
        <w:t xml:space="preserve">contained about as many burned cells as a random choice, although the best direction reached 27 %</w:t>
      </w:r>
      <w:r>
        <w:t xml:space="preserve"> </w:t>
      </w:r>
      <w:r>
        <w:t xml:space="preserve">(Table S35). Where a burned-area record of earlier fires exists for the target region, it offers a way</w:t>
      </w:r>
      <w:r>
        <w:t xml:space="preserve"> </w:t>
      </w:r>
      <w:r>
        <w:t xml:space="preserve">to 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 here</w:t>
      </w:r>
      <w:r>
        <w:t xml:space="preserve"> </w:t>
      </w:r>
      <w:r>
        <w:t xml:space="preserve">were not comparable, and this changed three between-region results (Section 3.4). An accessible-area</w:t>
      </w:r>
      <w:r>
        <w:t xml:space="preserve"> </w:t>
      </w:r>
      <w:r>
        <w:t xml:space="preserve">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3.5). A reversed association cannot be seen</w:t>
      </w:r>
      <w:r>
        <w:t xml:space="preserve"> </w:t>
      </w:r>
      <w:r>
        <w:t xml:space="preserve">without target labels, so aligning the predictor distributions cannot correct it.</w:t>
      </w:r>
    </w:p>
    <w:bookmarkEnd w:id="72"/>
    <w:bookmarkStart w:id="73" w:name="limitations"/>
    <w:p>
      <w:pPr>
        <w:pStyle w:val="Heading2"/>
      </w:pPr>
      <w:r>
        <w:t xml:space="preserve">4.6 Limitations</w:t>
      </w:r>
    </w:p>
    <w:p>
      <w:pPr>
        <w:pStyle w:val="FirstParagraph"/>
      </w:pPr>
      <w:r>
        <w:t xml:space="preserve">The limitations are given in full in Section S3.5. The following ones affect the conclusions.</w:t>
      </w:r>
    </w:p>
    <w:p>
      <w:pPr>
        <w:pStyle w:val="Compact"/>
        <w:numPr>
          <w:ilvl w:val="0"/>
          <w:numId w:val="1002"/>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2"/>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3.4; S3.5(ix)).</w:t>
      </w:r>
    </w:p>
    <w:p>
      <w:pPr>
        <w:pStyle w:val="Compact"/>
        <w:numPr>
          <w:ilvl w:val="0"/>
          <w:numId w:val="1002"/>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3.3).</w:t>
      </w:r>
    </w:p>
    <w:p>
      <w:pPr>
        <w:pStyle w:val="Compact"/>
        <w:numPr>
          <w:ilvl w:val="0"/>
          <w:numId w:val="1002"/>
        </w:numPr>
      </w:pPr>
      <w:r>
        <w:rPr>
          <w:b/>
          <w:bCs/>
        </w:rPr>
        <w:t xml:space="preserve">Point estimates depend on the software version and the seed.</w:t>
      </w:r>
      <w:r>
        <w:t xml:space="preserve"> </w:t>
      </w:r>
      <w:r>
        <w:t xml:space="preserve">Single directions moved by up to</w:t>
      </w:r>
      <w:r>
        <w:t xml:space="preserve"> </w:t>
      </w:r>
      <w:r>
        <w:t xml:space="preserve">0.047 under another scikit-learn version and by up to 0.049 across ten random-forest seeds, and</w:t>
      </w:r>
      <w:r>
        <w:t xml:space="preserve"> </w:t>
      </w:r>
      <w:r>
        <w:t xml:space="preserve">direction-level intervals do not include this variation (Section 2.13; S1.23; S3.5(vi)).</w:t>
      </w:r>
    </w:p>
    <w:p>
      <w:pPr>
        <w:pStyle w:val="Compact"/>
        <w:numPr>
          <w:ilvl w:val="0"/>
          <w:numId w:val="1002"/>
        </w:numPr>
      </w:pPr>
      <w:r>
        <w:rPr>
          <w:b/>
          <w:bCs/>
        </w:rPr>
        <w:t xml:space="preserve">Spatial dependence reaches beyond the 5 km blocks,</w:t>
      </w:r>
      <w:r>
        <w:t xml:space="preserve"> </w:t>
      </w:r>
      <w:r>
        <w:t xml:space="preserve">so intervals at 5 km blocking may be too</w:t>
      </w:r>
      <w:r>
        <w:t xml:space="preserve"> </w:t>
      </w:r>
      <w:r>
        <w:t xml:space="preserve">narrow, especially in North Evia (Section 2.7; S1.23).</w:t>
      </w:r>
    </w:p>
    <w:p>
      <w:pPr>
        <w:pStyle w:val="Compact"/>
        <w:numPr>
          <w:ilvl w:val="0"/>
          <w:numId w:val="1002"/>
        </w:numPr>
      </w:pPr>
      <w:r>
        <w:rPr>
          <w:b/>
          <w:bCs/>
        </w:rPr>
        <w:t xml:space="preserve">The thermal contribution to transfer depends on the estimator.</w:t>
      </w:r>
      <w:r>
        <w:t xml:space="preserve"> </w:t>
      </w:r>
      <w:r>
        <w:t xml:space="preserve">It was +0.007 for the random</w:t>
      </w:r>
      <w:r>
        <w:t xml:space="preserve"> </w:t>
      </w:r>
      <w:r>
        <w:t xml:space="preserve">forest used here but negative for a shallower forest, a forest with large leaves and a penalised</w:t>
      </w:r>
      <w:r>
        <w:t xml:space="preserve"> </w:t>
      </w:r>
      <w:r>
        <w:t xml:space="preserve">logistic regression (−0.011 to −0.021, point estimates only; Table S25).</w:t>
      </w:r>
    </w:p>
    <w:p>
      <w:pPr>
        <w:pStyle w:val="Compact"/>
        <w:numPr>
          <w:ilvl w:val="0"/>
          <w:numId w:val="1002"/>
        </w:numPr>
      </w:pPr>
      <w:r>
        <w:rPr>
          <w:b/>
          <w:bCs/>
        </w:rPr>
        <w:t xml:space="preserve">The similarity tests rest on ten independent region pairs,</w:t>
      </w:r>
      <w:r>
        <w:t xml:space="preserve"> </w:t>
      </w:r>
      <w:r>
        <w:t xml:space="preserve">so both positive and negative</w:t>
      </w:r>
      <w:r>
        <w:t xml:space="preserve"> </w:t>
      </w:r>
      <w:r>
        <w:t xml:space="preserve">results have low power, and measures based on interval support are unstable: five to six interval</w:t>
      </w:r>
      <w:r>
        <w:t xml:space="preserve"> </w:t>
      </w:r>
      <w:r>
        <w:t xml:space="preserve">bounds lie within 0.01 of 0.5, and one changed flag moved a correlation by about 0.2 (Section S1.20;</w:t>
      </w:r>
      <w:r>
        <w:t xml:space="preserve"> </w:t>
      </w:r>
      <w:r>
        <w:t xml:space="preserve">S3.5(viii), S3.5(xiii)).</w:t>
      </w:r>
    </w:p>
    <w:p>
      <w:pPr>
        <w:pStyle w:val="Compact"/>
        <w:numPr>
          <w:ilvl w:val="0"/>
          <w:numId w:val="1002"/>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2.10).</w:t>
      </w:r>
    </w:p>
    <w:p>
      <w:pPr>
        <w:pStyle w:val="Compact"/>
        <w:numPr>
          <w:ilvl w:val="0"/>
          <w:numId w:val="1002"/>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through elevation and aspect only,</w:t>
      </w:r>
      <w:r>
        <w:t xml:space="preserve"> </w:t>
      </w:r>
      <w:r>
        <w:t xml:space="preserve">and in Manavgat burn timing and elevation are confounded (S3.5(vii), S3.5(xi)).</w:t>
      </w:r>
    </w:p>
    <w:p>
      <w:pPr>
        <w:pStyle w:val="Compact"/>
        <w:numPr>
          <w:ilvl w:val="0"/>
          <w:numId w:val="1002"/>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With VIIRS</w:t>
      </w:r>
      <w:r>
        <w:t xml:space="preserve"> </w:t>
      </w:r>
      <w:r>
        <w:t xml:space="preserve">VNP64A1 labels</w:t>
      </w:r>
      <w:r>
        <w:t xml:space="preserve"> </w:t>
      </w:r>
      <w:r>
        <w:t xml:space="preserve">(Giglio 2024)</w:t>
      </w:r>
      <w:r>
        <w:t xml:space="preserve">, which overlap MCD64A1 by 87 % to 98 %, no conclusion changed; independent</w:t>
      </w:r>
      <w:r>
        <w:t xml:space="preserve"> </w:t>
      </w:r>
      <w:r>
        <w:t xml:space="preserve">fire perimeters were not used (S1.23; S3.5(iii)).</w:t>
      </w:r>
    </w:p>
    <w:p>
      <w:pPr>
        <w:pStyle w:val="Compact"/>
        <w:numPr>
          <w:ilvl w:val="0"/>
          <w:numId w:val="1002"/>
        </w:numPr>
      </w:pPr>
      <w:r>
        <w:rPr>
          <w:b/>
          <w:bCs/>
        </w:rPr>
        <w:t xml:space="preserve">The land-cover map is post-fire for four events.</w:t>
      </w:r>
      <w:r>
        <w:t xml:space="preserve"> </w:t>
      </w:r>
      <w:r>
        <w:t xml:space="preserve">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(Section 2.4; S1.23).</w:t>
      </w:r>
    </w:p>
    <w:p>
      <w:pPr>
        <w:pStyle w:val="Compact"/>
        <w:numPr>
          <w:ilvl w:val="0"/>
          <w:numId w:val="1002"/>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73"/>
    <w:bookmarkEnd w:id="74"/>
    <w:bookmarkStart w:id="75" w:name="conclusions"/>
    <w:p>
      <w:pPr>
        <w:pStyle w:val="Heading1"/>
      </w:pPr>
      <w:r>
        <w:t xml:space="preserve">5 Conclusions</w:t>
      </w:r>
    </w:p>
    <w:p>
      <w:pPr>
        <w:pStyle w:val="FirstParagraph"/>
      </w:pPr>
      <w:r>
        <w:t xml:space="preserve">We tested whether the skill of pre-fire thermal predictors transfers between five Mediterranean</w:t>
      </w:r>
      <w:r>
        <w:t xml:space="preserve"> </w:t>
      </w:r>
      <w:r>
        <w:t xml:space="preserve">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study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Fire managers should therefore measure transfer skill in the target region before a borrowed model</w:t>
      </w:r>
      <w:r>
        <w:t xml:space="preserve"> </w:t>
      </w:r>
      <w:r>
        <w:t xml:space="preserve">is used for prevention planning, and fix the study area by a stated rule before the predictors are</w:t>
      </w:r>
      <w:r>
        <w:t xml:space="preserve"> </w:t>
      </w:r>
      <w:r>
        <w:t xml:space="preserve">computed. Several fire seasons per region are needed to separate region effects from event effects.</w:t>
      </w:r>
    </w:p>
    <w:bookmarkEnd w:id="75"/>
    <w:bookmarkStart w:id="76" w:name="abbreviations"/>
    <w:p>
      <w:pPr>
        <w:pStyle w:val="Heading1"/>
      </w:pPr>
      <w:r>
        <w:t xml:space="preserve">Abbreviations</w:t>
      </w:r>
    </w:p>
    <w:p>
      <w:pPr>
        <w:pStyle w:val="FirstParagraph"/>
      </w:pPr>
      <w:r>
        <w:t xml:space="preserve">AUC: Area under the curve; CI: Confidence interval; CORAL: Correlation alignment; ESA: European Space Agency; LST: Land surface temperature; MODIS: Moderate Resolution Imaging Spectroradiometer; NDVI: Normalised difference vegetation index; ROC: Receiver operating characteristic; TVDI: Temperature-Vegetation Dryness Index; VIIRS: Visible Infrared Imaging Radiometer Suite</w:t>
      </w:r>
    </w:p>
    <w:bookmarkEnd w:id="76"/>
    <w:bookmarkStart w:id="77" w:name="supplementary-information"/>
    <w:p>
      <w:pPr>
        <w:pStyle w:val="Heading1"/>
      </w:pPr>
      <w:r>
        <w:t xml:space="preserve">Supplementary Information</w:t>
      </w:r>
    </w:p>
    <w:p>
      <w:pPr>
        <w:pStyle w:val="FirstParagraph"/>
      </w:pPr>
      <w:r>
        <w:t xml:space="preserve">Additional file 1 (Additional_file_1.pdf; PDF). Supplementary Material: sensitivity analyses and detail</w:t>
      </w:r>
      <w:r>
        <w:t xml:space="preserve"> </w:t>
      </w:r>
      <w:r>
        <w:t xml:space="preserve">(Sections S1.1 to S1.23), supporting tables (Section S2), protocol detail and the full list of limitations</w:t>
      </w:r>
      <w:r>
        <w:t xml:space="preserve"> </w:t>
      </w:r>
      <w:r>
        <w:t xml:space="preserve">(Section S3), the target-label recovery curve (Section S4), Fig. S1 and Tables S1 to S36, each with</w:t>
      </w:r>
      <w:r>
        <w:t xml:space="preserve"> </w:t>
      </w:r>
      <w:r>
        <w:t xml:space="preserve">the source files of its values.</w:t>
      </w:r>
    </w:p>
    <w:bookmarkEnd w:id="77"/>
    <w:bookmarkStart w:id="78"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 Claude (Anthropic; Opus-family models, July to October 2026) was used to write analysis and figure code, to check reported numbers, and to edit, restructure and shorten the text. The authors reviewed all of its output, made every scientific decision and take full responsibility for the content of the publication.</w:t>
      </w:r>
    </w:p>
    <w:bookmarkEnd w:id="78"/>
    <w:bookmarkStart w:id="79" w:name="author-contributions"/>
    <w:p>
      <w:pPr>
        <w:pStyle w:val="Heading1"/>
      </w:pPr>
      <w:r>
        <w:t xml:space="preserve">Author contributions</w:t>
      </w:r>
    </w:p>
    <w:p>
      <w:pPr>
        <w:pStyle w:val="FirstParagraph"/>
      </w:pPr>
      <w:r>
        <w:t xml:space="preserve">EM: Software, Data curation, Investigation, Validation, Writing (review and editing). YEC: Conceptualization, Methodology, Formal analysis, Investigation, Visualization, Writing (original draft), Writing (review and editing), Supervision, Project administration, Funding acquisition. Both authors read and approved the final manuscript.</w:t>
      </w:r>
    </w:p>
    <w:bookmarkEnd w:id="79"/>
    <w:bookmarkStart w:id="83" w:name="data-availability"/>
    <w:p>
      <w:pPr>
        <w:pStyle w:val="Heading1"/>
      </w:pPr>
      <w:r>
        <w:t xml:space="preserve">Data availability</w:t>
      </w:r>
    </w:p>
    <w:p>
      <w:pPr>
        <w:pStyle w:val="FirstParagraph"/>
      </w:pPr>
      <w:r>
        <w:t xml:space="preserve">The datasets supporting the conclusions of this article are available in the Zenodo repository,</w:t>
      </w:r>
      <w:r>
        <w:t xml:space="preserve"> </w:t>
      </w:r>
      <w:hyperlink r:id="rId80">
        <w:r>
          <w:rPr>
            <w:rStyle w:val="Hyperlink"/>
          </w:rPr>
          <w:t xml:space="preserve">https://doi.org/10.5281/zenodo.23070876</w:t>
        </w:r>
      </w:hyperlink>
      <w:r>
        <w:t xml:space="preserve"> </w:t>
      </w:r>
      <w:r>
        <w:t xml:space="preserve">(Metin and Cogurcu 2026)</w:t>
      </w:r>
      <w:r>
        <w:t xml:space="preserve">.</w:t>
      </w:r>
    </w:p>
    <w:p>
      <w:pPr>
        <w:pStyle w:val="BodyText"/>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For the sensitivity analyses, burned area was also taken from VIIRS VNP64A1 v002</w:t>
      </w:r>
      <w:r>
        <w:t xml:space="preserve"> </w:t>
      </w:r>
      <w:r>
        <w:t xml:space="preserve">(Giglio 2024)</w:t>
      </w:r>
      <w:r>
        <w:t xml:space="preserve"> </w:t>
      </w:r>
      <w:r>
        <w:t xml:space="preserve">and land cover from ESA WorldCover v100</w:t>
      </w:r>
      <w:r>
        <w:t xml:space="preserve"> </w:t>
      </w:r>
      <w:r>
        <w:t xml:space="preserve">(Zanaga et al. 2021)</w:t>
      </w:r>
      <w:r>
        <w:t xml:space="preserve">, and regional weather anomalies came</w:t>
      </w:r>
      <w:r>
        <w:t xml:space="preserve"> </w:t>
      </w:r>
      <w:r>
        <w:t xml:space="preserve">from ERA5-Land</w:t>
      </w:r>
      <w:r>
        <w:t xml:space="preserve"> </w:t>
      </w:r>
      <w:r>
        <w:t xml:space="preserve">(Muñoz-Sabater et al. 2021)</w:t>
      </w:r>
      <w:r>
        <w:t xml:space="preserve"> </w:t>
      </w:r>
      <w:r>
        <w:t xml:space="preserve">as computed by the processing pipeline. The MODIS, VIIRS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The ERA5-Land values contain modified Copernicus Climate Change</w:t>
      </w:r>
      <w:r>
        <w:t xml:space="preserve"> </w:t>
      </w:r>
      <w:r>
        <w:t xml:space="preserve">Service information.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(Metin and Cogurcu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81">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82">
        <w:r>
          <w:rPr>
            <w:rStyle w:val="Hyperlink"/>
          </w:rPr>
          <w:t xml:space="preserve">https://github.com/dryuemco/thermal-twin</w:t>
        </w:r>
      </w:hyperlink>
      <w:r>
        <w:t xml:space="preserve">, and version 1.2.0</w:t>
      </w:r>
      <w:r>
        <w:t xml:space="preserve"> </w:t>
      </w:r>
      <w:r>
        <w:t xml:space="preserve">is archived at Zenodo</w:t>
      </w:r>
      <w:r>
        <w:t xml:space="preserve"> </w:t>
      </w:r>
      <w:r>
        <w:t xml:space="preserve">(Metin and Cogurcu 2026)</w:t>
      </w:r>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2.13), so exact reproduction needs this environment.</w:t>
      </w:r>
    </w:p>
    <w:p>
      <w:pPr>
        <w:pStyle w:val="BodyText"/>
      </w:pPr>
      <w:r>
        <w:t xml:space="preserve">Project name: thermal-twin. Project home page:</w:t>
      </w:r>
      <w:r>
        <w:t xml:space="preserve"> </w:t>
      </w:r>
      <w:hyperlink r:id="rId82">
        <w:r>
          <w:rPr>
            <w:rStyle w:val="Hyperlink"/>
          </w:rPr>
          <w:t xml:space="preserve">https://github.com/dryuemco/thermal-twin</w:t>
        </w:r>
      </w:hyperlink>
      <w:r>
        <w:t xml:space="preserve">. Archived version:</w:t>
      </w:r>
      <w:r>
        <w:t xml:space="preserve"> </w:t>
      </w:r>
      <w:hyperlink r:id="rId80">
        <w:r>
          <w:rPr>
            <w:rStyle w:val="Hyperlink"/>
          </w:rPr>
          <w:t xml:space="preserve">https://doi.org/10.5281/zenodo.23070876</w:t>
        </w:r>
      </w:hyperlink>
      <w:r>
        <w:t xml:space="preserve">. Operating system: platform independent. Programming language: Python 3.12. Other requirements: NumPy 2.4.4, pandas 3.0.2, scikit-learn 1.9.0. License: MIT. Any restrictions to use by non-academics: none.</w:t>
      </w:r>
    </w:p>
    <w:bookmarkEnd w:id="83"/>
    <w:bookmarkStart w:id="88" w:name="declarations"/>
    <w:p>
      <w:pPr>
        <w:pStyle w:val="Heading1"/>
      </w:pPr>
      <w:r>
        <w:t xml:space="preserve">Declarations</w:t>
      </w:r>
    </w:p>
    <w:bookmarkStart w:id="84" w:name="Xd182db0490b2de20bd2b4e4cc8698599182035f"/>
    <w:p>
      <w:pPr>
        <w:pStyle w:val="Heading2"/>
      </w:pPr>
      <w:r>
        <w:t xml:space="preserve">Ethics approval and consent to participate</w:t>
      </w:r>
    </w:p>
    <w:p>
      <w:pPr>
        <w:pStyle w:val="FirstParagraph"/>
      </w:pPr>
      <w:r>
        <w:t xml:space="preserve">Not applicable. This study involved no human participants, animal subjects or personally</w:t>
      </w:r>
      <w:r>
        <w:t xml:space="preserve"> </w:t>
      </w:r>
      <w:r>
        <w:t xml:space="preserve">identifiable data.</w:t>
      </w:r>
    </w:p>
    <w:bookmarkEnd w:id="84"/>
    <w:bookmarkStart w:id="85" w:name="consent-for-publication"/>
    <w:p>
      <w:pPr>
        <w:pStyle w:val="Heading2"/>
      </w:pPr>
      <w:r>
        <w:t xml:space="preserve">Consent for publication</w:t>
      </w:r>
    </w:p>
    <w:p>
      <w:pPr>
        <w:pStyle w:val="FirstParagraph"/>
      </w:pPr>
      <w:r>
        <w:t xml:space="preserve">Not applicable.</w:t>
      </w:r>
    </w:p>
    <w:bookmarkEnd w:id="85"/>
    <w:bookmarkStart w:id="86" w:name="competing-interests"/>
    <w:p>
      <w:pPr>
        <w:pStyle w:val="Heading2"/>
      </w:pPr>
      <w:r>
        <w:t xml:space="preserve">Competing interests</w:t>
      </w:r>
    </w:p>
    <w:p>
      <w:pPr>
        <w:pStyle w:val="FirstParagraph"/>
      </w:pPr>
      <w:r>
        <w:t xml:space="preserve">The authors have no relevant financial or non-financial interests to disclose.</w:t>
      </w:r>
    </w:p>
    <w:bookmarkEnd w:id="86"/>
    <w:bookmarkStart w:id="87"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87"/>
    <w:bookmarkEnd w:id="88"/>
    <w:bookmarkStart w:id="235" w:name="references"/>
    <w:p>
      <w:pPr>
        <w:pStyle w:val="Heading1"/>
      </w:pPr>
      <w:r>
        <w:t xml:space="preserve">References</w:t>
      </w:r>
    </w:p>
    <w:bookmarkStart w:id="234" w:name="refs"/>
    <w:bookmarkStart w:id="90"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89">
        <w:r>
          <w:rPr>
            <w:rStyle w:val="Hyperlink"/>
          </w:rPr>
          <w:t xml:space="preserve">https://doi.org/10.1007/s12145-023-00953-5</w:t>
        </w:r>
      </w:hyperlink>
    </w:p>
    <w:bookmarkEnd w:id="90"/>
    <w:bookmarkStart w:id="92"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91">
        <w:r>
          <w:rPr>
            <w:rStyle w:val="Hyperlink"/>
          </w:rPr>
          <w:t xml:space="preserve">https://doi.org/10.1016/j.ecolmodel.2011.02.011</w:t>
        </w:r>
      </w:hyperlink>
    </w:p>
    <w:bookmarkEnd w:id="92"/>
    <w:bookmarkStart w:id="94"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93">
        <w:r>
          <w:rPr>
            <w:rStyle w:val="Hyperlink"/>
          </w:rPr>
          <w:t xml:space="preserve">https://doi.org/10.1071/WF19158</w:t>
        </w:r>
      </w:hyperlink>
    </w:p>
    <w:bookmarkEnd w:id="94"/>
    <w:bookmarkStart w:id="96" w:name="ref-Bergonse2021"/>
    <w:p>
      <w:pPr>
        <w:pStyle w:val="Bibliography"/>
      </w:pPr>
      <w:r>
        <w:t xml:space="preserve">Bergonse R, Oliveira S, Gonçalves A, et al (2021) Predicting burnt areas during the summer season in</w:t>
      </w:r>
      <w:r>
        <w:t xml:space="preserve"> </w:t>
      </w:r>
      <w:r>
        <w:t xml:space="preserve">Portugal</w:t>
      </w:r>
      <w:r>
        <w:t xml:space="preserve"> </w:t>
      </w:r>
      <w:r>
        <w:t xml:space="preserve">by combining wildfire susceptibility and spring meteorological conditions. Geomatics, Natural Hazards and Risk 12:1039–1057.</w:t>
      </w:r>
      <w:r>
        <w:t xml:space="preserve"> </w:t>
      </w:r>
      <w:hyperlink r:id="rId95">
        <w:r>
          <w:rPr>
            <w:rStyle w:val="Hyperlink"/>
          </w:rPr>
          <w:t xml:space="preserve">https://doi.org/10.1080/19475705.2021.1909664</w:t>
        </w:r>
      </w:hyperlink>
    </w:p>
    <w:bookmarkEnd w:id="96"/>
    <w:bookmarkStart w:id="98"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97">
        <w:r>
          <w:rPr>
            <w:rStyle w:val="Hyperlink"/>
          </w:rPr>
          <w:t xml:space="preserve">https://doi.org/10.1016/j.rse.2019.111490</w:t>
        </w:r>
      </w:hyperlink>
    </w:p>
    <w:bookmarkEnd w:id="98"/>
    <w:bookmarkStart w:id="100" w:name="ref-Breiman2001"/>
    <w:p>
      <w:pPr>
        <w:pStyle w:val="Bibliography"/>
      </w:pPr>
      <w:r>
        <w:t xml:space="preserve">Breiman L (2001) Random forests. Machine Learning 45:5–32.</w:t>
      </w:r>
      <w:r>
        <w:t xml:space="preserve"> </w:t>
      </w:r>
      <w:hyperlink r:id="rId99">
        <w:r>
          <w:rPr>
            <w:rStyle w:val="Hyperlink"/>
          </w:rPr>
          <w:t xml:space="preserve">https://doi.org/10.1023/A:1010933404324</w:t>
        </w:r>
      </w:hyperlink>
    </w:p>
    <w:bookmarkEnd w:id="100"/>
    <w:bookmarkStart w:id="102"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101">
        <w:r>
          <w:rPr>
            <w:rStyle w:val="Hyperlink"/>
          </w:rPr>
          <w:t xml:space="preserve">https://doi.org/10.1016/j.ecoinf.2022.101665</w:t>
        </w:r>
      </w:hyperlink>
    </w:p>
    <w:bookmarkEnd w:id="102"/>
    <w:bookmarkStart w:id="104"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103">
        <w:r>
          <w:rPr>
            <w:rStyle w:val="Hyperlink"/>
          </w:rPr>
          <w:t xml:space="preserve">https://doi.org/10.1016/j.rse.2004.01.019</w:t>
        </w:r>
      </w:hyperlink>
    </w:p>
    <w:bookmarkEnd w:id="104"/>
    <w:bookmarkStart w:id="106"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105">
        <w:r>
          <w:rPr>
            <w:rStyle w:val="Hyperlink"/>
          </w:rPr>
          <w:t xml:space="preserve">https://doi.org/10.3390/geomatics6010013</w:t>
        </w:r>
      </w:hyperlink>
    </w:p>
    <w:bookmarkEnd w:id="106"/>
    <w:bookmarkStart w:id="108"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107">
        <w:r>
          <w:rPr>
            <w:rStyle w:val="Hyperlink"/>
          </w:rPr>
          <w:t xml:space="preserve">https://doi.org/10.5270/ESA-c5d3d65</w:t>
        </w:r>
      </w:hyperlink>
    </w:p>
    <w:bookmarkEnd w:id="108"/>
    <w:bookmarkStart w:id="110"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109">
        <w:r>
          <w:rPr>
            <w:rStyle w:val="Hyperlink"/>
          </w:rPr>
          <w:t xml:space="preserve">https://doi.org/10.5194/nhess-25-4713-2025</w:t>
        </w:r>
      </w:hyperlink>
    </w:p>
    <w:bookmarkEnd w:id="110"/>
    <w:bookmarkStart w:id="112" w:name="ref-Ghasemiazma2026"/>
    <w:p>
      <w:pPr>
        <w:pStyle w:val="Bibliography"/>
      </w:pPr>
      <w:r>
        <w:t xml:space="preserve">Ghasemiazma F, Tonini M, Fiorucci P, Turco M (2026) Megafires in</w:t>
      </w:r>
      <w:r>
        <w:t xml:space="preserve"> </w:t>
      </w:r>
      <w:r>
        <w:t xml:space="preserve">Mediterranean</w:t>
      </w:r>
      <w:r>
        <w:t xml:space="preserve"> </w:t>
      </w:r>
      <w:r>
        <w:t xml:space="preserve">Europe</w:t>
      </w:r>
      <w:r>
        <w:t xml:space="preserve">: The compound role of fire weather and drought. npj Natural Hazards 3:33.</w:t>
      </w:r>
      <w:r>
        <w:t xml:space="preserve"> </w:t>
      </w:r>
      <w:hyperlink r:id="rId111">
        <w:r>
          <w:rPr>
            <w:rStyle w:val="Hyperlink"/>
          </w:rPr>
          <w:t xml:space="preserve">https://doi.org/10.1038/s44304-026-00197-5</w:t>
        </w:r>
      </w:hyperlink>
    </w:p>
    <w:bookmarkEnd w:id="112"/>
    <w:bookmarkStart w:id="114"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113">
        <w:r>
          <w:rPr>
            <w:rStyle w:val="Hyperlink"/>
          </w:rPr>
          <w:t xml:space="preserve">https://doi.org/10.5067/VIIRS/VNP64A1.002</w:t>
        </w:r>
      </w:hyperlink>
    </w:p>
    <w:bookmarkEnd w:id="114"/>
    <w:bookmarkStart w:id="116"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115">
        <w:r>
          <w:rPr>
            <w:rStyle w:val="Hyperlink"/>
          </w:rPr>
          <w:t xml:space="preserve">https://doi.org/10.1016/j.rse.2018.08.005</w:t>
        </w:r>
      </w:hyperlink>
    </w:p>
    <w:bookmarkEnd w:id="116"/>
    <w:bookmarkStart w:id="118"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17">
        <w:r>
          <w:rPr>
            <w:rStyle w:val="Hyperlink"/>
          </w:rPr>
          <w:t xml:space="preserve">https://doi.org/10.5067/MODIS/MCD64A1.061</w:t>
        </w:r>
      </w:hyperlink>
    </w:p>
    <w:bookmarkEnd w:id="118"/>
    <w:bookmarkStart w:id="120"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119">
        <w:r>
          <w:rPr>
            <w:rStyle w:val="Hyperlink"/>
          </w:rPr>
          <w:t xml:space="preserve">https://doi.org/10.1016/j.rse.2017.06.031</w:t>
        </w:r>
      </w:hyperlink>
    </w:p>
    <w:bookmarkEnd w:id="120"/>
    <w:bookmarkStart w:id="122" w:name="ref-Hijmans2012"/>
    <w:p>
      <w:pPr>
        <w:pStyle w:val="Bibliography"/>
      </w:pPr>
      <w:r>
        <w:t xml:space="preserve">Hijmans RJ (2012) Cross-validation of species distribution models: Removing spatial sorting bias and calibration with a null model. Ecology 93:679–688.</w:t>
      </w:r>
      <w:r>
        <w:t xml:space="preserve"> </w:t>
      </w:r>
      <w:hyperlink r:id="rId121">
        <w:r>
          <w:rPr>
            <w:rStyle w:val="Hyperlink"/>
          </w:rPr>
          <w:t xml:space="preserve">https://doi.org/10.1890/11-0826.1</w:t>
        </w:r>
      </w:hyperlink>
    </w:p>
    <w:bookmarkEnd w:id="122"/>
    <w:bookmarkStart w:id="124"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123">
        <w:r>
          <w:rPr>
            <w:rStyle w:val="Hyperlink"/>
          </w:rPr>
          <w:t xml:space="preserve">https://doi.org/10.1016/j.rse.2026.115336</w:t>
        </w:r>
      </w:hyperlink>
    </w:p>
    <w:bookmarkEnd w:id="124"/>
    <w:bookmarkStart w:id="126"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25">
        <w:r>
          <w:rPr>
            <w:rStyle w:val="Hyperlink"/>
          </w:rPr>
          <w:t xml:space="preserve">https://doi.org/10.1016/j.ecoinf.2022.101647</w:t>
        </w:r>
      </w:hyperlink>
    </w:p>
    <w:bookmarkEnd w:id="126"/>
    <w:bookmarkStart w:id="128"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27">
        <w:r>
          <w:rPr>
            <w:rStyle w:val="Hyperlink"/>
          </w:rPr>
          <w:t xml:space="preserve">https://doi.org/10.1139/er-2020-0019</w:t>
        </w:r>
      </w:hyperlink>
    </w:p>
    <w:bookmarkEnd w:id="128"/>
    <w:bookmarkStart w:id="130"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29">
        <w:r>
          <w:rPr>
            <w:rStyle w:val="Hyperlink"/>
          </w:rPr>
          <w:t xml:space="preserve">https://doi.org/10.1111/j.1466-8238.2011.00683.x</w:t>
        </w:r>
      </w:hyperlink>
    </w:p>
    <w:bookmarkEnd w:id="130"/>
    <w:bookmarkStart w:id="132"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31">
        <w:r>
          <w:rPr>
            <w:rStyle w:val="Hyperlink"/>
          </w:rPr>
          <w:t xml:space="preserve">https://doi.org/10.3934/environsci.2026004</w:t>
        </w:r>
      </w:hyperlink>
    </w:p>
    <w:bookmarkEnd w:id="132"/>
    <w:bookmarkStart w:id="134"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33">
        <w:r>
          <w:rPr>
            <w:rStyle w:val="Hyperlink"/>
          </w:rPr>
          <w:t xml:space="preserve">https://doi.org/10.3390/rs14030602</w:t>
        </w:r>
      </w:hyperlink>
    </w:p>
    <w:bookmarkEnd w:id="134"/>
    <w:bookmarkStart w:id="136" w:name="ref-Kondylatos2023"/>
    <w:p>
      <w:pPr>
        <w:pStyle w:val="Bibliography"/>
      </w:pPr>
      <w:r>
        <w:t xml:space="preserve">Kondylatos S, Prapas I, Camps-Valls G, Papoutsis I (2023)</w:t>
      </w:r>
      <w:r>
        <w:t xml:space="preserve"> </w:t>
      </w:r>
      <w:hyperlink r:id="rId135">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36"/>
    <w:bookmarkStart w:id="138"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37">
        <w:r>
          <w:rPr>
            <w:rStyle w:val="Hyperlink"/>
          </w:rPr>
          <w:t xml:space="preserve">https://doi.org/10.48550/arXiv.2511.11589</w:t>
        </w:r>
      </w:hyperlink>
    </w:p>
    <w:bookmarkEnd w:id="138"/>
    <w:bookmarkStart w:id="140"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39">
        <w:r>
          <w:rPr>
            <w:rStyle w:val="Hyperlink"/>
          </w:rPr>
          <w:t xml:space="preserve">https://doi.org/10.1111/j.1466-8238.2007.00358.x</w:t>
        </w:r>
      </w:hyperlink>
    </w:p>
    <w:bookmarkEnd w:id="140"/>
    <w:bookmarkStart w:id="142"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141">
        <w:r>
          <w:rPr>
            <w:rStyle w:val="Hyperlink"/>
          </w:rPr>
          <w:t xml:space="preserve">https://doi.org/10.1111/geb.13635</w:t>
        </w:r>
      </w:hyperlink>
    </w:p>
    <w:bookmarkEnd w:id="142"/>
    <w:bookmarkStart w:id="144"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43">
        <w:r>
          <w:rPr>
            <w:rStyle w:val="Hyperlink"/>
          </w:rPr>
          <w:t xml:space="preserve">https://doi.org/10.3390/rs10111777</w:t>
        </w:r>
      </w:hyperlink>
    </w:p>
    <w:bookmarkEnd w:id="144"/>
    <w:bookmarkStart w:id="146"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45">
        <w:r>
          <w:rPr>
            <w:rStyle w:val="Hyperlink"/>
          </w:rPr>
          <w:t xml:space="preserve">https://doi.org/10.1016/j.isprsjprs.2021.09.016</w:t>
        </w:r>
      </w:hyperlink>
    </w:p>
    <w:bookmarkEnd w:id="146"/>
    <w:bookmarkStart w:id="148"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47">
        <w:r>
          <w:rPr>
            <w:rStyle w:val="Hyperlink"/>
          </w:rPr>
          <w:t xml:space="preserve">https://doi.org/10.1016/j.isprsjprs.2019.10.013</w:t>
        </w:r>
      </w:hyperlink>
    </w:p>
    <w:bookmarkEnd w:id="148"/>
    <w:bookmarkStart w:id="150"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49">
        <w:r>
          <w:rPr>
            <w:rStyle w:val="Hyperlink"/>
          </w:rPr>
          <w:t xml:space="preserve">https://doi.org/10.3390/fire7080276</w:t>
        </w:r>
      </w:hyperlink>
    </w:p>
    <w:bookmarkEnd w:id="150"/>
    <w:bookmarkStart w:id="151" w:name="ref-ThermalTwinRepo"/>
    <w:p>
      <w:pPr>
        <w:pStyle w:val="Bibliography"/>
      </w:pPr>
      <w:r>
        <w:t xml:space="preserve">Metin E, Cogurcu YE (2026) Evaluation area and the limits of cross-region transfer of single-season wildfire models with pre-fire thermal predictors: Analysis code, modelling datasets and frozen outputs [software], version 1.2.0. Zenodo.</w:t>
      </w:r>
      <w:r>
        <w:t xml:space="preserve"> </w:t>
      </w:r>
      <w:hyperlink r:id="rId80">
        <w:r>
          <w:rPr>
            <w:rStyle w:val="Hyperlink"/>
          </w:rPr>
          <w:t xml:space="preserve">https://doi.org/10.5281/zenodo.23070876</w:t>
        </w:r>
      </w:hyperlink>
    </w:p>
    <w:bookmarkEnd w:id="151"/>
    <w:bookmarkStart w:id="153"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52">
        <w:r>
          <w:rPr>
            <w:rStyle w:val="Hyperlink"/>
          </w:rPr>
          <w:t xml:space="preserve">https://doi.org/10.1111/2041-210X.13650</w:t>
        </w:r>
      </w:hyperlink>
    </w:p>
    <w:bookmarkEnd w:id="153"/>
    <w:bookmarkStart w:id="155" w:name="ref-Meyer2022"/>
    <w:p>
      <w:pPr>
        <w:pStyle w:val="Bibliography"/>
      </w:pPr>
      <w:r>
        <w:t xml:space="preserve">Meyer H, Pebesma E (2022) Machine learning-based global maps of ecological variables and the challenge of assessing them. Nature Communications 13:2208.</w:t>
      </w:r>
      <w:r>
        <w:t xml:space="preserve"> </w:t>
      </w:r>
      <w:hyperlink r:id="rId154">
        <w:r>
          <w:rPr>
            <w:rStyle w:val="Hyperlink"/>
          </w:rPr>
          <w:t xml:space="preserve">https://doi.org/10.1038/s41467-022-29838-9</w:t>
        </w:r>
      </w:hyperlink>
    </w:p>
    <w:bookmarkEnd w:id="155"/>
    <w:bookmarkStart w:id="157"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56">
        <w:r>
          <w:rPr>
            <w:rStyle w:val="Hyperlink"/>
          </w:rPr>
          <w:t xml:space="preserve">https://doi.org/10.1016/j.envsoft.2017.12.001</w:t>
        </w:r>
      </w:hyperlink>
    </w:p>
    <w:bookmarkEnd w:id="157"/>
    <w:bookmarkStart w:id="159"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58">
        <w:r>
          <w:rPr>
            <w:rStyle w:val="Hyperlink"/>
          </w:rPr>
          <w:t xml:space="preserve">https://doi.org/10.1111/2041-210X.13851</w:t>
        </w:r>
      </w:hyperlink>
    </w:p>
    <w:bookmarkEnd w:id="159"/>
    <w:bookmarkStart w:id="161" w:name="ref-Moreira2020"/>
    <w:p>
      <w:pPr>
        <w:pStyle w:val="Bibliography"/>
      </w:pPr>
      <w:r>
        <w:t xml:space="preserve">Moreira F, Ascoli D, Safford H, et al (2020) Wildfire management in</w:t>
      </w:r>
      <w:r>
        <w:t xml:space="preserve"> </w:t>
      </w:r>
      <w:r>
        <w:t xml:space="preserve">Mediterranean</w:t>
      </w:r>
      <w:r>
        <w:t xml:space="preserve">-type regions: Paradigm change needed. Environmental Research Letters 15:011001.</w:t>
      </w:r>
      <w:r>
        <w:t xml:space="preserve"> </w:t>
      </w:r>
      <w:hyperlink r:id="rId160">
        <w:r>
          <w:rPr>
            <w:rStyle w:val="Hyperlink"/>
          </w:rPr>
          <w:t xml:space="preserve">https://doi.org/10.1088/1748-9326/ab541e</w:t>
        </w:r>
      </w:hyperlink>
    </w:p>
    <w:bookmarkEnd w:id="161"/>
    <w:bookmarkStart w:id="163" w:name="ref-MorenoTorres2012"/>
    <w:p>
      <w:pPr>
        <w:pStyle w:val="Bibliography"/>
      </w:pPr>
      <w:r>
        <w:t xml:space="preserve">Moreno-Torres JG, Raeder T, Alaiz-Rodríguez R, et al (2012) A unifying view on dataset shift in classification. Pattern Recognition 45:521–530.</w:t>
      </w:r>
      <w:r>
        <w:t xml:space="preserve"> </w:t>
      </w:r>
      <w:hyperlink r:id="rId162">
        <w:r>
          <w:rPr>
            <w:rStyle w:val="Hyperlink"/>
          </w:rPr>
          <w:t xml:space="preserve">https://doi.org/10.1016/j.patcog.2011.06.019</w:t>
        </w:r>
      </w:hyperlink>
    </w:p>
    <w:bookmarkEnd w:id="163"/>
    <w:bookmarkStart w:id="165" w:name="ref-MunozSabater2021"/>
    <w:p>
      <w:pPr>
        <w:pStyle w:val="Bibliography"/>
      </w:pPr>
      <w:r>
        <w:t xml:space="preserve">Muñoz-Sabater J, Dutra E, Agustí-Panareda A, et al (2021)</w:t>
      </w:r>
      <w:r>
        <w:t xml:space="preserve"> </w:t>
      </w:r>
      <w:r>
        <w:t xml:space="preserve">ERA5-Land</w:t>
      </w:r>
      <w:r>
        <w:t xml:space="preserve">: A state-of-the-art global reanalysis dataset for land applications. Earth System Science Data 13:4349–4383.</w:t>
      </w:r>
      <w:r>
        <w:t xml:space="preserve"> </w:t>
      </w:r>
      <w:hyperlink r:id="rId164">
        <w:r>
          <w:rPr>
            <w:rStyle w:val="Hyperlink"/>
          </w:rPr>
          <w:t xml:space="preserve">https://doi.org/10.5194/essd-13-4349-2021</w:t>
        </w:r>
      </w:hyperlink>
    </w:p>
    <w:bookmarkEnd w:id="165"/>
    <w:bookmarkStart w:id="167"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66">
        <w:r>
          <w:rPr>
            <w:rStyle w:val="Hyperlink"/>
          </w:rPr>
          <w:t xml:space="preserve">https://doi.org/10.1016/j.foreco.2012.03.003</w:t>
        </w:r>
      </w:hyperlink>
    </w:p>
    <w:bookmarkEnd w:id="167"/>
    <w:bookmarkStart w:id="169"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68">
        <w:r>
          <w:rPr>
            <w:rStyle w:val="Hyperlink"/>
          </w:rPr>
          <w:t xml:space="preserve">https://doi.org/10.1890/07-1289.1</w:t>
        </w:r>
      </w:hyperlink>
    </w:p>
    <w:bookmarkEnd w:id="169"/>
    <w:bookmarkStart w:id="171" w:name="ref-PascoliniCampbell2025"/>
    <w:p>
      <w:pPr>
        <w:pStyle w:val="Bibliography"/>
      </w:pPr>
      <w:r>
        <w:t xml:space="preserve">Pascolini-Campbell M, Fisher JB, Cawse-Nicholson K, et al (2025) Assessment of spatial autocorrelation and scalability in fine-scale wildfire random forest prediction models. Scientific Reports 15:21504.</w:t>
      </w:r>
      <w:r>
        <w:t xml:space="preserve"> </w:t>
      </w:r>
      <w:hyperlink r:id="rId170">
        <w:r>
          <w:rPr>
            <w:rStyle w:val="Hyperlink"/>
          </w:rPr>
          <w:t xml:space="preserve">https://doi.org/10.1038/s41598-025-06814-z</w:t>
        </w:r>
      </w:hyperlink>
    </w:p>
    <w:bookmarkEnd w:id="171"/>
    <w:bookmarkStart w:id="173" w:name="ref-Pausas2021"/>
    <w:p>
      <w:pPr>
        <w:pStyle w:val="Bibliography"/>
      </w:pPr>
      <w:r>
        <w:t xml:space="preserve">Pausas JG, Keeley JE (2021) Wildfires and global change. Frontiers in Ecology and the Environment 19:387–395.</w:t>
      </w:r>
      <w:r>
        <w:t xml:space="preserve"> </w:t>
      </w:r>
      <w:hyperlink r:id="rId172">
        <w:r>
          <w:rPr>
            <w:rStyle w:val="Hyperlink"/>
          </w:rPr>
          <w:t xml:space="preserve">https://doi.org/10.1002/fee.2359</w:t>
        </w:r>
      </w:hyperlink>
    </w:p>
    <w:bookmarkEnd w:id="173"/>
    <w:bookmarkStart w:id="175"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74">
        <w:r>
          <w:rPr>
            <w:rStyle w:val="Hyperlink"/>
          </w:rPr>
          <w:t xml:space="preserve">https://doi.org/10.1111/j.1466-8238.2012.00769.x</w:t>
        </w:r>
      </w:hyperlink>
    </w:p>
    <w:bookmarkEnd w:id="175"/>
    <w:bookmarkStart w:id="177"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76">
        <w:r>
          <w:rPr>
            <w:rStyle w:val="Hyperlink"/>
          </w:rPr>
          <w:t xml:space="preserve">https://doi.org/10.1109/TGRS.2012.2192740</w:t>
        </w:r>
      </w:hyperlink>
    </w:p>
    <w:bookmarkEnd w:id="177"/>
    <w:bookmarkStart w:id="179"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78">
        <w:r>
          <w:rPr>
            <w:rStyle w:val="Hyperlink"/>
          </w:rPr>
          <w:t xml:space="preserve">https://doi.org/10.1038/s41467-020-18321-y</w:t>
        </w:r>
      </w:hyperlink>
    </w:p>
    <w:bookmarkEnd w:id="179"/>
    <w:bookmarkStart w:id="181"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80">
        <w:r>
          <w:rPr>
            <w:rStyle w:val="Hyperlink"/>
          </w:rPr>
          <w:t xml:space="preserve">https://doi.org/10.1186/s42408-022-00150-7</w:t>
        </w:r>
      </w:hyperlink>
    </w:p>
    <w:bookmarkEnd w:id="181"/>
    <w:bookmarkStart w:id="183"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82">
        <w:r>
          <w:rPr>
            <w:rStyle w:val="Hyperlink"/>
          </w:rPr>
          <w:t xml:space="preserve">https://doi.org/10.1111/ecog.02881</w:t>
        </w:r>
      </w:hyperlink>
    </w:p>
    <w:bookmarkEnd w:id="183"/>
    <w:bookmarkStart w:id="185" w:name="ref-Rousseau2022"/>
    <w:p>
      <w:pPr>
        <w:pStyle w:val="Bibliography"/>
      </w:pPr>
      <w:r>
        <w:t xml:space="preserve">Rousseau JS, Betts MG (2022) Factors influencing transferability in species distribution models. Ecography 2022:e06060.</w:t>
      </w:r>
      <w:r>
        <w:t xml:space="preserve"> </w:t>
      </w:r>
      <w:hyperlink r:id="rId184">
        <w:r>
          <w:rPr>
            <w:rStyle w:val="Hyperlink"/>
          </w:rPr>
          <w:t xml:space="preserve">https://doi.org/10.1111/ecog.06060</w:t>
        </w:r>
      </w:hyperlink>
    </w:p>
    <w:bookmarkEnd w:id="185"/>
    <w:bookmarkStart w:id="187" w:name="ref-Ruffault2020"/>
    <w:p>
      <w:pPr>
        <w:pStyle w:val="Bibliography"/>
      </w:pPr>
      <w:r>
        <w:t xml:space="preserve">Ruffault J, Curt T, Moron V, et al (2020) Increased likelihood of heat-induced large wildfires in the</w:t>
      </w:r>
      <w:r>
        <w:t xml:space="preserve"> </w:t>
      </w:r>
      <w:r>
        <w:t xml:space="preserve">Mediterranean</w:t>
      </w:r>
      <w:r>
        <w:t xml:space="preserve"> </w:t>
      </w:r>
      <w:r>
        <w:t xml:space="preserve">Basin</w:t>
      </w:r>
      <w:r>
        <w:t xml:space="preserve">. Scientific Reports 10:13790.</w:t>
      </w:r>
      <w:r>
        <w:t xml:space="preserve"> </w:t>
      </w:r>
      <w:hyperlink r:id="rId186">
        <w:r>
          <w:rPr>
            <w:rStyle w:val="Hyperlink"/>
          </w:rPr>
          <w:t xml:space="preserve">https://doi.org/10.1038/s41598-020-70069-z</w:t>
        </w:r>
      </w:hyperlink>
    </w:p>
    <w:bookmarkEnd w:id="187"/>
    <w:bookmarkStart w:id="189"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88">
        <w:r>
          <w:rPr>
            <w:rStyle w:val="Hyperlink"/>
          </w:rPr>
          <w:t xml:space="preserve">https://doi.org/10.1016/S0034-4257(01)00274-7</w:t>
        </w:r>
      </w:hyperlink>
    </w:p>
    <w:bookmarkEnd w:id="189"/>
    <w:bookmarkStart w:id="191"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90">
        <w:r>
          <w:rPr>
            <w:rStyle w:val="Hyperlink"/>
          </w:rPr>
          <w:t xml:space="preserve">https://doi.org/10.2307/1935534</w:t>
        </w:r>
      </w:hyperlink>
    </w:p>
    <w:bookmarkEnd w:id="191"/>
    <w:bookmarkStart w:id="193"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92">
        <w:r>
          <w:rPr>
            <w:rStyle w:val="Hyperlink"/>
          </w:rPr>
          <w:t xml:space="preserve">https://doi.org/10.1111/2041-210X.13140</w:t>
        </w:r>
      </w:hyperlink>
    </w:p>
    <w:bookmarkEnd w:id="193"/>
    <w:bookmarkStart w:id="195" w:name="ref-Sun2016"/>
    <w:p>
      <w:pPr>
        <w:pStyle w:val="Bibliography"/>
      </w:pPr>
      <w:r>
        <w:t xml:space="preserve">Sun B, Feng J, Saenko K (2016)</w:t>
      </w:r>
      <w:r>
        <w:t xml:space="preserve"> </w:t>
      </w:r>
      <w:hyperlink r:id="rId194">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95"/>
    <w:bookmarkStart w:id="197" w:name="ref-Tonini2020"/>
    <w:p>
      <w:pPr>
        <w:pStyle w:val="Bibliography"/>
      </w:pPr>
      <w:r>
        <w:t xml:space="preserve">Tonini M, D’Andrea M, Biondi G, et al (2020) A machine learning-based approach for wildfire susceptibility mapping.</w:t>
      </w:r>
      <w:r>
        <w:t xml:space="preserve"> </w:t>
      </w:r>
      <w:r>
        <w:t xml:space="preserve">The</w:t>
      </w:r>
      <w:r>
        <w:t xml:space="preserve"> </w:t>
      </w:r>
      <w:r>
        <w:t xml:space="preserve">case study of the</w:t>
      </w:r>
      <w:r>
        <w:t xml:space="preserve"> </w:t>
      </w:r>
      <w:r>
        <w:t xml:space="preserve">Liguria</w:t>
      </w:r>
      <w:r>
        <w:t xml:space="preserve"> </w:t>
      </w:r>
      <w:r>
        <w:t xml:space="preserve">region in</w:t>
      </w:r>
      <w:r>
        <w:t xml:space="preserve"> </w:t>
      </w:r>
      <w:r>
        <w:t xml:space="preserve">Italy</w:t>
      </w:r>
      <w:r>
        <w:t xml:space="preserve">. Geosciences 10:105.</w:t>
      </w:r>
      <w:r>
        <w:t xml:space="preserve"> </w:t>
      </w:r>
      <w:hyperlink r:id="rId196">
        <w:r>
          <w:rPr>
            <w:rStyle w:val="Hyperlink"/>
          </w:rPr>
          <w:t xml:space="preserve">https://doi.org/10.3390/geosciences10030105</w:t>
        </w:r>
      </w:hyperlink>
    </w:p>
    <w:bookmarkEnd w:id="197"/>
    <w:bookmarkStart w:id="199" w:name="ref-Trucchia2022"/>
    <w:p>
      <w:pPr>
        <w:pStyle w:val="Bibliography"/>
      </w:pPr>
      <w:r>
        <w:t xml:space="preserve">Trucchia A, Meschi G, Fiorucci P, et al (2022) Defining wildfire susceptibility maps in</w:t>
      </w:r>
      <w:r>
        <w:t xml:space="preserve"> </w:t>
      </w:r>
      <w:r>
        <w:t xml:space="preserve">Italy</w:t>
      </w:r>
      <w:r>
        <w:t xml:space="preserve"> </w:t>
      </w:r>
      <w:r>
        <w:t xml:space="preserve">for understanding seasonal wildfire regimes at the national level. Fire 5:30.</w:t>
      </w:r>
      <w:r>
        <w:t xml:space="preserve"> </w:t>
      </w:r>
      <w:hyperlink r:id="rId198">
        <w:r>
          <w:rPr>
            <w:rStyle w:val="Hyperlink"/>
          </w:rPr>
          <w:t xml:space="preserve">https://doi.org/10.3390/fire5010030</w:t>
        </w:r>
      </w:hyperlink>
    </w:p>
    <w:bookmarkEnd w:id="199"/>
    <w:bookmarkStart w:id="201" w:name="ref-Trucchia2023"/>
    <w:p>
      <w:pPr>
        <w:pStyle w:val="Bibliography"/>
      </w:pPr>
      <w:r>
        <w:t xml:space="preserve">Trucchia A, Meschi G, Fiorucci P, et al (2023) Wildfire hazard mapping in the eastern</w:t>
      </w:r>
      <w:r>
        <w:t xml:space="preserve"> </w:t>
      </w:r>
      <w:r>
        <w:t xml:space="preserve">Mediterranean</w:t>
      </w:r>
      <w:r>
        <w:t xml:space="preserve"> </w:t>
      </w:r>
      <w:r>
        <w:t xml:space="preserve">landscape. International Journal of Wildland Fire 32:417–434.</w:t>
      </w:r>
      <w:r>
        <w:t xml:space="preserve"> </w:t>
      </w:r>
      <w:hyperlink r:id="rId200">
        <w:r>
          <w:rPr>
            <w:rStyle w:val="Hyperlink"/>
          </w:rPr>
          <w:t xml:space="preserve">https://doi.org/10.1071/WF22138</w:t>
        </w:r>
      </w:hyperlink>
    </w:p>
    <w:bookmarkEnd w:id="201"/>
    <w:bookmarkStart w:id="203"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202">
        <w:r>
          <w:rPr>
            <w:rStyle w:val="Hyperlink"/>
          </w:rPr>
          <w:t xml:space="preserve">https://doi.org/10.1109/MGRS.2016.2548504</w:t>
        </w:r>
      </w:hyperlink>
    </w:p>
    <w:bookmarkEnd w:id="203"/>
    <w:bookmarkStart w:id="205"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204">
        <w:r>
          <w:rPr>
            <w:rStyle w:val="Hyperlink"/>
          </w:rPr>
          <w:t xml:space="preserve">https://doi.org/10.5066/P9OGBGM6</w:t>
        </w:r>
      </w:hyperlink>
    </w:p>
    <w:bookmarkEnd w:id="205"/>
    <w:bookmarkStart w:id="207"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206">
        <w:r>
          <w:rPr>
            <w:rStyle w:val="Hyperlink"/>
          </w:rPr>
          <w:t xml:space="preserve">https://doi.org/10.1111/2041-210X.13107</w:t>
        </w:r>
      </w:hyperlink>
    </w:p>
    <w:bookmarkEnd w:id="207"/>
    <w:bookmarkStart w:id="209"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208">
        <w:r>
          <w:rPr>
            <w:rStyle w:val="Hyperlink"/>
          </w:rPr>
          <w:t xml:space="preserve">https://doi.org/10.1016/j.ecolmodel.2008.11.010</w:t>
        </w:r>
      </w:hyperlink>
    </w:p>
    <w:bookmarkEnd w:id="209"/>
    <w:bookmarkStart w:id="211" w:name="ref-Vesk2021"/>
    <w:p>
      <w:pPr>
        <w:pStyle w:val="Bibliography"/>
      </w:pPr>
      <w:r>
        <w:t xml:space="preserve">Vesk PA, Morris WK, Neal WC, et al (2021) Transferability of trait-based species distribution models. Ecography 44:134–147.</w:t>
      </w:r>
      <w:r>
        <w:t xml:space="preserve"> </w:t>
      </w:r>
      <w:hyperlink r:id="rId210">
        <w:r>
          <w:rPr>
            <w:rStyle w:val="Hyperlink"/>
          </w:rPr>
          <w:t xml:space="preserve">https://doi.org/10.1111/ecog.05179</w:t>
        </w:r>
      </w:hyperlink>
    </w:p>
    <w:bookmarkEnd w:id="211"/>
    <w:bookmarkStart w:id="213"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212">
        <w:r>
          <w:rPr>
            <w:rStyle w:val="Hyperlink"/>
          </w:rPr>
          <w:t xml:space="preserve">https://doi.org/10.1007/s44163-026-00921-0</w:t>
        </w:r>
      </w:hyperlink>
    </w:p>
    <w:bookmarkEnd w:id="213"/>
    <w:bookmarkStart w:id="215" w:name="ref-Vitolo2020"/>
    <w:p>
      <w:pPr>
        <w:pStyle w:val="Bibliography"/>
      </w:pPr>
      <w:r>
        <w:t xml:space="preserve">Vitolo C, Di Giuseppe F, Barnard C, et al (2020)</w:t>
      </w:r>
      <w:r>
        <w:t xml:space="preserve"> </w:t>
      </w:r>
      <w:r>
        <w:t xml:space="preserve">ERA5</w:t>
      </w:r>
      <w:r>
        <w:t xml:space="preserve">-based global meteorological wildfire danger maps. Scientific Data 7:216.</w:t>
      </w:r>
      <w:r>
        <w:t xml:space="preserve"> </w:t>
      </w:r>
      <w:hyperlink r:id="rId214">
        <w:r>
          <w:rPr>
            <w:rStyle w:val="Hyperlink"/>
          </w:rPr>
          <w:t xml:space="preserve">https://doi.org/10.1038/s41597-020-0554-z</w:t>
        </w:r>
      </w:hyperlink>
    </w:p>
    <w:bookmarkEnd w:id="215"/>
    <w:bookmarkStart w:id="217"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216">
        <w:r>
          <w:rPr>
            <w:rStyle w:val="Hyperlink"/>
          </w:rPr>
          <w:t xml:space="preserve">https://doi.org/10.1016/j.ecolmodel.2021.109692</w:t>
        </w:r>
      </w:hyperlink>
    </w:p>
    <w:bookmarkEnd w:id="217"/>
    <w:bookmarkStart w:id="219"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218">
        <w:r>
          <w:rPr>
            <w:rStyle w:val="Hyperlink"/>
          </w:rPr>
          <w:t xml:space="preserve">https://doi.org/10.5067/MODIS/MOD11A1.061</w:t>
        </w:r>
      </w:hyperlink>
    </w:p>
    <w:bookmarkEnd w:id="219"/>
    <w:bookmarkStart w:id="221"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220">
        <w:r>
          <w:rPr>
            <w:rStyle w:val="Hyperlink"/>
          </w:rPr>
          <w:t xml:space="preserve">https://doi.org/10.1111/j.1558-5646.2008.00482.x</w:t>
        </w:r>
      </w:hyperlink>
    </w:p>
    <w:bookmarkEnd w:id="221"/>
    <w:bookmarkStart w:id="223" w:name="ref-Wenger2012"/>
    <w:p>
      <w:pPr>
        <w:pStyle w:val="Bibliography"/>
      </w:pPr>
      <w:r>
        <w:t xml:space="preserve">Wenger SJ, Olden JD (2012) Assessing transferability of ecological models: An underappreciated aspect of statistical validation. Methods in Ecology and Evolution 3:260–267.</w:t>
      </w:r>
      <w:r>
        <w:t xml:space="preserve"> </w:t>
      </w:r>
      <w:hyperlink r:id="rId222">
        <w:r>
          <w:rPr>
            <w:rStyle w:val="Hyperlink"/>
          </w:rPr>
          <w:t xml:space="preserve">https://doi.org/10.1111/j.2041-210X.2011.00170.x</w:t>
        </w:r>
      </w:hyperlink>
    </w:p>
    <w:bookmarkEnd w:id="223"/>
    <w:bookmarkStart w:id="225" w:name="ref-Xu2026"/>
    <w:p>
      <w:pPr>
        <w:pStyle w:val="Bibliography"/>
      </w:pPr>
      <w:r>
        <w:t xml:space="preserve">Xu Y, Dai Y, Chang L, et al (2026) Does your wildfire prediction model actually work, or just score well? arXiv preprint arXiv:2605.18911.</w:t>
      </w:r>
      <w:r>
        <w:t xml:space="preserve"> </w:t>
      </w:r>
      <w:hyperlink r:id="rId224">
        <w:r>
          <w:rPr>
            <w:rStyle w:val="Hyperlink"/>
          </w:rPr>
          <w:t xml:space="preserve">https://doi.org/10.48550/arXiv.2605.18911</w:t>
        </w:r>
      </w:hyperlink>
    </w:p>
    <w:bookmarkEnd w:id="225"/>
    <w:bookmarkStart w:id="227" w:name="ref-Yates2018"/>
    <w:p>
      <w:pPr>
        <w:pStyle w:val="Bibliography"/>
      </w:pPr>
      <w:r>
        <w:t xml:space="preserve">Yates KL, Bouchet PJ, Caley MJ, et al (2018) Outstanding challenges in the transferability of ecological models. Trends in Ecology &amp; Evolution 33:790–802.</w:t>
      </w:r>
      <w:r>
        <w:t xml:space="preserve"> </w:t>
      </w:r>
      <w:hyperlink r:id="rId226">
        <w:r>
          <w:rPr>
            <w:rStyle w:val="Hyperlink"/>
          </w:rPr>
          <w:t xml:space="preserve">https://doi.org/10.1016/j.tree.2018.08.001</w:t>
        </w:r>
      </w:hyperlink>
    </w:p>
    <w:bookmarkEnd w:id="227"/>
    <w:bookmarkStart w:id="229"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228">
        <w:r>
          <w:rPr>
            <w:rStyle w:val="Hyperlink"/>
          </w:rPr>
          <w:t xml:space="preserve">https://doi.org/10.1016/j.rse.2013.05.029</w:t>
        </w:r>
      </w:hyperlink>
    </w:p>
    <w:bookmarkEnd w:id="229"/>
    <w:bookmarkStart w:id="231"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230">
        <w:r>
          <w:rPr>
            <w:rStyle w:val="Hyperlink"/>
          </w:rPr>
          <w:t xml:space="preserve">https://doi.org/10.5281/zenodo.7254221</w:t>
        </w:r>
      </w:hyperlink>
    </w:p>
    <w:bookmarkEnd w:id="231"/>
    <w:bookmarkStart w:id="233" w:name="ref-Zanaga2021"/>
    <w:p>
      <w:pPr>
        <w:pStyle w:val="Bibliography"/>
      </w:pPr>
      <w:r>
        <w:t xml:space="preserve">Zanaga D, Van De Kerchove R, De Keersmaecker W, et al (2021)</w:t>
      </w:r>
      <w:r>
        <w:t xml:space="preserve"> </w:t>
      </w:r>
      <w:r>
        <w:t xml:space="preserve">ESA</w:t>
      </w:r>
      <w:r>
        <w:t xml:space="preserve"> </w:t>
      </w:r>
      <w:r>
        <w:t xml:space="preserve">WorldCover</w:t>
      </w:r>
      <w:r>
        <w:t xml:space="preserve"> </w:t>
      </w:r>
      <w:r>
        <w:t xml:space="preserve">10 m 2020 v100. Zenodo.</w:t>
      </w:r>
      <w:r>
        <w:t xml:space="preserve"> </w:t>
      </w:r>
      <w:hyperlink r:id="rId232">
        <w:r>
          <w:rPr>
            <w:rStyle w:val="Hyperlink"/>
          </w:rPr>
          <w:t xml:space="preserve">https://doi.org/10.5281/zenodo.5571936</w:t>
        </w:r>
      </w:hyperlink>
    </w:p>
    <w:bookmarkEnd w:id="233"/>
    <w:bookmarkEnd w:id="234"/>
    <w:bookmarkEnd w:id="235"/>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jc w:val="left"/>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jc w:val="left"/>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jc w:val="left"/>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jc w:val="left"/>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jc w:val="left"/>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jc w:val="left"/>
    </w:pPr>
    <w:rPr>
      <w:rFonts w:ascii="Times New Roman" w:cs="Times New Roman" w:eastAsia="Times New Roman" w:hAnsi="Times New Roman"/>
    </w:rPr>
  </w:style>
  <w:style w:customStyle="1" w:styleId="ImageCaption" w:type="paragraph">
    <w:name w:val="Image Caption"/>
    <w:basedOn w:val="Caption"/>
    <w:pPr>
      <w:jc w:val="left"/>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lef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44" Type="http://schemas.openxmlformats.org/officeDocument/2006/relationships/image" Target="media/rId44.png"/><Relationship Id="rId50" Type="http://schemas.openxmlformats.org/officeDocument/2006/relationships/image" Target="media/rId50.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172" Type="http://schemas.openxmlformats.org/officeDocument/2006/relationships/hyperlink" Target="https://doi.org/10.1002/fee.2359" TargetMode="External"/><Relationship Id="rId89" Type="http://schemas.openxmlformats.org/officeDocument/2006/relationships/hyperlink" Target="https://doi.org/10.1007/s12145-023-00953-5" TargetMode="External"/><Relationship Id="rId212" Type="http://schemas.openxmlformats.org/officeDocument/2006/relationships/hyperlink" Target="https://doi.org/10.1007/s44163-026-00921-0" TargetMode="External"/><Relationship Id="rId188" Type="http://schemas.openxmlformats.org/officeDocument/2006/relationships/hyperlink" Target="https://doi.org/10.1016/S0034-4257(01)00274-7" TargetMode="External"/><Relationship Id="rId125" Type="http://schemas.openxmlformats.org/officeDocument/2006/relationships/hyperlink" Target="https://doi.org/10.1016/j.ecoinf.2022.101647" TargetMode="External"/><Relationship Id="rId101" Type="http://schemas.openxmlformats.org/officeDocument/2006/relationships/hyperlink" Target="https://doi.org/10.1016/j.ecoinf.2022.101665" TargetMode="External"/><Relationship Id="rId208" Type="http://schemas.openxmlformats.org/officeDocument/2006/relationships/hyperlink" Target="https://doi.org/10.1016/j.ecolmodel.2008.11.010" TargetMode="External"/><Relationship Id="rId91" Type="http://schemas.openxmlformats.org/officeDocument/2006/relationships/hyperlink" Target="https://doi.org/10.1016/j.ecolmodel.2011.02.011" TargetMode="External"/><Relationship Id="rId216" Type="http://schemas.openxmlformats.org/officeDocument/2006/relationships/hyperlink" Target="https://doi.org/10.1016/j.ecolmodel.2021.109692" TargetMode="External"/><Relationship Id="rId156" Type="http://schemas.openxmlformats.org/officeDocument/2006/relationships/hyperlink" Target="https://doi.org/10.1016/j.envsoft.2017.12.001" TargetMode="External"/><Relationship Id="rId166" Type="http://schemas.openxmlformats.org/officeDocument/2006/relationships/hyperlink" Target="https://doi.org/10.1016/j.foreco.2012.03.003" TargetMode="External"/><Relationship Id="rId147" Type="http://schemas.openxmlformats.org/officeDocument/2006/relationships/hyperlink" Target="https://doi.org/10.1016/j.isprsjprs.2019.10.013" TargetMode="External"/><Relationship Id="rId145" Type="http://schemas.openxmlformats.org/officeDocument/2006/relationships/hyperlink" Target="https://doi.org/10.1016/j.isprsjprs.2021.09.016" TargetMode="External"/><Relationship Id="rId162" Type="http://schemas.openxmlformats.org/officeDocument/2006/relationships/hyperlink" Target="https://doi.org/10.1016/j.patcog.2011.06.019" TargetMode="External"/><Relationship Id="rId103" Type="http://schemas.openxmlformats.org/officeDocument/2006/relationships/hyperlink" Target="https://doi.org/10.1016/j.rse.2004.01.019" TargetMode="External"/><Relationship Id="rId228" Type="http://schemas.openxmlformats.org/officeDocument/2006/relationships/hyperlink" Target="https://doi.org/10.1016/j.rse.2013.05.029" TargetMode="External"/><Relationship Id="rId119" Type="http://schemas.openxmlformats.org/officeDocument/2006/relationships/hyperlink" Target="https://doi.org/10.1016/j.rse.2017.06.031" TargetMode="External"/><Relationship Id="rId115" Type="http://schemas.openxmlformats.org/officeDocument/2006/relationships/hyperlink" Target="https://doi.org/10.1016/j.rse.2018.08.005" TargetMode="External"/><Relationship Id="rId97" Type="http://schemas.openxmlformats.org/officeDocument/2006/relationships/hyperlink" Target="https://doi.org/10.1016/j.rse.2019.111490" TargetMode="External"/><Relationship Id="rId123" Type="http://schemas.openxmlformats.org/officeDocument/2006/relationships/hyperlink" Target="https://doi.org/10.1016/j.rse.2026.115336" TargetMode="External"/><Relationship Id="rId226" Type="http://schemas.openxmlformats.org/officeDocument/2006/relationships/hyperlink" Target="https://doi.org/10.1016/j.tree.2018.08.001" TargetMode="External"/><Relationship Id="rId99" Type="http://schemas.openxmlformats.org/officeDocument/2006/relationships/hyperlink" Target="https://doi.org/10.1023/A:1010933404324" TargetMode="External"/><Relationship Id="rId178" Type="http://schemas.openxmlformats.org/officeDocument/2006/relationships/hyperlink" Target="https://doi.org/10.1038/s41467-020-18321-y" TargetMode="External"/><Relationship Id="rId154" Type="http://schemas.openxmlformats.org/officeDocument/2006/relationships/hyperlink" Target="https://doi.org/10.1038/s41467-022-29838-9" TargetMode="External"/><Relationship Id="rId214" Type="http://schemas.openxmlformats.org/officeDocument/2006/relationships/hyperlink" Target="https://doi.org/10.1038/s41597-020-0554-z" TargetMode="External"/><Relationship Id="rId186" Type="http://schemas.openxmlformats.org/officeDocument/2006/relationships/hyperlink" Target="https://doi.org/10.1038/s41598-020-70069-z" TargetMode="External"/><Relationship Id="rId170" Type="http://schemas.openxmlformats.org/officeDocument/2006/relationships/hyperlink" Target="https://doi.org/10.1038/s41598-025-06814-z" TargetMode="External"/><Relationship Id="rId111" Type="http://schemas.openxmlformats.org/officeDocument/2006/relationships/hyperlink" Target="https://doi.org/10.1038/s44304-026-00197-5" TargetMode="External"/><Relationship Id="rId93" Type="http://schemas.openxmlformats.org/officeDocument/2006/relationships/hyperlink" Target="https://doi.org/10.1071/WF19158" TargetMode="External"/><Relationship Id="rId200" Type="http://schemas.openxmlformats.org/officeDocument/2006/relationships/hyperlink" Target="https://doi.org/10.1071/WF22138" TargetMode="External"/><Relationship Id="rId95" Type="http://schemas.openxmlformats.org/officeDocument/2006/relationships/hyperlink" Target="https://doi.org/10.1080/19475705.2021.1909664" TargetMode="External"/><Relationship Id="rId160" Type="http://schemas.openxmlformats.org/officeDocument/2006/relationships/hyperlink" Target="https://doi.org/10.1088/1748-9326/ab541e" TargetMode="External"/><Relationship Id="rId202" Type="http://schemas.openxmlformats.org/officeDocument/2006/relationships/hyperlink" Target="https://doi.org/10.1109/MGRS.2016.2548504" TargetMode="External"/><Relationship Id="rId176" Type="http://schemas.openxmlformats.org/officeDocument/2006/relationships/hyperlink" Target="https://doi.org/10.1109/TGRS.2012.2192740" TargetMode="External"/><Relationship Id="rId206" Type="http://schemas.openxmlformats.org/officeDocument/2006/relationships/hyperlink" Target="https://doi.org/10.1111/2041-210X.13107" TargetMode="External"/><Relationship Id="rId192" Type="http://schemas.openxmlformats.org/officeDocument/2006/relationships/hyperlink" Target="https://doi.org/10.1111/2041-210X.13140" TargetMode="External"/><Relationship Id="rId152" Type="http://schemas.openxmlformats.org/officeDocument/2006/relationships/hyperlink" Target="https://doi.org/10.1111/2041-210X.13650" TargetMode="External"/><Relationship Id="rId158" Type="http://schemas.openxmlformats.org/officeDocument/2006/relationships/hyperlink" Target="https://doi.org/10.1111/2041-210X.13851" TargetMode="External"/><Relationship Id="rId182" Type="http://schemas.openxmlformats.org/officeDocument/2006/relationships/hyperlink" Target="https://doi.org/10.1111/ecog.02881" TargetMode="External"/><Relationship Id="rId210" Type="http://schemas.openxmlformats.org/officeDocument/2006/relationships/hyperlink" Target="https://doi.org/10.1111/ecog.05179" TargetMode="External"/><Relationship Id="rId184" Type="http://schemas.openxmlformats.org/officeDocument/2006/relationships/hyperlink" Target="https://doi.org/10.1111/ecog.06060" TargetMode="External"/><Relationship Id="rId141" Type="http://schemas.openxmlformats.org/officeDocument/2006/relationships/hyperlink" Target="https://doi.org/10.1111/geb.13635" TargetMode="External"/><Relationship Id="rId139" Type="http://schemas.openxmlformats.org/officeDocument/2006/relationships/hyperlink" Target="https://doi.org/10.1111/j.1466-8238.2007.00358.x" TargetMode="External"/><Relationship Id="rId129" Type="http://schemas.openxmlformats.org/officeDocument/2006/relationships/hyperlink" Target="https://doi.org/10.1111/j.1466-8238.2011.00683.x" TargetMode="External"/><Relationship Id="rId174" Type="http://schemas.openxmlformats.org/officeDocument/2006/relationships/hyperlink" Target="https://doi.org/10.1111/j.1466-8238.2012.00769.x" TargetMode="External"/><Relationship Id="rId220" Type="http://schemas.openxmlformats.org/officeDocument/2006/relationships/hyperlink" Target="https://doi.org/10.1111/j.1558-5646.2008.00482.x" TargetMode="External"/><Relationship Id="rId222" Type="http://schemas.openxmlformats.org/officeDocument/2006/relationships/hyperlink" Target="https://doi.org/10.1111/j.2041-210X.2011.00170.x" TargetMode="External"/><Relationship Id="rId127" Type="http://schemas.openxmlformats.org/officeDocument/2006/relationships/hyperlink" Target="https://doi.org/10.1139/er-2020-0019" TargetMode="External"/><Relationship Id="rId180" Type="http://schemas.openxmlformats.org/officeDocument/2006/relationships/hyperlink" Target="https://doi.org/10.1186/s42408-022-00150-7" TargetMode="External"/><Relationship Id="rId194" Type="http://schemas.openxmlformats.org/officeDocument/2006/relationships/hyperlink" Target="https://doi.org/10.1609/aaai.v30i1.10306" TargetMode="External"/><Relationship Id="rId168" Type="http://schemas.openxmlformats.org/officeDocument/2006/relationships/hyperlink" Target="https://doi.org/10.1890/07-1289.1" TargetMode="External"/><Relationship Id="rId121" Type="http://schemas.openxmlformats.org/officeDocument/2006/relationships/hyperlink" Target="https://doi.org/10.1890/11-0826.1" TargetMode="External"/><Relationship Id="rId190" Type="http://schemas.openxmlformats.org/officeDocument/2006/relationships/hyperlink" Target="https://doi.org/10.2307/1935534" TargetMode="External"/><Relationship Id="rId198" Type="http://schemas.openxmlformats.org/officeDocument/2006/relationships/hyperlink" Target="https://doi.org/10.3390/fire5010030" TargetMode="External"/><Relationship Id="rId149" Type="http://schemas.openxmlformats.org/officeDocument/2006/relationships/hyperlink" Target="https://doi.org/10.3390/fire7080276" TargetMode="External"/><Relationship Id="rId105" Type="http://schemas.openxmlformats.org/officeDocument/2006/relationships/hyperlink" Target="https://doi.org/10.3390/geomatics6010013" TargetMode="External"/><Relationship Id="rId196" Type="http://schemas.openxmlformats.org/officeDocument/2006/relationships/hyperlink" Target="https://doi.org/10.3390/geosciences10030105" TargetMode="External"/><Relationship Id="rId143" Type="http://schemas.openxmlformats.org/officeDocument/2006/relationships/hyperlink" Target="https://doi.org/10.3390/rs10111777" TargetMode="External"/><Relationship Id="rId133" Type="http://schemas.openxmlformats.org/officeDocument/2006/relationships/hyperlink" Target="https://doi.org/10.3390/rs14030602" TargetMode="External"/><Relationship Id="rId131" Type="http://schemas.openxmlformats.org/officeDocument/2006/relationships/hyperlink" Target="https://doi.org/10.3934/environsci.2026004" TargetMode="External"/><Relationship Id="rId137" Type="http://schemas.openxmlformats.org/officeDocument/2006/relationships/hyperlink" Target="https://doi.org/10.48550/arXiv.2511.11589" TargetMode="External"/><Relationship Id="rId224" Type="http://schemas.openxmlformats.org/officeDocument/2006/relationships/hyperlink" Target="https://doi.org/10.48550/arXiv.2605.18911" TargetMode="External"/><Relationship Id="rId204" Type="http://schemas.openxmlformats.org/officeDocument/2006/relationships/hyperlink" Target="https://doi.org/10.5066/P9OGBGM6" TargetMode="External"/><Relationship Id="rId117" Type="http://schemas.openxmlformats.org/officeDocument/2006/relationships/hyperlink" Target="https://doi.org/10.5067/MODIS/MCD64A1.061" TargetMode="External"/><Relationship Id="rId218" Type="http://schemas.openxmlformats.org/officeDocument/2006/relationships/hyperlink" Target="https://doi.org/10.5067/MODIS/MOD11A1.061" TargetMode="External"/><Relationship Id="rId113" Type="http://schemas.openxmlformats.org/officeDocument/2006/relationships/hyperlink" Target="https://doi.org/10.5067/VIIRS/VNP64A1.002" TargetMode="External"/><Relationship Id="rId164" Type="http://schemas.openxmlformats.org/officeDocument/2006/relationships/hyperlink" Target="https://doi.org/10.5194/essd-13-4349-2021" TargetMode="External"/><Relationship Id="rId109" Type="http://schemas.openxmlformats.org/officeDocument/2006/relationships/hyperlink" Target="https://doi.org/10.5194/nhess-25-4713-2025" TargetMode="External"/><Relationship Id="rId135" Type="http://schemas.openxmlformats.org/officeDocument/2006/relationships/hyperlink" Target="https://doi.org/10.52202/075280-2204" TargetMode="External"/><Relationship Id="rId107" Type="http://schemas.openxmlformats.org/officeDocument/2006/relationships/hyperlink" Target="https://doi.org/10.5270/ESA-c5d3d65" TargetMode="External"/><Relationship Id="rId80" Type="http://schemas.openxmlformats.org/officeDocument/2006/relationships/hyperlink" Target="https://doi.org/10.5281/zenodo.23070876" TargetMode="External"/><Relationship Id="rId232" Type="http://schemas.openxmlformats.org/officeDocument/2006/relationships/hyperlink" Target="https://doi.org/10.5281/zenodo.5571936" TargetMode="External"/><Relationship Id="rId230" Type="http://schemas.openxmlformats.org/officeDocument/2006/relationships/hyperlink" Target="https://doi.org/10.5281/zenodo.7254221" TargetMode="External"/><Relationship Id="rId82" Type="http://schemas.openxmlformats.org/officeDocument/2006/relationships/hyperlink" Target="https://github.com/dryuemco/thermal-twin" TargetMode="External"/><Relationship Id="rId81"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72" Type="http://schemas.openxmlformats.org/officeDocument/2006/relationships/hyperlink" Target="https://doi.org/10.1002/fee.2359" TargetMode="External"/><Relationship Id="rId89" Type="http://schemas.openxmlformats.org/officeDocument/2006/relationships/hyperlink" Target="https://doi.org/10.1007/s12145-023-00953-5" TargetMode="External"/><Relationship Id="rId212" Type="http://schemas.openxmlformats.org/officeDocument/2006/relationships/hyperlink" Target="https://doi.org/10.1007/s44163-026-00921-0" TargetMode="External"/><Relationship Id="rId188" Type="http://schemas.openxmlformats.org/officeDocument/2006/relationships/hyperlink" Target="https://doi.org/10.1016/S0034-4257(01)00274-7" TargetMode="External"/><Relationship Id="rId125" Type="http://schemas.openxmlformats.org/officeDocument/2006/relationships/hyperlink" Target="https://doi.org/10.1016/j.ecoinf.2022.101647" TargetMode="External"/><Relationship Id="rId101" Type="http://schemas.openxmlformats.org/officeDocument/2006/relationships/hyperlink" Target="https://doi.org/10.1016/j.ecoinf.2022.101665" TargetMode="External"/><Relationship Id="rId208" Type="http://schemas.openxmlformats.org/officeDocument/2006/relationships/hyperlink" Target="https://doi.org/10.1016/j.ecolmodel.2008.11.010" TargetMode="External"/><Relationship Id="rId91" Type="http://schemas.openxmlformats.org/officeDocument/2006/relationships/hyperlink" Target="https://doi.org/10.1016/j.ecolmodel.2011.02.011" TargetMode="External"/><Relationship Id="rId216" Type="http://schemas.openxmlformats.org/officeDocument/2006/relationships/hyperlink" Target="https://doi.org/10.1016/j.ecolmodel.2021.109692" TargetMode="External"/><Relationship Id="rId156" Type="http://schemas.openxmlformats.org/officeDocument/2006/relationships/hyperlink" Target="https://doi.org/10.1016/j.envsoft.2017.12.001" TargetMode="External"/><Relationship Id="rId166" Type="http://schemas.openxmlformats.org/officeDocument/2006/relationships/hyperlink" Target="https://doi.org/10.1016/j.foreco.2012.03.003" TargetMode="External"/><Relationship Id="rId147" Type="http://schemas.openxmlformats.org/officeDocument/2006/relationships/hyperlink" Target="https://doi.org/10.1016/j.isprsjprs.2019.10.013" TargetMode="External"/><Relationship Id="rId145" Type="http://schemas.openxmlformats.org/officeDocument/2006/relationships/hyperlink" Target="https://doi.org/10.1016/j.isprsjprs.2021.09.016" TargetMode="External"/><Relationship Id="rId162" Type="http://schemas.openxmlformats.org/officeDocument/2006/relationships/hyperlink" Target="https://doi.org/10.1016/j.patcog.2011.06.019" TargetMode="External"/><Relationship Id="rId103" Type="http://schemas.openxmlformats.org/officeDocument/2006/relationships/hyperlink" Target="https://doi.org/10.1016/j.rse.2004.01.019" TargetMode="External"/><Relationship Id="rId228" Type="http://schemas.openxmlformats.org/officeDocument/2006/relationships/hyperlink" Target="https://doi.org/10.1016/j.rse.2013.05.029" TargetMode="External"/><Relationship Id="rId119" Type="http://schemas.openxmlformats.org/officeDocument/2006/relationships/hyperlink" Target="https://doi.org/10.1016/j.rse.2017.06.031" TargetMode="External"/><Relationship Id="rId115" Type="http://schemas.openxmlformats.org/officeDocument/2006/relationships/hyperlink" Target="https://doi.org/10.1016/j.rse.2018.08.005" TargetMode="External"/><Relationship Id="rId97" Type="http://schemas.openxmlformats.org/officeDocument/2006/relationships/hyperlink" Target="https://doi.org/10.1016/j.rse.2019.111490" TargetMode="External"/><Relationship Id="rId123" Type="http://schemas.openxmlformats.org/officeDocument/2006/relationships/hyperlink" Target="https://doi.org/10.1016/j.rse.2026.115336" TargetMode="External"/><Relationship Id="rId226" Type="http://schemas.openxmlformats.org/officeDocument/2006/relationships/hyperlink" Target="https://doi.org/10.1016/j.tree.2018.08.001" TargetMode="External"/><Relationship Id="rId99" Type="http://schemas.openxmlformats.org/officeDocument/2006/relationships/hyperlink" Target="https://doi.org/10.1023/A:1010933404324" TargetMode="External"/><Relationship Id="rId178" Type="http://schemas.openxmlformats.org/officeDocument/2006/relationships/hyperlink" Target="https://doi.org/10.1038/s41467-020-18321-y" TargetMode="External"/><Relationship Id="rId154" Type="http://schemas.openxmlformats.org/officeDocument/2006/relationships/hyperlink" Target="https://doi.org/10.1038/s41467-022-29838-9" TargetMode="External"/><Relationship Id="rId214" Type="http://schemas.openxmlformats.org/officeDocument/2006/relationships/hyperlink" Target="https://doi.org/10.1038/s41597-020-0554-z" TargetMode="External"/><Relationship Id="rId186" Type="http://schemas.openxmlformats.org/officeDocument/2006/relationships/hyperlink" Target="https://doi.org/10.1038/s41598-020-70069-z" TargetMode="External"/><Relationship Id="rId170" Type="http://schemas.openxmlformats.org/officeDocument/2006/relationships/hyperlink" Target="https://doi.org/10.1038/s41598-025-06814-z" TargetMode="External"/><Relationship Id="rId111" Type="http://schemas.openxmlformats.org/officeDocument/2006/relationships/hyperlink" Target="https://doi.org/10.1038/s44304-026-00197-5" TargetMode="External"/><Relationship Id="rId93" Type="http://schemas.openxmlformats.org/officeDocument/2006/relationships/hyperlink" Target="https://doi.org/10.1071/WF19158" TargetMode="External"/><Relationship Id="rId200" Type="http://schemas.openxmlformats.org/officeDocument/2006/relationships/hyperlink" Target="https://doi.org/10.1071/WF22138" TargetMode="External"/><Relationship Id="rId95" Type="http://schemas.openxmlformats.org/officeDocument/2006/relationships/hyperlink" Target="https://doi.org/10.1080/19475705.2021.1909664" TargetMode="External"/><Relationship Id="rId160" Type="http://schemas.openxmlformats.org/officeDocument/2006/relationships/hyperlink" Target="https://doi.org/10.1088/1748-9326/ab541e" TargetMode="External"/><Relationship Id="rId202" Type="http://schemas.openxmlformats.org/officeDocument/2006/relationships/hyperlink" Target="https://doi.org/10.1109/MGRS.2016.2548504" TargetMode="External"/><Relationship Id="rId176" Type="http://schemas.openxmlformats.org/officeDocument/2006/relationships/hyperlink" Target="https://doi.org/10.1109/TGRS.2012.2192740" TargetMode="External"/><Relationship Id="rId206" Type="http://schemas.openxmlformats.org/officeDocument/2006/relationships/hyperlink" Target="https://doi.org/10.1111/2041-210X.13107" TargetMode="External"/><Relationship Id="rId192" Type="http://schemas.openxmlformats.org/officeDocument/2006/relationships/hyperlink" Target="https://doi.org/10.1111/2041-210X.13140" TargetMode="External"/><Relationship Id="rId152" Type="http://schemas.openxmlformats.org/officeDocument/2006/relationships/hyperlink" Target="https://doi.org/10.1111/2041-210X.13650" TargetMode="External"/><Relationship Id="rId158" Type="http://schemas.openxmlformats.org/officeDocument/2006/relationships/hyperlink" Target="https://doi.org/10.1111/2041-210X.13851" TargetMode="External"/><Relationship Id="rId182" Type="http://schemas.openxmlformats.org/officeDocument/2006/relationships/hyperlink" Target="https://doi.org/10.1111/ecog.02881" TargetMode="External"/><Relationship Id="rId210" Type="http://schemas.openxmlformats.org/officeDocument/2006/relationships/hyperlink" Target="https://doi.org/10.1111/ecog.05179" TargetMode="External"/><Relationship Id="rId184" Type="http://schemas.openxmlformats.org/officeDocument/2006/relationships/hyperlink" Target="https://doi.org/10.1111/ecog.06060" TargetMode="External"/><Relationship Id="rId141" Type="http://schemas.openxmlformats.org/officeDocument/2006/relationships/hyperlink" Target="https://doi.org/10.1111/geb.13635" TargetMode="External"/><Relationship Id="rId139" Type="http://schemas.openxmlformats.org/officeDocument/2006/relationships/hyperlink" Target="https://doi.org/10.1111/j.1466-8238.2007.00358.x" TargetMode="External"/><Relationship Id="rId129" Type="http://schemas.openxmlformats.org/officeDocument/2006/relationships/hyperlink" Target="https://doi.org/10.1111/j.1466-8238.2011.00683.x" TargetMode="External"/><Relationship Id="rId174" Type="http://schemas.openxmlformats.org/officeDocument/2006/relationships/hyperlink" Target="https://doi.org/10.1111/j.1466-8238.2012.00769.x" TargetMode="External"/><Relationship Id="rId220" Type="http://schemas.openxmlformats.org/officeDocument/2006/relationships/hyperlink" Target="https://doi.org/10.1111/j.1558-5646.2008.00482.x" TargetMode="External"/><Relationship Id="rId222" Type="http://schemas.openxmlformats.org/officeDocument/2006/relationships/hyperlink" Target="https://doi.org/10.1111/j.2041-210X.2011.00170.x" TargetMode="External"/><Relationship Id="rId127" Type="http://schemas.openxmlformats.org/officeDocument/2006/relationships/hyperlink" Target="https://doi.org/10.1139/er-2020-0019" TargetMode="External"/><Relationship Id="rId180" Type="http://schemas.openxmlformats.org/officeDocument/2006/relationships/hyperlink" Target="https://doi.org/10.1186/s42408-022-00150-7" TargetMode="External"/><Relationship Id="rId194" Type="http://schemas.openxmlformats.org/officeDocument/2006/relationships/hyperlink" Target="https://doi.org/10.1609/aaai.v30i1.10306" TargetMode="External"/><Relationship Id="rId168" Type="http://schemas.openxmlformats.org/officeDocument/2006/relationships/hyperlink" Target="https://doi.org/10.1890/07-1289.1" TargetMode="External"/><Relationship Id="rId121" Type="http://schemas.openxmlformats.org/officeDocument/2006/relationships/hyperlink" Target="https://doi.org/10.1890/11-0826.1" TargetMode="External"/><Relationship Id="rId190" Type="http://schemas.openxmlformats.org/officeDocument/2006/relationships/hyperlink" Target="https://doi.org/10.2307/1935534" TargetMode="External"/><Relationship Id="rId198" Type="http://schemas.openxmlformats.org/officeDocument/2006/relationships/hyperlink" Target="https://doi.org/10.3390/fire5010030" TargetMode="External"/><Relationship Id="rId149" Type="http://schemas.openxmlformats.org/officeDocument/2006/relationships/hyperlink" Target="https://doi.org/10.3390/fire7080276" TargetMode="External"/><Relationship Id="rId105" Type="http://schemas.openxmlformats.org/officeDocument/2006/relationships/hyperlink" Target="https://doi.org/10.3390/geomatics6010013" TargetMode="External"/><Relationship Id="rId196" Type="http://schemas.openxmlformats.org/officeDocument/2006/relationships/hyperlink" Target="https://doi.org/10.3390/geosciences10030105" TargetMode="External"/><Relationship Id="rId143" Type="http://schemas.openxmlformats.org/officeDocument/2006/relationships/hyperlink" Target="https://doi.org/10.3390/rs10111777" TargetMode="External"/><Relationship Id="rId133" Type="http://schemas.openxmlformats.org/officeDocument/2006/relationships/hyperlink" Target="https://doi.org/10.3390/rs14030602" TargetMode="External"/><Relationship Id="rId131" Type="http://schemas.openxmlformats.org/officeDocument/2006/relationships/hyperlink" Target="https://doi.org/10.3934/environsci.2026004" TargetMode="External"/><Relationship Id="rId137" Type="http://schemas.openxmlformats.org/officeDocument/2006/relationships/hyperlink" Target="https://doi.org/10.48550/arXiv.2511.11589" TargetMode="External"/><Relationship Id="rId224" Type="http://schemas.openxmlformats.org/officeDocument/2006/relationships/hyperlink" Target="https://doi.org/10.48550/arXiv.2605.18911" TargetMode="External"/><Relationship Id="rId204" Type="http://schemas.openxmlformats.org/officeDocument/2006/relationships/hyperlink" Target="https://doi.org/10.5066/P9OGBGM6" TargetMode="External"/><Relationship Id="rId117" Type="http://schemas.openxmlformats.org/officeDocument/2006/relationships/hyperlink" Target="https://doi.org/10.5067/MODIS/MCD64A1.061" TargetMode="External"/><Relationship Id="rId218" Type="http://schemas.openxmlformats.org/officeDocument/2006/relationships/hyperlink" Target="https://doi.org/10.5067/MODIS/MOD11A1.061" TargetMode="External"/><Relationship Id="rId113" Type="http://schemas.openxmlformats.org/officeDocument/2006/relationships/hyperlink" Target="https://doi.org/10.5067/VIIRS/VNP64A1.002" TargetMode="External"/><Relationship Id="rId164" Type="http://schemas.openxmlformats.org/officeDocument/2006/relationships/hyperlink" Target="https://doi.org/10.5194/essd-13-4349-2021" TargetMode="External"/><Relationship Id="rId109" Type="http://schemas.openxmlformats.org/officeDocument/2006/relationships/hyperlink" Target="https://doi.org/10.5194/nhess-25-4713-2025" TargetMode="External"/><Relationship Id="rId135" Type="http://schemas.openxmlformats.org/officeDocument/2006/relationships/hyperlink" Target="https://doi.org/10.52202/075280-2204" TargetMode="External"/><Relationship Id="rId107" Type="http://schemas.openxmlformats.org/officeDocument/2006/relationships/hyperlink" Target="https://doi.org/10.5270/ESA-c5d3d65" TargetMode="External"/><Relationship Id="rId80" Type="http://schemas.openxmlformats.org/officeDocument/2006/relationships/hyperlink" Target="https://doi.org/10.5281/zenodo.23070876" TargetMode="External"/><Relationship Id="rId232" Type="http://schemas.openxmlformats.org/officeDocument/2006/relationships/hyperlink" Target="https://doi.org/10.5281/zenodo.5571936" TargetMode="External"/><Relationship Id="rId230" Type="http://schemas.openxmlformats.org/officeDocument/2006/relationships/hyperlink" Target="https://doi.org/10.5281/zenodo.7254221" TargetMode="External"/><Relationship Id="rId82" Type="http://schemas.openxmlformats.org/officeDocument/2006/relationships/hyperlink" Target="https://github.com/dryuemco/thermal-twin" TargetMode="External"/><Relationship Id="rId81"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wildfire model transfer</dc:title>
  <dc:creator>Emrehan Metin; Yunus Emre Cogurcu</dc:creator>
  <dc:language>en-GB</dc:language>
  <cp:keywords/>
  <dcterms:created xsi:type="dcterms:W3CDTF">2026-10-12T14:22:18Z</dcterms:created>
  <dcterms:modified xsi:type="dcterms:W3CDTF">2026-10-12T14:22:18Z</dcterms:modified>
  <cp:lastModifiedBy/>
  <dc:description/>
  <dc:subject/>
  <cp:category/>
  <dc:identifier/>
  <cp:revision>1</cp:revision>
</cp:coreProperties>
</file>