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[BEFORE SENDING: Fire requires the first statement below to be true. Send this letter only when</w:t>
      </w:r>
      <w:r>
        <w:t xml:space="preserve"> </w:t>
      </w:r>
      <w:r>
        <w:t xml:space="preserve">the manuscript is not under consideration at Natural Hazards or any other journal; then delete this</w:t>
      </w:r>
      <w:r>
        <w:t xml:space="preserve"> </w:t>
      </w:r>
      <w:r>
        <w:t xml:space="preserve">line, date and sign.]</w:t>
      </w:r>
    </w:p>
    <w:p>
      <w:pPr>
        <w:pStyle w:val="BodyText"/>
      </w:pPr>
      <w:r>
        <w:t xml:space="preserve">Adana, [DATE]</w:t>
      </w:r>
    </w:p>
    <w:p>
      <w:pPr>
        <w:pStyle w:val="BodyText"/>
      </w:pPr>
      <w:r>
        <w:t xml:space="preserve">To the Editor-in-Chief,</w:t>
      </w:r>
      <w:r>
        <w:t xml:space="preserve"> </w:t>
      </w:r>
      <w:r>
        <w:rPr>
          <w:i/>
          <w:iCs/>
        </w:rPr>
        <w:t xml:space="preserve">Fire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submit the manuscript</w:t>
      </w:r>
      <w:r>
        <w:t xml:space="preserve"> </w:t>
      </w:r>
      <w:r>
        <w:t xml:space="preserve">“Evaluation area and the limits of cross-region transfer of pre-fire thermal wildfire models: five large Mediterranean fires”</w:t>
      </w:r>
      <w:r>
        <w:t xml:space="preserve"> </w:t>
      </w:r>
      <w:r>
        <w:t xml:space="preserve">for consideration as an Article in</w:t>
      </w:r>
      <w:r>
        <w:t xml:space="preserve"> </w:t>
      </w:r>
      <w:r>
        <w:rPr>
          <w:i/>
          <w:iCs/>
        </w:rPr>
        <w:t xml:space="preserve">Fire</w:t>
      </w:r>
      <w:r>
        <w:t xml:space="preserve">.</w:t>
      </w:r>
    </w:p>
    <w:p>
      <w:pPr>
        <w:pStyle w:val="BodyText"/>
      </w:pPr>
      <w:r>
        <w:t xml:space="preserve">Wildfire susceptibility models built from satellite predictors are usually validated in the region</w:t>
      </w:r>
      <w:r>
        <w:t xml:space="preserve"> </w:t>
      </w:r>
      <w:r>
        <w:t xml:space="preserve">where they were trained, and their skill in other regions is rarely measured. We added six pre-fire</w:t>
      </w:r>
      <w:r>
        <w:t xml:space="preserve"> </w:t>
      </w:r>
      <w:r>
        <w:t xml:space="preserve">land surface temperature and dryness predictors from Landsat and MODIS to a static baseline, trained</w:t>
      </w:r>
      <w:r>
        <w:t xml:space="preserve"> </w:t>
      </w:r>
      <w:r>
        <w:t xml:space="preserve">random forests in five Mediterranean regions with one large fire season each (Manavgat and Muğla,</w:t>
      </w:r>
      <w:r>
        <w:t xml:space="preserve"> </w:t>
      </w:r>
      <w:r>
        <w:t xml:space="preserve">Türkiye; Bejís, Spain; North Evia, Greece; Montiferru, Italy), and measured two things that are</w:t>
      </w:r>
      <w:r>
        <w:t xml:space="preserve"> </w:t>
      </w:r>
      <w:r>
        <w:t xml:space="preserve">usually assumed. First, the evaluation area changes the score: the same model lost 0.160 ROC-AUC</w:t>
      </w:r>
      <w:r>
        <w:t xml:space="preserve"> </w:t>
      </w:r>
      <w:r>
        <w:t xml:space="preserve">when it was scored on the burn scar and a 2 km collar instead of the whole study area. Second, local</w:t>
      </w:r>
      <w:r>
        <w:t xml:space="preserve"> </w:t>
      </w:r>
      <w:r>
        <w:t xml:space="preserve">skill transferred at most weakly: the thermal predictors added +0.045 to +0.148 within regions but</w:t>
      </w:r>
      <w:r>
        <w:t xml:space="preserve"> </w:t>
      </w:r>
      <w:r>
        <w:t xml:space="preserve">only +0.007 across twenty transfer directions, and none of twenty similarity measures predicted</w:t>
      </w:r>
      <w:r>
        <w:t xml:space="preserve"> </w:t>
      </w:r>
      <w:r>
        <w:t xml:space="preserve">which transfers would work.</w:t>
      </w:r>
    </w:p>
    <w:p>
      <w:pPr>
        <w:pStyle w:val="BodyText"/>
      </w:pPr>
      <w:r>
        <w:t xml:space="preserve">The manuscript fits the scope of</w:t>
      </w:r>
      <w:r>
        <w:t xml:space="preserve"> </w:t>
      </w:r>
      <w:r>
        <w:rPr>
          <w:i/>
          <w:iCs/>
        </w:rPr>
        <w:t xml:space="preserve">Fire</w:t>
      </w:r>
      <w:r>
        <w:t xml:space="preserve"> </w:t>
      </w:r>
      <w:r>
        <w:t xml:space="preserve">because it concerns the science and technology of fire</w:t>
      </w:r>
      <w:r>
        <w:t xml:space="preserve"> </w:t>
      </w:r>
      <w:r>
        <w:t xml:space="preserve">susceptibility mapping: how pre-fire satellite observations of the land surface relate to where fires</w:t>
      </w:r>
      <w:r>
        <w:t xml:space="preserve"> </w:t>
      </w:r>
      <w:r>
        <w:t xml:space="preserve">burn, and how such models should be evaluated before fire managers use a model built in another</w:t>
      </w:r>
      <w:r>
        <w:t xml:space="preserve"> </w:t>
      </w:r>
      <w:r>
        <w:t xml:space="preserve">region. All satellite inputs are public, and the analysis code, the modelling datasets and the frozen</w:t>
      </w:r>
      <w:r>
        <w:t xml:space="preserve"> </w:t>
      </w:r>
      <w:r>
        <w:t xml:space="preserve">outputs behind every reported number are archived at Zenodo, so every result can be re-run.</w:t>
      </w:r>
    </w:p>
    <w:p>
      <w:pPr>
        <w:pStyle w:val="BodyText"/>
      </w:pPr>
      <w:r>
        <w:t xml:space="preserve">We confirm that neither the manuscript nor any parts of its content are currently under consideration</w:t>
      </w:r>
      <w:r>
        <w:t xml:space="preserve"> </w:t>
      </w:r>
      <w:r>
        <w:t xml:space="preserve">for publication with or published in another journal. All authors have approved the manuscript and</w:t>
      </w:r>
      <w:r>
        <w:t xml:space="preserve"> </w:t>
      </w:r>
      <w:r>
        <w:t xml:space="preserve">agree with its submission to</w:t>
      </w:r>
      <w:r>
        <w:t xml:space="preserve"> </w:t>
      </w:r>
      <w:r>
        <w:rPr>
          <w:i/>
          <w:iCs/>
        </w:rPr>
        <w:t xml:space="preserve">Fire</w:t>
      </w:r>
      <w:r>
        <w:t xml:space="preserve">. The manuscript has not been submitted to an MDPI journal before.</w:t>
      </w:r>
      <w:r>
        <w:t xml:space="preserve"> </w:t>
      </w:r>
      <w:r>
        <w:t xml:space="preserve">Suggested reviewers are entered in the submission system.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Yunus Emre Cogurcu (corresponding author)</w:t>
      </w:r>
      <w:r>
        <w:br/>
      </w:r>
      <w:r>
        <w:t xml:space="preserve">Department of Computer Engineering, Faculty of Engineering, Çukurova University, 01330 Sarıçam,</w:t>
      </w:r>
      <w:r>
        <w:t xml:space="preserve"> </w:t>
      </w:r>
      <w:r>
        <w:t xml:space="preserve">Adana, Türkiye</w:t>
      </w:r>
      <w:r>
        <w:br/>
      </w:r>
      <w:r>
        <w:t xml:space="preserve">ycogurcu@cu.edu.tr</w:t>
      </w:r>
    </w:p>
    <w:sectPr>
      <w:footerReference r:id="rId9" w:type="default"/>
      <w:footnotePr>
        <w:numRestart w:val="eachSect"/>
      </w:footnotePr>
      <w:pgSz w:h="16838" w:w="11906"/>
      <w:pgMar w:bottom="1417" w:left="1417" w:right="1417" w:top="1417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b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480" w:lineRule="auto"/>
    </w:pPr>
    <w:rPr>
      <w:rFonts w:ascii="Times New Roman" w:cs="Times New Roman" w:eastAsia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1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Emrehan Metin; Yunus Emre Cogurcu</dc:creator>
  <cp:keywords/>
  <dcterms:created xsi:type="dcterms:W3CDTF">2026-09-30T18:26:35Z</dcterms:created>
  <dcterms:modified xsi:type="dcterms:W3CDTF">2026-09-30T18:26:35Z</dcterms:modified>
  <cp:lastModifiedBy/>
  <dc:description/>
  <dc:subject/>
  <cp:category/>
  <dc:identifier/>
  <cp:revision>1</cp:revision>
</cp:coreProperties>
</file>