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w:t>
      </w:r>
    </w:p>
    <w:p>
      <w:pPr>
        <w:pStyle w:val="Subtitle"/>
      </w:pPr>
      <w:r>
        <w:t xml:space="preserve">Evaluation area and the limits of cross-region transfer of pre-fire thermal wildfire models: five large Mediterranean fires</w:t>
      </w:r>
    </w:p>
    <w:p>
      <w:pPr>
        <w:pStyle w:val="FirstParagraph"/>
      </w:pPr>
      <w:r>
        <w:t xml:space="preserve">Supplementary material for</w:t>
      </w:r>
      <w:r>
        <w:t xml:space="preserve"> </w:t>
      </w:r>
      <w:r>
        <w:rPr>
          <w:i/>
          <w:iCs/>
        </w:rPr>
        <w:t xml:space="preserve">Evaluation area and the limits of cross-region transfer of pre-fire thermal wildfire models: five large Mediterranean fires</w:t>
      </w:r>
      <w:r>
        <w:t xml:space="preserve">.</w:t>
      </w:r>
    </w:p>
    <w:p>
      <w:pPr>
        <w:pStyle w:val="BodyText"/>
      </w:pPr>
      <w:r>
        <w:t xml:space="preserve">Section S1 gives the sensitivity analyses and the details behind the Results. Section S2 gives the</w:t>
      </w:r>
      <w:r>
        <w:t xml:space="preserve"> </w:t>
      </w:r>
      <w:r>
        <w:t xml:space="preserve">supporting tables, Section S3 the protocol details and limitations, Section S4 the target-label</w:t>
      </w:r>
      <w:r>
        <w:t xml:space="preserve"> </w:t>
      </w:r>
      <w:r>
        <w:t xml:space="preserve">recovery curve, Section S5 the code and Section S6 the data. Tables are numbered S1 to S36,</w:t>
      </w:r>
      <w:r>
        <w:t xml:space="preserve"> </w:t>
      </w:r>
      <w:r>
        <w:t xml:space="preserve">independently of the sections. Supplementary equations are numbered (S1), (S2) and so on. Every value</w:t>
      </w:r>
      <w:r>
        <w:t xml:space="preserve"> </w:t>
      </w:r>
      <w:r>
        <w:t xml:space="preserve">is read from a released output, named by its path in the repository</w:t>
      </w:r>
      <w:r>
        <w:t xml:space="preserve"> </w:t>
      </w:r>
      <w:hyperlink r:id="rId18">
        <w:r>
          <w:rPr>
            <w:rStyle w:val="Hyperlink"/>
          </w:rPr>
          <w:t xml:space="preserve">https://github.com/dryuemco/thermal-twin</w:t>
        </w:r>
      </w:hyperlink>
      <w:r>
        <w:t xml:space="preserve">. Paths that begin with</w:t>
      </w:r>
      <w:r>
        <w:t xml:space="preserve"> </w:t>
      </w:r>
      <w:r>
        <w:rPr>
          <w:rStyle w:val="VerbatimChar"/>
        </w:rPr>
        <w:t xml:space="preserve">paper/labelfix_rerun/</w:t>
      </w:r>
      <w:r>
        <w:t xml:space="preserve"> </w:t>
      </w:r>
      <w:r>
        <w:t xml:space="preserve">hold the</w:t>
      </w:r>
      <w:r>
        <w:t xml:space="preserve"> </w:t>
      </w:r>
      <w:r>
        <w:t xml:space="preserve">corrected-label outputs. Values computed under the original Manavgat label are marked</w:t>
      </w:r>
      <w:r>
        <w:t xml:space="preserve"> </w:t>
      </w:r>
      <w:r>
        <w:t xml:space="preserve">“original</w:t>
      </w:r>
      <w:r>
        <w:t xml:space="preserve"> </w:t>
      </w:r>
      <w:r>
        <w:t xml:space="preserve">label”</w:t>
      </w:r>
      <w:r>
        <w:t xml:space="preserve">.</w:t>
      </w:r>
    </w:p>
    <w:bookmarkStart w:id="19" w:name="contents"/>
    <w:p>
      <w:pPr>
        <w:pStyle w:val="Heading2"/>
      </w:pPr>
      <w:r>
        <w:t xml:space="preserve">Contents</w:t>
      </w:r>
    </w:p>
    <w:p>
      <w:pPr>
        <w:pStyle w:val="Compact"/>
        <w:numPr>
          <w:ilvl w:val="0"/>
          <w:numId w:val="1001"/>
        </w:numPr>
      </w:pPr>
      <w:r>
        <w:t xml:space="preserve">S1 Sensitivity analyses and detail</w:t>
      </w:r>
    </w:p>
    <w:p>
      <w:pPr>
        <w:pStyle w:val="Compact"/>
        <w:numPr>
          <w:ilvl w:val="1"/>
          <w:numId w:val="1002"/>
        </w:numPr>
      </w:pPr>
      <w:r>
        <w:t xml:space="preserve">S1.1 Evia AOI and prevalence</w:t>
      </w:r>
    </w:p>
    <w:p>
      <w:pPr>
        <w:pStyle w:val="Compact"/>
        <w:numPr>
          <w:ilvl w:val="1"/>
          <w:numId w:val="1002"/>
        </w:numPr>
      </w:pPr>
      <w:r>
        <w:t xml:space="preserve">S1.2 CORAL regularisation</w:t>
      </w:r>
    </w:p>
    <w:p>
      <w:pPr>
        <w:pStyle w:val="Compact"/>
        <w:numPr>
          <w:ilvl w:val="1"/>
          <w:numId w:val="1002"/>
        </w:numPr>
      </w:pPr>
      <w:r>
        <w:t xml:space="preserve">S1.3 Blocking scale</w:t>
      </w:r>
    </w:p>
    <w:p>
      <w:pPr>
        <w:pStyle w:val="Compact"/>
        <w:numPr>
          <w:ilvl w:val="1"/>
          <w:numId w:val="1002"/>
        </w:numPr>
      </w:pPr>
      <w:r>
        <w:t xml:space="preserve">S1.4 Predictor-window closure</w:t>
      </w:r>
    </w:p>
    <w:p>
      <w:pPr>
        <w:pStyle w:val="Compact"/>
        <w:numPr>
          <w:ilvl w:val="1"/>
          <w:numId w:val="1002"/>
        </w:numPr>
      </w:pPr>
      <w:r>
        <w:t xml:space="preserve">S1.5 Quality screening of the coarse thermal input</w:t>
      </w:r>
    </w:p>
    <w:p>
      <w:pPr>
        <w:pStyle w:val="Compact"/>
        <w:numPr>
          <w:ilvl w:val="1"/>
          <w:numId w:val="1002"/>
        </w:numPr>
      </w:pPr>
      <w:r>
        <w:t xml:space="preserve">S1.6 Normalised against absolute dryness channels</w:t>
      </w:r>
    </w:p>
    <w:p>
      <w:pPr>
        <w:pStyle w:val="Compact"/>
        <w:numPr>
          <w:ilvl w:val="1"/>
          <w:numId w:val="1002"/>
        </w:numPr>
      </w:pPr>
      <w:r>
        <w:t xml:space="preserve">S1.7 The coordinate-informed channels</w:t>
      </w:r>
    </w:p>
    <w:p>
      <w:pPr>
        <w:pStyle w:val="Compact"/>
        <w:numPr>
          <w:ilvl w:val="1"/>
          <w:numId w:val="1002"/>
        </w:numPr>
      </w:pPr>
      <w:r>
        <w:t xml:space="preserve">S1.8 Model capacity</w:t>
      </w:r>
    </w:p>
    <w:p>
      <w:pPr>
        <w:pStyle w:val="Compact"/>
        <w:numPr>
          <w:ilvl w:val="1"/>
          <w:numId w:val="1002"/>
        </w:numPr>
      </w:pPr>
      <w:r>
        <w:t xml:space="preserve">S1.9 The four evaluations of Section 4.3, in full</w:t>
      </w:r>
    </w:p>
    <w:p>
      <w:pPr>
        <w:pStyle w:val="Compact"/>
        <w:numPr>
          <w:ilvl w:val="1"/>
          <w:numId w:val="1002"/>
        </w:numPr>
      </w:pPr>
      <w:r>
        <w:t xml:space="preserve">S1.10 The transfer-gap decomposition, in full</w:t>
      </w:r>
    </w:p>
    <w:p>
      <w:pPr>
        <w:pStyle w:val="Compact"/>
        <w:numPr>
          <w:ilvl w:val="1"/>
          <w:numId w:val="1002"/>
        </w:numPr>
      </w:pPr>
      <w:r>
        <w:t xml:space="preserve">S1.11 The thermal sign, stratified</w:t>
      </w:r>
    </w:p>
    <w:p>
      <w:pPr>
        <w:pStyle w:val="Compact"/>
        <w:numPr>
          <w:ilvl w:val="1"/>
          <w:numId w:val="1002"/>
        </w:numPr>
      </w:pPr>
      <w:r>
        <w:t xml:space="preserve">S1.12 The LST anomaly under the difference instrument</w:t>
      </w:r>
    </w:p>
    <w:p>
      <w:pPr>
        <w:pStyle w:val="Compact"/>
        <w:numPr>
          <w:ilvl w:val="1"/>
          <w:numId w:val="1002"/>
        </w:numPr>
      </w:pPr>
      <w:r>
        <w:t xml:space="preserve">S1.13 The same-geography event pair</w:t>
      </w:r>
    </w:p>
    <w:p>
      <w:pPr>
        <w:pStyle w:val="Compact"/>
        <w:numPr>
          <w:ilvl w:val="1"/>
          <w:numId w:val="1002"/>
        </w:numPr>
      </w:pPr>
      <w:r>
        <w:t xml:space="preserve">S1.14 The two interventions, in full</w:t>
      </w:r>
    </w:p>
    <w:p>
      <w:pPr>
        <w:pStyle w:val="Compact"/>
        <w:numPr>
          <w:ilvl w:val="1"/>
          <w:numId w:val="1002"/>
        </w:numPr>
      </w:pPr>
      <w:r>
        <w:t xml:space="preserve">S1.15 The paired thermal contribution to transfer</w:t>
      </w:r>
    </w:p>
    <w:p>
      <w:pPr>
        <w:pStyle w:val="Compact"/>
        <w:numPr>
          <w:ilvl w:val="1"/>
          <w:numId w:val="1002"/>
        </w:numPr>
      </w:pPr>
      <w:r>
        <w:t xml:space="preserve">S1.16 The contrast pair, in full</w:t>
      </w:r>
    </w:p>
    <w:p>
      <w:pPr>
        <w:pStyle w:val="Compact"/>
        <w:numPr>
          <w:ilvl w:val="1"/>
          <w:numId w:val="1002"/>
        </w:numPr>
      </w:pPr>
      <w:r>
        <w:t xml:space="preserve">S1.17 The sensitivity arms, summarised</w:t>
      </w:r>
    </w:p>
    <w:p>
      <w:pPr>
        <w:pStyle w:val="Compact"/>
        <w:numPr>
          <w:ilvl w:val="1"/>
          <w:numId w:val="1002"/>
        </w:numPr>
      </w:pPr>
      <w:r>
        <w:t xml:space="preserve">S1.18 Distance within a region</w:t>
      </w:r>
    </w:p>
    <w:p>
      <w:pPr>
        <w:pStyle w:val="Compact"/>
        <w:numPr>
          <w:ilvl w:val="1"/>
          <w:numId w:val="1002"/>
        </w:numPr>
      </w:pPr>
      <w:r>
        <w:t xml:space="preserve">S1.19 The frame test, elaborated</w:t>
      </w:r>
    </w:p>
    <w:p>
      <w:pPr>
        <w:pStyle w:val="Compact"/>
        <w:numPr>
          <w:ilvl w:val="1"/>
          <w:numId w:val="1002"/>
        </w:numPr>
      </w:pPr>
      <w:r>
        <w:t xml:space="preserve">S1.20 The transfer matrix and adaptation, elaborated</w:t>
      </w:r>
    </w:p>
    <w:p>
      <w:pPr>
        <w:pStyle w:val="Compact"/>
        <w:numPr>
          <w:ilvl w:val="1"/>
          <w:numId w:val="1002"/>
        </w:numPr>
      </w:pPr>
      <w:r>
        <w:t xml:space="preserve">S1.21 The similarity diagnostics</w:t>
      </w:r>
    </w:p>
    <w:p>
      <w:pPr>
        <w:pStyle w:val="Compact"/>
        <w:numPr>
          <w:ilvl w:val="1"/>
          <w:numId w:val="1002"/>
        </w:numPr>
      </w:pPr>
      <w:r>
        <w:t xml:space="preserve">S1.22 Additional robustness analyses</w:t>
      </w:r>
    </w:p>
    <w:p>
      <w:pPr>
        <w:pStyle w:val="Compact"/>
        <w:numPr>
          <w:ilvl w:val="1"/>
          <w:numId w:val="1002"/>
        </w:numPr>
      </w:pPr>
      <w:r>
        <w:t xml:space="preserve">S1.23 Analyses added after the pre-submission review</w:t>
      </w:r>
    </w:p>
    <w:p>
      <w:pPr>
        <w:pStyle w:val="Compact"/>
        <w:numPr>
          <w:ilvl w:val="0"/>
          <w:numId w:val="1001"/>
        </w:numPr>
      </w:pPr>
      <w:r>
        <w:t xml:space="preserve">S2 Supporting tables</w:t>
      </w:r>
    </w:p>
    <w:p>
      <w:pPr>
        <w:pStyle w:val="Compact"/>
        <w:numPr>
          <w:ilvl w:val="0"/>
          <w:numId w:val="1001"/>
        </w:numPr>
      </w:pPr>
      <w:r>
        <w:t xml:space="preserve">S3 Protocol detail and limitations</w:t>
      </w:r>
    </w:p>
    <w:p>
      <w:pPr>
        <w:pStyle w:val="Compact"/>
        <w:numPr>
          <w:ilvl w:val="0"/>
          <w:numId w:val="1001"/>
        </w:numPr>
      </w:pPr>
      <w:r>
        <w:t xml:space="preserve">S4 Target-label recovery curve</w:t>
      </w:r>
    </w:p>
    <w:p>
      <w:pPr>
        <w:pStyle w:val="Compact"/>
        <w:numPr>
          <w:ilvl w:val="0"/>
          <w:numId w:val="1001"/>
        </w:numPr>
      </w:pPr>
      <w:r>
        <w:t xml:space="preserve">S5 Code</w:t>
      </w:r>
    </w:p>
    <w:p>
      <w:pPr>
        <w:pStyle w:val="Compact"/>
        <w:numPr>
          <w:ilvl w:val="0"/>
          <w:numId w:val="1001"/>
        </w:numPr>
      </w:pPr>
      <w:r>
        <w:t xml:space="preserve">S6 Data</w:t>
      </w:r>
    </w:p>
    <w:bookmarkEnd w:id="19"/>
    <w:bookmarkStart w:id="46" w:name="s1-sensitivity-analyses-and-detail"/>
    <w:p>
      <w:pPr>
        <w:pStyle w:val="Heading1"/>
      </w:pPr>
      <w:r>
        <w:t xml:space="preserve">S1 Sensitivity analyses and detail</w:t>
      </w:r>
    </w:p>
    <w:p>
      <w:pPr>
        <w:pStyle w:val="FirstParagraph"/>
      </w:pPr>
      <w:r>
        <w:t xml:space="preserve">Each analysis below changes one design choice and keeps everything else fixed. None changes a</w:t>
      </w:r>
      <w:r>
        <w:t xml:space="preserve"> </w:t>
      </w:r>
      <w:r>
        <w:t xml:space="preserve">conclusion of the main text. Section S1.6 is different: it tests a claim of the introduction, and</w:t>
      </w:r>
      <w:r>
        <w:t xml:space="preserve"> </w:t>
      </w:r>
      <w:r>
        <w:t xml:space="preserve">the claim is not supported.</w:t>
      </w:r>
    </w:p>
    <w:bookmarkStart w:id="20" w:name="s1.1-evia-aoi-and-prevalence"/>
    <w:p>
      <w:pPr>
        <w:pStyle w:val="Heading2"/>
      </w:pPr>
      <w:r>
        <w:t xml:space="preserve">S1.1 Evia AOI and prevalence</w:t>
      </w:r>
    </w:p>
    <w:p>
      <w:pPr>
        <w:pStyle w:val="FirstParagraph"/>
      </w:pPr>
      <w:r>
        <w:t xml:space="preserve">The raw transfer analyses between Evia and Bejís, Manavgat and Muğla were repeated with the</w:t>
      </w:r>
      <w:r>
        <w:t xml:space="preserve"> </w:t>
      </w:r>
      <w:r>
        <w:t xml:space="preserve">earlier, high-prevalence Evia rectangle. No qualitative conclusion changed. Thermal raw transfer AUCs</w:t>
      </w:r>
      <w:r>
        <w:t xml:space="preserve"> </w:t>
      </w:r>
      <w:r>
        <w:t xml:space="preserve">moved by up to 0.134. The largest change was Evia to Manavgat, at 0.543 with the earlier rectangle</w:t>
      </w:r>
      <w:r>
        <w:t xml:space="preserve"> </w:t>
      </w:r>
      <w:r>
        <w:t xml:space="preserve">against 0.677 with the extended one. No direction changed side of the chance line</w:t>
      </w:r>
      <w:r>
        <w:t xml:space="preserve"> </w:t>
      </w:r>
      <w:r>
        <w:t xml:space="preserve">(</w:t>
      </w:r>
      <w:r>
        <w:rPr>
          <w:rStyle w:val="VerbatimChar"/>
        </w:rPr>
        <w:t xml:space="preserve">paper/labelfix_rerun/round7/r7f_evia_legacy.csv</w:t>
      </w:r>
      <w:r>
        <w:t xml:space="preserve">). On the earlier rectangle the natural-vegetation</w:t>
      </w:r>
      <w:r>
        <w:t xml:space="preserve"> </w:t>
      </w:r>
      <w:r>
        <w:t xml:space="preserve">population is smaller, and its burned prevalence is higher than on the extended rectangle (0.287;</w:t>
      </w:r>
      <w:r>
        <w:t xml:space="preserve"> </w:t>
      </w:r>
      <w:r>
        <w:t xml:space="preserve">Table S15).</w:t>
      </w:r>
    </w:p>
    <w:bookmarkEnd w:id="20"/>
    <w:bookmarkStart w:id="21" w:name="s1.2-coral-regularisation"/>
    <w:p>
      <w:pPr>
        <w:pStyle w:val="Heading2"/>
      </w:pPr>
      <w:r>
        <w:t xml:space="preserve">S1.2 CORAL regularisation</w:t>
      </w:r>
    </w:p>
    <w:p>
      <w:pPr>
        <w:pStyle w:val="FirstParagraph"/>
      </w:pPr>
      <w:r>
        <w:t xml:space="preserve">Nine λ values from 0 to 10⁻¹ were tested on four directions (Bejís and Muğla, and Manavgat and</w:t>
      </w:r>
      <w:r>
        <w:t xml:space="preserve"> </w:t>
      </w:r>
      <w:r>
        <w:t xml:space="preserve">Muğla, both ways). CORAL transfer AUC moved by at most 0.014 within any direction and model, and by at</w:t>
      </w:r>
      <w:r>
        <w:t xml:space="preserve"> </w:t>
      </w:r>
      <w:r>
        <w:t xml:space="preserve">most 0.009 for the thermal model</w:t>
      </w:r>
      <w:r>
        <w:t xml:space="preserve"> </w:t>
      </w:r>
      <w:r>
        <w:t xml:space="preserve">(</w:t>
      </w:r>
      <w:r>
        <w:rPr>
          <w:rStyle w:val="VerbatimChar"/>
        </w:rPr>
        <w:t xml:space="preserve">paper/labelfix_rerun/exports/coral_lambda_sensitivity_b74d643e/metrics.csv</w:t>
      </w:r>
      <w:r>
        <w:t xml:space="preserve">). λ was not selected on</w:t>
      </w:r>
      <w:r>
        <w:t xml:space="preserve"> </w:t>
      </w:r>
      <w:r>
        <w:t xml:space="preserve">performance.</w:t>
      </w:r>
    </w:p>
    <w:p>
      <w:pPr>
        <w:pStyle w:val="BodyText"/>
      </w:pPr>
      <w:r>
        <w:t xml:space="preserve">The Manavgat and Bejís pair is not in this sweep. Under the original label, the adapted result of</w:t>
      </w:r>
      <w:r>
        <w:t xml:space="preserve"> </w:t>
      </w:r>
      <w:r>
        <w:t xml:space="preserve">this pair depended on λ. It was therefore tested separately at λ = 10⁻⁵, 10⁻³, 10⁻¹ and 1 with the</w:t>
      </w:r>
      <w:r>
        <w:t xml:space="preserve"> </w:t>
      </w:r>
      <w:r>
        <w:t xml:space="preserve">authors’ own re-implementation of the pipeline’s CORAL</w:t>
      </w:r>
      <w:r>
        <w:t xml:space="preserve"> </w:t>
      </w:r>
      <w:r>
        <w:t xml:space="preserve">(</w:t>
      </w:r>
      <w:r>
        <w:rPr>
          <w:rStyle w:val="VerbatimChar"/>
        </w:rPr>
        <w:t xml:space="preserve">paper/labelfix_rerun/step10/coral_lambda_sensitivity.csv</w:t>
      </w:r>
      <w:r>
        <w:t xml:space="preserve">). This implementation differs slightly</w:t>
      </w:r>
      <w:r>
        <w:t xml:space="preserve"> </w:t>
      </w:r>
      <w:r>
        <w:t xml:space="preserve">from the pipeline’s: at λ = 10⁻⁵ it gives 0.408 for Bejís to Manavgat and 0.470 for Manavgat to</w:t>
      </w:r>
      <w:r>
        <w:t xml:space="preserve"> </w:t>
      </w:r>
      <w:r>
        <w:t xml:space="preserve">Bejís, against 0.406 and 0.467 in Table S16. Across the four λ values, Bejís to Manavgat gives 0.408</w:t>
      </w:r>
      <w:r>
        <w:t xml:space="preserve"> </w:t>
      </w:r>
      <w:r>
        <w:t xml:space="preserve">[0.389, 0.427], 0.410, 0.367 and 0.313, which are below chance at every λ. Manavgat to Bejís gives</w:t>
      </w:r>
      <w:r>
        <w:t xml:space="preserve"> </w:t>
      </w:r>
      <w:r>
        <w:t xml:space="preserve">0.470 [0.444, 0.494], 0.474, 0.466 and 0.457. No adapted direction of this pair has an interval above</w:t>
      </w:r>
      <w:r>
        <w:t xml:space="preserve"> </w:t>
      </w:r>
      <w:r>
        <w:t xml:space="preserve">chance at any λ, so no conclusion depends on the choice of λ. The third implementation, of Section</w:t>
      </w:r>
      <w:r>
        <w:t xml:space="preserve"> </w:t>
      </w:r>
      <w:r>
        <w:t xml:space="preserve">S1.23 (R8c), reproduces the pipeline’s CORAL matrix to within 0.009.</w:t>
      </w:r>
    </w:p>
    <w:bookmarkEnd w:id="21"/>
    <w:bookmarkStart w:id="22" w:name="s1.3-blocking-scale"/>
    <w:p>
      <w:pPr>
        <w:pStyle w:val="Heading2"/>
      </w:pPr>
      <w:r>
        <w:t xml:space="preserve">S1.3 Blocking scale</w:t>
      </w:r>
    </w:p>
    <w:p>
      <w:pPr>
        <w:pStyle w:val="FirstParagraph"/>
      </w:pPr>
      <w:r>
        <w:t xml:space="preserve">The transfer intervals were recomputed at 10-cell (≈5 km) blocking from the re-frozen per-cell</w:t>
      </w:r>
      <w:r>
        <w:t xml:space="preserve"> </w:t>
      </w:r>
      <w:r>
        <w:t xml:space="preserve">predictions. The intervals became wider. The paired-delta verdicts changed from twelve positive,</w:t>
      </w:r>
      <w:r>
        <w:t xml:space="preserve"> </w:t>
      </w:r>
      <w:r>
        <w:t xml:space="preserve">seven negative and one uncertain at 1 km to six, five and nine at 5 km. Coarser blocking therefore</w:t>
      </w:r>
      <w:r>
        <w:t xml:space="preserve"> </w:t>
      </w:r>
      <w:r>
        <w:t xml:space="preserve">removed support from eight verdicts and added none. Across five bootstrap seeds, the 5 km counts were</w:t>
      </w:r>
      <w:r>
        <w:t xml:space="preserve"> </w:t>
      </w:r>
      <w:r>
        <w:t xml:space="preserve">5 to 6 positive, 4 to 5 negative and 9 to 11 uncertain, so they are not exact</w:t>
      </w:r>
      <w:r>
        <w:t xml:space="preserve"> </w:t>
      </w:r>
      <w:r>
        <w:t xml:space="preserve">(</w:t>
      </w:r>
      <w:r>
        <w:rPr>
          <w:rStyle w:val="VerbatimChar"/>
        </w:rPr>
        <w:t xml:space="preserve">paper/labelfix_rerun/round5/out_official/transfer_ci_blocksize.csv</w:t>
      </w:r>
      <w:r>
        <w:t xml:space="preserve">,</w:t>
      </w:r>
      <w:r>
        <w:t xml:space="preserve"> </w:t>
      </w:r>
      <w:r>
        <w:rPr>
          <w:rStyle w:val="VerbatimChar"/>
        </w:rPr>
        <w:t xml:space="preserve">paper/labelfix_rerun/round6/seed_stability.json</w:t>
      </w:r>
      <w:r>
        <w:t xml:space="preserve">).</w:t>
      </w:r>
    </w:p>
    <w:p>
      <w:pPr>
        <w:pStyle w:val="BodyText"/>
      </w:pPr>
      <w:r>
        <w:t xml:space="preserve">The point estimates do not change, because the block size only sets the bootstrap resampling unit.</w:t>
      </w:r>
      <w:r>
        <w:t xml:space="preserve"> </w:t>
      </w:r>
      <w:r>
        <w:t xml:space="preserve">Each point estimate is computed once over all target cells. Every verdict that changed moved to</w:t>
      </w:r>
      <w:r>
        <w:t xml:space="preserve"> </w:t>
      </w:r>
      <w:r>
        <w:t xml:space="preserve">“no</w:t>
      </w:r>
      <w:r>
        <w:t xml:space="preserve"> </w:t>
      </w:r>
      <w:r>
        <w:t xml:space="preserve">verdict”</w:t>
      </w:r>
      <w:r>
        <w:t xml:space="preserve">, and no direction crossed the chance line. The counts of supported directions are therefore</w:t>
      </w:r>
      <w:r>
        <w:t xml:space="preserve"> </w:t>
      </w:r>
      <w:r>
        <w:t xml:space="preserve">the least stable numbers in this paper.</w:t>
      </w:r>
    </w:p>
    <w:p>
      <w:pPr>
        <w:pStyle w:val="BodyText"/>
      </w:pPr>
      <w:r>
        <w:rPr>
          <w:b/>
          <w:bCs/>
        </w:rPr>
        <w:t xml:space="preserve">Table 1 note (resampling units).</w:t>
      </w:r>
      <w:r>
        <w:t xml:space="preserve"> </w:t>
      </w:r>
      <w:r>
        <w:t xml:space="preserve">The bootstrap resamples spatial blocks, so the reliability of</w:t>
      </w:r>
      <w:r>
        <w:t xml:space="preserve"> </w:t>
      </w:r>
      <w:r>
        <w:t xml:space="preserve">an interval depends on the number of blocks with at least one burned cell. This number falls from</w:t>
      </w:r>
      <w:r>
        <w:t xml:space="preserve"> </w:t>
      </w:r>
      <w:r>
        <w:t xml:space="preserve">192 to 843 at 2 cells to</w:t>
      </w:r>
      <w:r>
        <w:t xml:space="preserve"> </w:t>
      </w:r>
      <w:r>
        <w:rPr>
          <w:b/>
          <w:bCs/>
        </w:rPr>
        <w:t xml:space="preserve">6 to 33</w:t>
      </w:r>
      <w:r>
        <w:t xml:space="preserve"> </w:t>
      </w:r>
      <w:r>
        <w:t xml:space="preserve">at 20 cells. An interval built on six such blocks has no useful</w:t>
      </w:r>
      <w:r>
        <w:t xml:space="preserve"> </w:t>
      </w:r>
      <w:r>
        <w:t xml:space="preserve">coverage, so</w:t>
      </w:r>
      <w:r>
        <w:t xml:space="preserve"> </w:t>
      </w:r>
      <w:r>
        <w:rPr>
          <w:b/>
          <w:bCs/>
        </w:rPr>
        <w:t xml:space="preserve">the 20-cell row should be read as indicative</w:t>
      </w:r>
      <w:r>
        <w:t xml:space="preserve">. The 10-cell row is the coarsest</w:t>
      </w:r>
      <w:r>
        <w:t xml:space="preserve"> </w:t>
      </w:r>
      <w:r>
        <w:t xml:space="preserve">blocking that this design supports. There, every region has 16 to 70 blocks with burned cells, and</w:t>
      </w:r>
      <w:r>
        <w:t xml:space="preserve"> </w:t>
      </w:r>
      <w:r>
        <w:t xml:space="preserve">the gain holds in all five regions.</w:t>
      </w:r>
    </w:p>
    <w:bookmarkEnd w:id="22"/>
    <w:bookmarkStart w:id="23" w:name="s1.4-predictor-window-closure"/>
    <w:p>
      <w:pPr>
        <w:pStyle w:val="Heading2"/>
      </w:pPr>
      <w:r>
        <w:t xml:space="preserve">S1.4 Predictor-window closure</w:t>
      </w:r>
    </w:p>
    <w:p>
      <w:pPr>
        <w:pStyle w:val="FirstParagraph"/>
      </w:pPr>
      <w:r>
        <w:t xml:space="preserve">The predictor window was closed 7 and 14 days earlier in all five regions. The thermal</w:t>
      </w:r>
      <w:r>
        <w:t xml:space="preserve"> </w:t>
      </w:r>
      <w:r>
        <w:t xml:space="preserve">contribution stayed positive, with bootstrap support, everywhere. The direction of the change</w:t>
      </w:r>
      <w:r>
        <w:t xml:space="preserve"> </w:t>
      </w:r>
      <w:r>
        <w:t xml:space="preserve">differed between regions. In Manavgat, on the corrected label, it was +0.065 [+0.059, +0.072] at the</w:t>
      </w:r>
      <w:r>
        <w:t xml:space="preserve"> </w:t>
      </w:r>
      <w:r>
        <w:t xml:space="preserve">standard window, +0.082 [+0.075, +0.090] at 7 days and +0.058 [+0.051, +0.065] at 14 days, all on the</w:t>
      </w:r>
      <w:r>
        <w:t xml:space="preserve"> </w:t>
      </w:r>
      <w:r>
        <w:t xml:space="preserve">common cohort of that analysis (</w:t>
      </w:r>
      <w:r>
        <w:rPr>
          <w:rStyle w:val="VerbatimChar"/>
        </w:rPr>
        <w:t xml:space="preserve">paper/labelfix_rerun/exports/window_closure_manavgat_2021/</w:t>
      </w:r>
      <w:r>
        <w:t xml:space="preserve">). It</w:t>
      </w:r>
      <w:r>
        <w:t xml:space="preserve"> </w:t>
      </w:r>
      <w:r>
        <w:t xml:space="preserve">became stronger in Bejís, from 0.058 to 0.079 at 14 days, and in Muğla, from 0.115 to 0.128. It was</w:t>
      </w:r>
      <w:r>
        <w:t xml:space="preserve"> </w:t>
      </w:r>
      <w:r>
        <w:t xml:space="preserve">flat in Montiferru. It became weaker in Evia, from 0.156 to 0.149 to 0.135. The four regions other</w:t>
      </w:r>
      <w:r>
        <w:t xml:space="preserve"> </w:t>
      </w:r>
      <w:r>
        <w:t xml:space="preserve">than Manavgat are not affected by the label correction</w:t>
      </w:r>
      <w:r>
        <w:t xml:space="preserve"> </w:t>
      </w:r>
      <w:r>
        <w:t xml:space="preserve">(</w:t>
      </w:r>
      <w:r>
        <w:rPr>
          <w:rStyle w:val="VerbatimChar"/>
        </w:rPr>
        <w:t xml:space="preserve">paper/labelfix_rerun/exports/window_closure_&lt;region&gt;/tables/thermal_contributions.csv</w:t>
      </w:r>
      <w:r>
        <w:t xml:space="preserve">). The gain</w:t>
      </w:r>
      <w:r>
        <w:t xml:space="preserve"> </w:t>
      </w:r>
      <w:r>
        <w:t xml:space="preserve">therefore survives in every region, but it does not always improve.</w:t>
      </w:r>
    </w:p>
    <w:bookmarkEnd w:id="23"/>
    <w:bookmarkStart w:id="24" w:name="Xb31371a0e73746980f1ed2a04bbe2b0db31837c"/>
    <w:p>
      <w:pPr>
        <w:pStyle w:val="Heading2"/>
      </w:pPr>
      <w:r>
        <w:t xml:space="preserve">S1.5 Quality screening of the coarse thermal input</w:t>
      </w:r>
    </w:p>
    <w:p>
      <w:pPr>
        <w:pStyle w:val="FirstParagraph"/>
      </w:pPr>
      <w:r>
        <w:t xml:space="preserve">The MODIS inputs were quality-screened in two regions and not in the other three. This split</w:t>
      </w:r>
      <w:r>
        <w:t xml:space="preserve"> </w:t>
      </w:r>
      <w:r>
        <w:t xml:space="preserve">follows the export date, not the design. It causes a change at the input that is correlated with</w:t>
      </w:r>
      <w:r>
        <w:t xml:space="preserve"> </w:t>
      </w:r>
      <w:r>
        <w:t xml:space="preserve">elevation (r = +0.615 in Manavgat). The Manavgat chain was therefore rebuilt from a quality-screened</w:t>
      </w:r>
      <w:r>
        <w:t xml:space="preserve"> </w:t>
      </w:r>
      <w:r>
        <w:t xml:space="preserve">input on the corrected label and compared with the unscreened version. The current pipeline step7</w:t>
      </w:r>
      <w:r>
        <w:t xml:space="preserve"> </w:t>
      </w:r>
      <w:r>
        <w:t xml:space="preserve">refuses the unscreened raster, because the raster has no nodata tag and 8.1 % exact zeros. The</w:t>
      </w:r>
      <w:r>
        <w:t xml:space="preserve"> </w:t>
      </w:r>
      <w:r>
        <w:t xml:space="preserve">unscreened version therefore uses the step7 of export time, and the screened version uses the current</w:t>
      </w:r>
      <w:r>
        <w:t xml:space="preserve"> </w:t>
      </w:r>
      <w:r>
        <w:t xml:space="preserve">one. The two versions differ in code as well as in screening. The result did not change. Elevation</w:t>
      </w:r>
      <w:r>
        <w:t xml:space="preserve"> </w:t>
      </w:r>
      <w:r>
        <w:t xml:space="preserve">stayed at 0.232, no other signed AUC moved by more than 0.005 (downscaled LST, −0.0044), and the</w:t>
      </w:r>
      <w:r>
        <w:t xml:space="preserve"> </w:t>
      </w:r>
      <w:r>
        <w:t xml:space="preserve">within-region gain moved from +0.067 to +0.068</w:t>
      </w:r>
      <w:r>
        <w:t xml:space="preserve"> </w:t>
      </w:r>
      <w:r>
        <w:t xml:space="preserve">(</w:t>
      </w:r>
      <w:r>
        <w:rPr>
          <w:rStyle w:val="VerbatimChar"/>
        </w:rPr>
        <w:t xml:space="preserve">paper/labelfix_rerun/round6/qc/qc_compare_manavgat_corrected.json</w:t>
      </w:r>
      <w:r>
        <w:t xml:space="preserve">; Section S3.5(xii)). Elevation</w:t>
      </w:r>
      <w:r>
        <w:t xml:space="preserve"> </w:t>
      </w:r>
      <w:r>
        <w:t xml:space="preserve">comes from the DEM and is not affected by the screening. The MODIS-based surface is used for only</w:t>
      </w:r>
      <w:r>
        <w:t xml:space="preserve"> </w:t>
      </w:r>
      <w:r>
        <w:t xml:space="preserve">2.14 percentage points of coverage. The Muğla input was not re-examined.</w:t>
      </w:r>
    </w:p>
    <w:bookmarkEnd w:id="24"/>
    <w:bookmarkStart w:id="25" w:name="Xc4eb51a8c31e4bfcde187f0d8fda56fadb377ed"/>
    <w:p>
      <w:pPr>
        <w:pStyle w:val="Heading2"/>
      </w:pPr>
      <w:r>
        <w:t xml:space="preserve">S1.6 Normalised against absolute dryness channels</w:t>
      </w:r>
    </w:p>
    <w:p>
      <w:pPr>
        <w:pStyle w:val="FirstParagraph"/>
      </w:pPr>
      <w:r>
        <w:t xml:space="preserve">Section 1.2 states that an internally normalised index should be less affected than raw land</w:t>
      </w:r>
      <w:r>
        <w:t xml:space="preserve"> </w:t>
      </w:r>
      <w:r>
        <w:t xml:space="preserve">surface temperature by temperature differences between regions. The thermal set contains both kinds</w:t>
      </w:r>
      <w:r>
        <w:t xml:space="preserve"> </w:t>
      </w:r>
      <w:r>
        <w:t xml:space="preserve">of channels, so this was tested directly by comparing feature sets.</w:t>
      </w:r>
    </w:p>
    <w:p>
      <w:pPr>
        <w:pStyle w:val="BodyText"/>
      </w:pPr>
      <w:r>
        <w:t xml:space="preserve">In the two Muğla fires (Section S1.13), the normalised channels keep their direction and the absolute</w:t>
      </w:r>
      <w:r>
        <w:t xml:space="preserve"> </w:t>
      </w:r>
      <w:r>
        <w:t xml:space="preserve">channels do not. This holds for one region across two fires. It does not hold across regions:</w:t>
      </w:r>
      <w:r>
        <w:t xml:space="preserve"> </w:t>
      </w:r>
      <w:r>
        <w:rPr>
          <w:rStyle w:val="VerbatimChar"/>
        </w:rPr>
        <w:t xml:space="preserve">lst_anomaly_mean</w:t>
      </w:r>
      <w:r>
        <w:t xml:space="preserve"> </w:t>
      </w:r>
      <w:r>
        <w:t xml:space="preserve">is one of the predictors with a bootstrap-supported reversal on the original study</w:t>
      </w:r>
      <w:r>
        <w:t xml:space="preserve"> </w:t>
      </w:r>
      <w:r>
        <w:t xml:space="preserve">areas (Table S10). For this reason, Section S1.14 removes it together with elevation. On this</w:t>
      </w:r>
      <w:r>
        <w:t xml:space="preserve"> </w:t>
      </w:r>
      <w:r>
        <w:t xml:space="preserve">evidence, normalisation protects a channel against a difference between two seasons in one place,</w:t>
      </w:r>
      <w:r>
        <w:t xml:space="preserve"> </w:t>
      </w:r>
      <w:r>
        <w:t xml:space="preserve">but not against a change of place.</w:t>
      </w:r>
    </w:p>
    <w:p>
      <w:pPr>
        <w:pStyle w:val="BodyText"/>
      </w:pPr>
      <w:r>
        <w:t xml:space="preserve">Three feature sets were run over all twenty directions and all five within-region folds. The</w:t>
      </w:r>
      <w:r>
        <w:t xml:space="preserve"> </w:t>
      </w:r>
      <w:r>
        <w:t xml:space="preserve">classifier, population, folds and bootstrap were kept fixed. The code stops unless its reference</w:t>
      </w:r>
      <w:r>
        <w:t xml:space="preserve"> </w:t>
      </w:r>
      <w:r>
        <w:t xml:space="preserve">configuration reproduces the re-frozen exports, and it does: the largest absolute difference from the</w:t>
      </w:r>
      <w:r>
        <w:t xml:space="preserve"> </w:t>
      </w:r>
      <w:r>
        <w:t xml:space="preserve">step9b transfer AUCs is 0.000000 across all twenty directions. Sources for this section and the next</w:t>
      </w:r>
      <w:r>
        <w:t xml:space="preserve"> </w:t>
      </w:r>
      <w:r>
        <w:t xml:space="preserve">two:</w:t>
      </w:r>
      <w:r>
        <w:t xml:space="preserve"> </w:t>
      </w:r>
      <w:r>
        <w:rPr>
          <w:rStyle w:val="VerbatimChar"/>
        </w:rPr>
        <w:t xml:space="preserve">paper/labelfix_rerun/round3/no_coord_channels.json</w:t>
      </w:r>
      <w:r>
        <w:t xml:space="preserve"> </w:t>
      </w:r>
      <w:r>
        <w:t xml:space="preserve">and</w:t>
      </w:r>
      <w:r>
        <w:t xml:space="preserve"> </w:t>
      </w:r>
      <w:r>
        <w:rPr>
          <w:rStyle w:val="VerbatimChar"/>
        </w:rPr>
        <w:t xml:space="preserve">paper/labelfix_rerun/code/model_capacity.json</w:t>
      </w:r>
      <w:r>
        <w:t xml:space="preserve">, summarised by</w:t>
      </w:r>
      <w:r>
        <w:t xml:space="preserve"> </w:t>
      </w:r>
      <w:r>
        <w:rPr>
          <w:rStyle w:val="VerbatimChar"/>
        </w:rPr>
        <w:t xml:space="preserve">paper/labelfix_rerun/round7/r7e_supplement_tables.py</w:t>
      </w:r>
      <w:r>
        <w:t xml:space="preserve">.</w:t>
      </w:r>
    </w:p>
    <w:p>
      <w:pPr>
        <w:pStyle w:val="BodyText"/>
        <w:keepNext/>
      </w:pPr>
      <w:r>
        <w:rPr>
          <w:b/>
          <w:bCs/>
        </w:rPr>
        <w:t xml:space="preserve">Table S23. Feature-set arms.</w:t>
      </w:r>
      <w:r>
        <w:t xml:space="preserve"> </w:t>
      </w:r>
      <w:r>
        <w:t xml:space="preserve">Mean over the twenty transfer directions and the five regions.</w:t>
      </w:r>
    </w:p>
    <w:tbl>
      <w:tblPr>
        <w:tblStyle w:val="Table"/>
        <w:tblW w:type="auto" w:w="0"/>
        <w:tblLook w:firstRow="1" w:lastRow="0" w:firstColumn="0" w:lastColumn="0" w:noHBand="0" w:noVBand="0" w:val="0020"/>
      </w:tblPr>
      <w:tblGrid>
        <w:gridCol w:w="3401"/>
        <w:gridCol w:w="1752"/>
        <w:gridCol w:w="1649"/>
        <w:gridCol w:w="2268"/>
      </w:tblGrid>
      <w:tr>
        <w:trPr>
          <w:tblHeader w:val="on"/>
          <w:cantSplit/>
        </w:trPr>
        <w:tc>
          <w:tcPr>
            <w:tcW w:type="dxa" w:w="3401"/>
          </w:tcPr>
          <w:p>
            <w:pPr>
              <w:pStyle w:val="Compact"/>
              <w:spacing w:line="240" w:lineRule="auto" w:after="20"/>
            </w:pPr>
            <w:r>
              <w:rPr>
                <w:sz w:val="20"/>
              </w:rPr>
              <w:t xml:space="preserve">Feature set</w:t>
            </w:r>
          </w:p>
        </w:tc>
        <w:tc>
          <w:tcPr>
            <w:tcW w:type="dxa" w:w="1752"/>
          </w:tcPr>
          <w:p>
            <w:pPr>
              <w:pStyle w:val="Compact"/>
              <w:spacing w:line="240" w:lineRule="auto" w:after="20"/>
              <w:jc w:val="right"/>
            </w:pPr>
            <w:r>
              <w:rPr>
                <w:sz w:val="20"/>
              </w:rPr>
              <w:t xml:space="preserve">Mean transfer AUC</w:t>
            </w:r>
          </w:p>
        </w:tc>
        <w:tc>
          <w:tcPr>
            <w:tcW w:type="dxa" w:w="1649"/>
          </w:tcPr>
          <w:p>
            <w:pPr>
              <w:pStyle w:val="Compact"/>
              <w:spacing w:line="240" w:lineRule="auto" w:after="20"/>
              <w:jc w:val="right"/>
            </w:pPr>
            <w:r>
              <w:rPr>
                <w:sz w:val="20"/>
              </w:rPr>
              <w:t xml:space="preserve">Directions &gt; 0.5</w:t>
            </w:r>
          </w:p>
        </w:tc>
        <w:tc>
          <w:tcPr>
            <w:tcW w:type="dxa" w:w="2268"/>
          </w:tcPr>
          <w:p>
            <w:pPr>
              <w:pStyle w:val="Compact"/>
              <w:spacing w:line="240" w:lineRule="auto" w:after="20"/>
              <w:jc w:val="right"/>
            </w:pPr>
            <w:r>
              <w:rPr>
                <w:sz w:val="20"/>
              </w:rPr>
              <w:t xml:space="preserve">Mean within-region AUC</w:t>
            </w:r>
          </w:p>
        </w:tc>
      </w:tr>
      <w:tr>
        <w:trPr>
          <w:cantSplit/>
        </w:trPr>
        <w:tc>
          <w:tcPr>
            <w:tcW w:type="dxa" w:w="3401"/>
          </w:tcPr>
          <w:p>
            <w:pPr>
              <w:pStyle w:val="Compact"/>
              <w:spacing w:line="240" w:lineRule="auto" w:after="20"/>
            </w:pPr>
            <w:r>
              <w:rPr>
                <w:sz w:val="20"/>
              </w:rPr>
              <w:t xml:space="preserve">Baseline only</w:t>
            </w:r>
          </w:p>
        </w:tc>
        <w:tc>
          <w:tcPr>
            <w:tcW w:type="dxa" w:w="1752"/>
          </w:tcPr>
          <w:p>
            <w:pPr>
              <w:pStyle w:val="Compact"/>
              <w:spacing w:line="240" w:lineRule="auto" w:after="20"/>
              <w:jc w:val="right"/>
            </w:pPr>
            <w:r>
              <w:rPr>
                <w:sz w:val="20"/>
              </w:rPr>
              <w:t xml:space="preserve">0.519</w:t>
            </w:r>
          </w:p>
        </w:tc>
        <w:tc>
          <w:tcPr>
            <w:tcW w:type="dxa" w:w="1649"/>
          </w:tcPr>
          <w:p>
            <w:pPr>
              <w:pStyle w:val="Compact"/>
              <w:spacing w:line="240" w:lineRule="auto" w:after="20"/>
              <w:jc w:val="right"/>
            </w:pPr>
            <w:r>
              <w:rPr>
                <w:sz w:val="20"/>
              </w:rPr>
              <w:t xml:space="preserve">13</w:t>
            </w:r>
          </w:p>
        </w:tc>
        <w:tc>
          <w:tcPr>
            <w:tcW w:type="dxa" w:w="2268"/>
          </w:tcPr>
          <w:p>
            <w:pPr>
              <w:pStyle w:val="Compact"/>
              <w:spacing w:line="240" w:lineRule="auto" w:after="20"/>
              <w:jc w:val="right"/>
            </w:pPr>
            <w:r>
              <w:rPr>
                <w:sz w:val="20"/>
              </w:rPr>
              <w:t xml:space="preserve">0.797</w:t>
            </w:r>
          </w:p>
        </w:tc>
      </w:tr>
      <w:tr>
        <w:trPr>
          <w:cantSplit/>
        </w:trPr>
        <w:tc>
          <w:tcPr>
            <w:tcW w:type="dxa" w:w="3401"/>
          </w:tcPr>
          <w:p>
            <w:pPr>
              <w:pStyle w:val="Compact"/>
              <w:spacing w:line="240" w:lineRule="auto" w:after="20"/>
            </w:pPr>
            <w:r>
              <w:rPr>
                <w:sz w:val="20"/>
              </w:rPr>
              <w:t xml:space="preserve">Baseline + normalised anomalies</w:t>
            </w:r>
          </w:p>
        </w:tc>
        <w:tc>
          <w:tcPr>
            <w:tcW w:type="dxa" w:w="1752"/>
          </w:tcPr>
          <w:p>
            <w:pPr>
              <w:pStyle w:val="Compact"/>
              <w:spacing w:line="240" w:lineRule="auto" w:after="20"/>
              <w:jc w:val="right"/>
            </w:pPr>
            <w:r>
              <w:rPr>
                <w:sz w:val="20"/>
              </w:rPr>
              <w:t xml:space="preserve">0.524</w:t>
            </w:r>
          </w:p>
        </w:tc>
        <w:tc>
          <w:tcPr>
            <w:tcW w:type="dxa" w:w="1649"/>
          </w:tcPr>
          <w:p>
            <w:pPr>
              <w:pStyle w:val="Compact"/>
              <w:spacing w:line="240" w:lineRule="auto" w:after="20"/>
              <w:jc w:val="right"/>
            </w:pPr>
            <w:r>
              <w:rPr>
                <w:sz w:val="20"/>
              </w:rPr>
              <w:t xml:space="preserve">14</w:t>
            </w:r>
          </w:p>
        </w:tc>
        <w:tc>
          <w:tcPr>
            <w:tcW w:type="dxa" w:w="2268"/>
          </w:tcPr>
          <w:p>
            <w:pPr>
              <w:pStyle w:val="Compact"/>
              <w:spacing w:line="240" w:lineRule="auto" w:after="20"/>
              <w:jc w:val="right"/>
            </w:pPr>
            <w:r>
              <w:rPr>
                <w:sz w:val="20"/>
              </w:rPr>
              <w:t xml:space="preserve">0.862</w:t>
            </w:r>
          </w:p>
        </w:tc>
      </w:tr>
      <w:tr>
        <w:trPr>
          <w:cantSplit/>
        </w:trPr>
        <w:tc>
          <w:tcPr>
            <w:tcW w:type="dxa" w:w="3401"/>
          </w:tcPr>
          <w:p>
            <w:pPr>
              <w:pStyle w:val="Compact"/>
              <w:spacing w:line="240" w:lineRule="auto" w:after="20"/>
            </w:pPr>
            <w:r>
              <w:rPr>
                <w:sz w:val="20"/>
              </w:rPr>
              <w:t xml:space="preserve">Baseline + absolute surface state</w:t>
            </w:r>
          </w:p>
        </w:tc>
        <w:tc>
          <w:tcPr>
            <w:tcW w:type="dxa" w:w="1752"/>
          </w:tcPr>
          <w:p>
            <w:pPr>
              <w:pStyle w:val="Compact"/>
              <w:spacing w:line="240" w:lineRule="auto" w:after="20"/>
              <w:jc w:val="right"/>
            </w:pPr>
            <w:r>
              <w:rPr>
                <w:sz w:val="20"/>
              </w:rPr>
              <w:t xml:space="preserve">0.531</w:t>
            </w:r>
          </w:p>
        </w:tc>
        <w:tc>
          <w:tcPr>
            <w:tcW w:type="dxa" w:w="1649"/>
          </w:tcPr>
          <w:p>
            <w:pPr>
              <w:pStyle w:val="Compact"/>
              <w:spacing w:line="240" w:lineRule="auto" w:after="20"/>
              <w:jc w:val="right"/>
            </w:pPr>
            <w:r>
              <w:rPr>
                <w:sz w:val="20"/>
              </w:rPr>
              <w:t xml:space="preserve">13</w:t>
            </w:r>
          </w:p>
        </w:tc>
        <w:tc>
          <w:tcPr>
            <w:tcW w:type="dxa" w:w="2268"/>
          </w:tcPr>
          <w:p>
            <w:pPr>
              <w:pStyle w:val="Compact"/>
              <w:spacing w:line="240" w:lineRule="auto" w:after="20"/>
              <w:jc w:val="right"/>
            </w:pPr>
            <w:r>
              <w:rPr>
                <w:sz w:val="20"/>
              </w:rPr>
              <w:t xml:space="preserve">0.864</w:t>
            </w:r>
          </w:p>
        </w:tc>
      </w:tr>
      <w:tr>
        <w:trPr>
          <w:cantSplit/>
        </w:trPr>
        <w:tc>
          <w:tcPr>
            <w:tcW w:type="dxa" w:w="3401"/>
          </w:tcPr>
          <w:p>
            <w:pPr>
              <w:pStyle w:val="Compact"/>
              <w:spacing w:line="240" w:lineRule="auto" w:after="20"/>
            </w:pPr>
            <w:r>
              <w:rPr>
                <w:sz w:val="20"/>
              </w:rPr>
              <w:t xml:space="preserve">All ten features (reference)</w:t>
            </w:r>
          </w:p>
        </w:tc>
        <w:tc>
          <w:tcPr>
            <w:tcW w:type="dxa" w:w="1752"/>
          </w:tcPr>
          <w:p>
            <w:pPr>
              <w:pStyle w:val="Compact"/>
              <w:spacing w:line="240" w:lineRule="auto" w:after="20"/>
              <w:jc w:val="right"/>
            </w:pPr>
            <w:r>
              <w:rPr>
                <w:sz w:val="20"/>
              </w:rPr>
              <w:t xml:space="preserve">0.527</w:t>
            </w:r>
          </w:p>
        </w:tc>
        <w:tc>
          <w:tcPr>
            <w:tcW w:type="dxa" w:w="1649"/>
          </w:tcPr>
          <w:p>
            <w:pPr>
              <w:pStyle w:val="Compact"/>
              <w:spacing w:line="240" w:lineRule="auto" w:after="20"/>
              <w:jc w:val="right"/>
            </w:pPr>
            <w:r>
              <w:rPr>
                <w:sz w:val="20"/>
              </w:rPr>
              <w:t xml:space="preserve">13</w:t>
            </w:r>
          </w:p>
        </w:tc>
        <w:tc>
          <w:tcPr>
            <w:tcW w:type="dxa" w:w="2268"/>
          </w:tcPr>
          <w:p>
            <w:pPr>
              <w:pStyle w:val="Compact"/>
              <w:spacing w:line="240" w:lineRule="auto" w:after="20"/>
              <w:jc w:val="right"/>
            </w:pPr>
            <w:r>
              <w:rPr>
                <w:sz w:val="20"/>
              </w:rPr>
              <w:t xml:space="preserve">0.896</w:t>
            </w:r>
          </w:p>
        </w:tc>
      </w:tr>
    </w:tbl>
    <w:p>
      <w:pPr>
        <w:pStyle w:val="BodyText"/>
      </w:pPr>
      <w:r>
        <w:rPr>
          <w:b/>
          <w:bCs/>
        </w:rPr>
        <w:t xml:space="preserve">The expected advantage was not found.</w:t>
      </w:r>
      <w:r>
        <w:t xml:space="preserve"> </w:t>
      </w:r>
      <w:r>
        <w:t xml:space="preserve">Per direction, the normalised set minus the absolute set</w:t>
      </w:r>
      <w:r>
        <w:t xml:space="preserve"> </w:t>
      </w:r>
      <w:r>
        <w:t xml:space="preserve">has a mean of −0.006. The difference is positive in 11 of 20 directions and ranges from −0.099 to</w:t>
      </w:r>
      <w:r>
        <w:t xml:space="preserve"> </w:t>
      </w:r>
      <w:r>
        <w:t xml:space="preserve">+0.087, so the spread is much larger than the mean difference. Within regions the two sets are almost</w:t>
      </w:r>
      <w:r>
        <w:t xml:space="preserve"> </w:t>
      </w:r>
      <w:r>
        <w:t xml:space="preserve">equal, at 0.862 and 0.864. Each recovers most of the gap between the baseline (0.797) and the full</w:t>
      </w:r>
      <w:r>
        <w:t xml:space="preserve"> </w:t>
      </w:r>
      <w:r>
        <w:t xml:space="preserve">model (0.896). The comparison uses two parts of one thermal set on one cohort. It does not test</w:t>
      </w:r>
      <w:r>
        <w:t xml:space="preserve"> </w:t>
      </w:r>
      <w:r>
        <w:t xml:space="preserve">normalised dryness indices in general.</w:t>
      </w:r>
    </w:p>
    <w:bookmarkEnd w:id="25"/>
    <w:bookmarkStart w:id="26" w:name="s1.7-the-coordinate-informed-channels"/>
    <w:p>
      <w:pPr>
        <w:pStyle w:val="Heading2"/>
      </w:pPr>
      <w:r>
        <w:t xml:space="preserve">S1.7 The coordinate-informed channels</w:t>
      </w:r>
    </w:p>
    <w:p>
      <w:pPr>
        <w:pStyle w:val="FirstParagraph"/>
      </w:pPr>
      <w:r>
        <w:rPr>
          <w:rStyle w:val="VerbatimChar"/>
        </w:rPr>
        <w:t xml:space="preserve">downscaled_lst_mean</w:t>
      </w:r>
      <w:r>
        <w:t xml:space="preserve"> </w:t>
      </w:r>
      <w:r>
        <w:t xml:space="preserve">and</w:t>
      </w:r>
      <w:r>
        <w:t xml:space="preserve"> </w:t>
      </w:r>
      <w:r>
        <w:rPr>
          <w:rStyle w:val="VerbatimChar"/>
        </w:rPr>
        <w:t xml:space="preserve">fused_lst_mean</w:t>
      </w:r>
      <w:r>
        <w:t xml:space="preserve"> </w:t>
      </w:r>
      <w:r>
        <w:t xml:space="preserve">come from a per-region downscaling model that uses</w:t>
      </w:r>
      <w:r>
        <w:t xml:space="preserve"> </w:t>
      </w:r>
      <w:r>
        <w:t xml:space="preserve">coordinates as inputs (Section S3.4). This is the only way in which coordinate information enters</w:t>
      </w:r>
      <w:r>
        <w:t xml:space="preserve"> </w:t>
      </w:r>
      <w:r>
        <w:t xml:space="preserve">the feature set. A surface smoothed by coordinates is informative locally and does not transfer. If</w:t>
      </w:r>
      <w:r>
        <w:t xml:space="preserve"> </w:t>
      </w:r>
      <w:r>
        <w:t xml:space="preserve">the within-region gain depended on it, the gain would be caused by the smoothing and not by the</w:t>
      </w:r>
      <w:r>
        <w:t xml:space="preserve"> </w:t>
      </w:r>
      <w:r>
        <w:t xml:space="preserve">thermal state. Both channels were therefore removed, and all models were refitted over all twenty</w:t>
      </w:r>
      <w:r>
        <w:t xml:space="preserve"> </w:t>
      </w:r>
      <w:r>
        <w:t xml:space="preserve">directions and all five within-region folds.</w:t>
      </w:r>
    </w:p>
    <w:p>
      <w:pPr>
        <w:pStyle w:val="BodyText"/>
        <w:keepNext/>
      </w:pPr>
      <w:r>
        <w:rPr>
          <w:b/>
          <w:bCs/>
        </w:rPr>
        <w:t xml:space="preserve">Table S24. The within-region increment without the two coordinate-informed channels.</w:t>
      </w:r>
    </w:p>
    <w:tbl>
      <w:tblPr>
        <w:tblStyle w:val="Table"/>
        <w:tblW w:type="auto" w:w="0"/>
        <w:tblLook w:firstRow="1" w:lastRow="0" w:firstColumn="0" w:lastColumn="0" w:noHBand="0" w:noVBand="0" w:val="0020"/>
      </w:tblPr>
      <w:tblGrid>
        <w:gridCol w:w="2061"/>
        <w:gridCol w:w="2611"/>
        <w:gridCol w:w="3298"/>
        <w:gridCol w:w="1099"/>
      </w:tblGrid>
      <w:tr>
        <w:trPr>
          <w:tblHeader w:val="on"/>
          <w:cantSplit/>
        </w:trPr>
        <w:tc>
          <w:tcPr>
            <w:tcW w:type="dxa" w:w="2061"/>
          </w:tcPr>
          <w:p>
            <w:pPr>
              <w:pStyle w:val="Compact"/>
              <w:spacing w:line="240" w:lineRule="auto" w:after="20"/>
            </w:pPr>
            <w:r>
              <w:rPr>
                <w:sz w:val="20"/>
              </w:rPr>
              <w:t xml:space="preserve">Region</w:t>
            </w:r>
          </w:p>
        </w:tc>
        <w:tc>
          <w:tcPr>
            <w:tcW w:type="dxa" w:w="2611"/>
          </w:tcPr>
          <w:p>
            <w:pPr>
              <w:pStyle w:val="Compact"/>
              <w:spacing w:line="240" w:lineRule="auto" w:after="20"/>
              <w:jc w:val="right"/>
            </w:pPr>
            <w:r>
              <w:rPr>
                <w:sz w:val="20"/>
              </w:rPr>
              <w:t xml:space="preserve">Increment, full set</w:t>
            </w:r>
          </w:p>
        </w:tc>
        <w:tc>
          <w:tcPr>
            <w:tcW w:type="dxa" w:w="3298"/>
          </w:tcPr>
          <w:p>
            <w:pPr>
              <w:pStyle w:val="Compact"/>
              <w:spacing w:line="240" w:lineRule="auto" w:after="20"/>
              <w:jc w:val="right"/>
            </w:pPr>
            <w:r>
              <w:rPr>
                <w:sz w:val="20"/>
              </w:rPr>
              <w:t xml:space="preserve">Without the two channels</w:t>
            </w:r>
          </w:p>
        </w:tc>
        <w:tc>
          <w:tcPr>
            <w:tcW w:type="dxa" w:w="1099"/>
          </w:tcPr>
          <w:p>
            <w:pPr>
              <w:pStyle w:val="Compact"/>
              <w:spacing w:line="240" w:lineRule="auto" w:after="20"/>
              <w:jc w:val="right"/>
            </w:pPr>
            <w:r>
              <w:rPr>
                <w:sz w:val="20"/>
              </w:rPr>
              <w:t xml:space="preserve">Retained</w:t>
            </w:r>
          </w:p>
        </w:tc>
      </w:tr>
      <w:tr>
        <w:trPr>
          <w:cantSplit/>
        </w:trPr>
        <w:tc>
          <w:tcPr>
            <w:tcW w:type="dxa" w:w="2061"/>
          </w:tcPr>
          <w:p>
            <w:pPr>
              <w:pStyle w:val="Compact"/>
              <w:spacing w:line="240" w:lineRule="auto" w:after="20"/>
            </w:pPr>
            <w:r>
              <w:rPr>
                <w:sz w:val="20"/>
              </w:rPr>
              <w:t xml:space="preserve">Manavgat 2021</w:t>
            </w:r>
          </w:p>
        </w:tc>
        <w:tc>
          <w:tcPr>
            <w:tcW w:type="dxa" w:w="2611"/>
          </w:tcPr>
          <w:p>
            <w:pPr>
              <w:pStyle w:val="Compact"/>
              <w:spacing w:line="240" w:lineRule="auto" w:after="20"/>
              <w:jc w:val="right"/>
            </w:pPr>
            <w:r>
              <w:rPr>
                <w:sz w:val="20"/>
              </w:rPr>
              <w:t xml:space="preserve">+0.067</w:t>
            </w:r>
          </w:p>
        </w:tc>
        <w:tc>
          <w:tcPr>
            <w:tcW w:type="dxa" w:w="3298"/>
          </w:tcPr>
          <w:p>
            <w:pPr>
              <w:pStyle w:val="Compact"/>
              <w:spacing w:line="240" w:lineRule="auto" w:after="20"/>
              <w:jc w:val="right"/>
            </w:pPr>
            <w:r>
              <w:rPr>
                <w:sz w:val="20"/>
              </w:rPr>
              <w:t xml:space="preserve">+0.064</w:t>
            </w:r>
          </w:p>
        </w:tc>
        <w:tc>
          <w:tcPr>
            <w:tcW w:type="dxa" w:w="1099"/>
          </w:tcPr>
          <w:p>
            <w:pPr>
              <w:pStyle w:val="Compact"/>
              <w:spacing w:line="240" w:lineRule="auto" w:after="20"/>
              <w:jc w:val="right"/>
            </w:pPr>
            <w:r>
              <w:rPr>
                <w:sz w:val="20"/>
              </w:rPr>
              <w:t xml:space="preserve">95 %</w:t>
            </w:r>
          </w:p>
        </w:tc>
      </w:tr>
      <w:tr>
        <w:trPr>
          <w:cantSplit/>
        </w:trPr>
        <w:tc>
          <w:tcPr>
            <w:tcW w:type="dxa" w:w="2061"/>
          </w:tcPr>
          <w:p>
            <w:pPr>
              <w:pStyle w:val="Compact"/>
              <w:spacing w:line="240" w:lineRule="auto" w:after="20"/>
            </w:pPr>
            <w:r>
              <w:rPr>
                <w:sz w:val="20"/>
              </w:rPr>
              <w:t xml:space="preserve">Bejís 2022</w:t>
            </w:r>
          </w:p>
        </w:tc>
        <w:tc>
          <w:tcPr>
            <w:tcW w:type="dxa" w:w="2611"/>
          </w:tcPr>
          <w:p>
            <w:pPr>
              <w:pStyle w:val="Compact"/>
              <w:spacing w:line="240" w:lineRule="auto" w:after="20"/>
              <w:jc w:val="right"/>
            </w:pPr>
            <w:r>
              <w:rPr>
                <w:sz w:val="20"/>
              </w:rPr>
              <w:t xml:space="preserve">+0.056</w:t>
            </w:r>
          </w:p>
        </w:tc>
        <w:tc>
          <w:tcPr>
            <w:tcW w:type="dxa" w:w="3298"/>
          </w:tcPr>
          <w:p>
            <w:pPr>
              <w:pStyle w:val="Compact"/>
              <w:spacing w:line="240" w:lineRule="auto" w:after="20"/>
              <w:jc w:val="right"/>
            </w:pPr>
            <w:r>
              <w:rPr>
                <w:sz w:val="20"/>
              </w:rPr>
              <w:t xml:space="preserve">+0.046</w:t>
            </w:r>
          </w:p>
        </w:tc>
        <w:tc>
          <w:tcPr>
            <w:tcW w:type="dxa" w:w="1099"/>
          </w:tcPr>
          <w:p>
            <w:pPr>
              <w:pStyle w:val="Compact"/>
              <w:spacing w:line="240" w:lineRule="auto" w:after="20"/>
              <w:jc w:val="right"/>
            </w:pPr>
            <w:r>
              <w:rPr>
                <w:sz w:val="20"/>
              </w:rPr>
              <w:t xml:space="preserve">82 %</w:t>
            </w:r>
          </w:p>
        </w:tc>
      </w:tr>
      <w:tr>
        <w:trPr>
          <w:cantSplit/>
        </w:trPr>
        <w:tc>
          <w:tcPr>
            <w:tcW w:type="dxa" w:w="2061"/>
          </w:tcPr>
          <w:p>
            <w:pPr>
              <w:pStyle w:val="Compact"/>
              <w:spacing w:line="240" w:lineRule="auto" w:after="20"/>
            </w:pPr>
            <w:r>
              <w:rPr>
                <w:sz w:val="20"/>
              </w:rPr>
              <w:t xml:space="preserve">Muğla 2021</w:t>
            </w:r>
          </w:p>
        </w:tc>
        <w:tc>
          <w:tcPr>
            <w:tcW w:type="dxa" w:w="2611"/>
          </w:tcPr>
          <w:p>
            <w:pPr>
              <w:pStyle w:val="Compact"/>
              <w:spacing w:line="240" w:lineRule="auto" w:after="20"/>
              <w:jc w:val="right"/>
            </w:pPr>
            <w:r>
              <w:rPr>
                <w:sz w:val="20"/>
              </w:rPr>
              <w:t xml:space="preserve">+0.116</w:t>
            </w:r>
          </w:p>
        </w:tc>
        <w:tc>
          <w:tcPr>
            <w:tcW w:type="dxa" w:w="3298"/>
          </w:tcPr>
          <w:p>
            <w:pPr>
              <w:pStyle w:val="Compact"/>
              <w:spacing w:line="240" w:lineRule="auto" w:after="20"/>
              <w:jc w:val="right"/>
            </w:pPr>
            <w:r>
              <w:rPr>
                <w:sz w:val="20"/>
              </w:rPr>
              <w:t xml:space="preserve">+0.097</w:t>
            </w:r>
          </w:p>
        </w:tc>
        <w:tc>
          <w:tcPr>
            <w:tcW w:type="dxa" w:w="1099"/>
          </w:tcPr>
          <w:p>
            <w:pPr>
              <w:pStyle w:val="Compact"/>
              <w:spacing w:line="240" w:lineRule="auto" w:after="20"/>
              <w:jc w:val="right"/>
            </w:pPr>
            <w:r>
              <w:rPr>
                <w:sz w:val="20"/>
              </w:rPr>
              <w:t xml:space="preserve">84 %</w:t>
            </w:r>
          </w:p>
        </w:tc>
      </w:tr>
      <w:tr>
        <w:trPr>
          <w:cantSplit/>
        </w:trPr>
        <w:tc>
          <w:tcPr>
            <w:tcW w:type="dxa" w:w="2061"/>
          </w:tcPr>
          <w:p>
            <w:pPr>
              <w:pStyle w:val="Compact"/>
              <w:spacing w:line="240" w:lineRule="auto" w:after="20"/>
            </w:pPr>
            <w:r>
              <w:rPr>
                <w:sz w:val="20"/>
              </w:rPr>
              <w:t xml:space="preserve">North Evia 2021</w:t>
            </w:r>
          </w:p>
        </w:tc>
        <w:tc>
          <w:tcPr>
            <w:tcW w:type="dxa" w:w="2611"/>
          </w:tcPr>
          <w:p>
            <w:pPr>
              <w:pStyle w:val="Compact"/>
              <w:spacing w:line="240" w:lineRule="auto" w:after="20"/>
              <w:jc w:val="right"/>
            </w:pPr>
            <w:r>
              <w:rPr>
                <w:sz w:val="20"/>
              </w:rPr>
              <w:t xml:space="preserve">+0.153</w:t>
            </w:r>
          </w:p>
        </w:tc>
        <w:tc>
          <w:tcPr>
            <w:tcW w:type="dxa" w:w="3298"/>
          </w:tcPr>
          <w:p>
            <w:pPr>
              <w:pStyle w:val="Compact"/>
              <w:spacing w:line="240" w:lineRule="auto" w:after="20"/>
              <w:jc w:val="right"/>
            </w:pPr>
            <w:r>
              <w:rPr>
                <w:sz w:val="20"/>
              </w:rPr>
              <w:t xml:space="preserve">+0.145</w:t>
            </w:r>
          </w:p>
        </w:tc>
        <w:tc>
          <w:tcPr>
            <w:tcW w:type="dxa" w:w="1099"/>
          </w:tcPr>
          <w:p>
            <w:pPr>
              <w:pStyle w:val="Compact"/>
              <w:spacing w:line="240" w:lineRule="auto" w:after="20"/>
              <w:jc w:val="right"/>
            </w:pPr>
            <w:r>
              <w:rPr>
                <w:sz w:val="20"/>
              </w:rPr>
              <w:t xml:space="preserve">94 %</w:t>
            </w:r>
          </w:p>
        </w:tc>
      </w:tr>
      <w:tr>
        <w:trPr>
          <w:cantSplit/>
        </w:trPr>
        <w:tc>
          <w:tcPr>
            <w:tcW w:type="dxa" w:w="2061"/>
          </w:tcPr>
          <w:p>
            <w:pPr>
              <w:pStyle w:val="Compact"/>
              <w:spacing w:line="240" w:lineRule="auto" w:after="20"/>
            </w:pPr>
            <w:r>
              <w:rPr>
                <w:sz w:val="20"/>
              </w:rPr>
              <w:t xml:space="preserve">Montiferru 2021</w:t>
            </w:r>
          </w:p>
        </w:tc>
        <w:tc>
          <w:tcPr>
            <w:tcW w:type="dxa" w:w="2611"/>
          </w:tcPr>
          <w:p>
            <w:pPr>
              <w:pStyle w:val="Compact"/>
              <w:spacing w:line="240" w:lineRule="auto" w:after="20"/>
              <w:jc w:val="right"/>
            </w:pPr>
            <w:r>
              <w:rPr>
                <w:sz w:val="20"/>
              </w:rPr>
              <w:t xml:space="preserve">+0.101</w:t>
            </w:r>
          </w:p>
        </w:tc>
        <w:tc>
          <w:tcPr>
            <w:tcW w:type="dxa" w:w="3298"/>
          </w:tcPr>
          <w:p>
            <w:pPr>
              <w:pStyle w:val="Compact"/>
              <w:spacing w:line="240" w:lineRule="auto" w:after="20"/>
              <w:jc w:val="right"/>
            </w:pPr>
            <w:r>
              <w:rPr>
                <w:sz w:val="20"/>
              </w:rPr>
              <w:t xml:space="preserve">+0.105</w:t>
            </w:r>
          </w:p>
        </w:tc>
        <w:tc>
          <w:tcPr>
            <w:tcW w:type="dxa" w:w="1099"/>
          </w:tcPr>
          <w:p>
            <w:pPr>
              <w:pStyle w:val="Compact"/>
              <w:spacing w:line="240" w:lineRule="auto" w:after="20"/>
              <w:jc w:val="right"/>
            </w:pPr>
            <w:r>
              <w:rPr>
                <w:sz w:val="20"/>
              </w:rPr>
              <w:t xml:space="preserve">103 %</w:t>
            </w:r>
          </w:p>
        </w:tc>
      </w:tr>
      <w:tr>
        <w:trPr>
          <w:cantSplit/>
        </w:trPr>
        <w:tc>
          <w:tcPr>
            <w:tcW w:type="dxa" w:w="2061"/>
          </w:tcPr>
          <w:p>
            <w:pPr>
              <w:pStyle w:val="Compact"/>
              <w:spacing w:line="240" w:lineRule="auto" w:after="20"/>
            </w:pPr>
            <w:r>
              <w:rPr>
                <w:b/>
                <w:bCs/>
                <w:sz w:val="20"/>
              </w:rPr>
              <w:t xml:space="preserve">Mean</w:t>
            </w:r>
          </w:p>
        </w:tc>
        <w:tc>
          <w:tcPr>
            <w:tcW w:type="dxa" w:w="2611"/>
          </w:tcPr>
          <w:p>
            <w:pPr>
              <w:pStyle w:val="Compact"/>
              <w:spacing w:line="240" w:lineRule="auto" w:after="20"/>
              <w:jc w:val="right"/>
            </w:pPr>
            <w:r>
              <w:rPr>
                <w:b/>
                <w:bCs/>
                <w:sz w:val="20"/>
              </w:rPr>
              <w:t xml:space="preserve">+0.099</w:t>
            </w:r>
          </w:p>
        </w:tc>
        <w:tc>
          <w:tcPr>
            <w:tcW w:type="dxa" w:w="3298"/>
          </w:tcPr>
          <w:p>
            <w:pPr>
              <w:pStyle w:val="Compact"/>
              <w:spacing w:line="240" w:lineRule="auto" w:after="20"/>
              <w:jc w:val="right"/>
            </w:pPr>
            <w:r>
              <w:rPr>
                <w:b/>
                <w:bCs/>
                <w:sz w:val="20"/>
              </w:rPr>
              <w:t xml:space="preserve">+0.091</w:t>
            </w:r>
          </w:p>
        </w:tc>
        <w:tc>
          <w:tcPr>
            <w:tcW w:type="dxa" w:w="1099"/>
          </w:tcPr>
          <w:p>
            <w:pPr>
              <w:pStyle w:val="Compact"/>
              <w:spacing w:line="240" w:lineRule="auto" w:after="20"/>
              <w:jc w:val="right"/>
            </w:pPr>
            <w:r>
              <w:rPr>
                <w:b/>
                <w:bCs/>
                <w:sz w:val="20"/>
              </w:rPr>
              <w:t xml:space="preserve">92 %</w:t>
            </w:r>
          </w:p>
        </w:tc>
      </w:tr>
    </w:tbl>
    <w:p>
      <w:pPr>
        <w:pStyle w:val="BodyText"/>
      </w:pPr>
      <w:r>
        <w:rPr>
          <w:b/>
          <w:bCs/>
        </w:rPr>
        <w:t xml:space="preserve">The gain does not depend on these channels.</w:t>
      </w:r>
      <w:r>
        <w:t xml:space="preserve"> </w:t>
      </w:r>
      <w:r>
        <w:t xml:space="preserve">It stays positive in every region and keeps 82 %</w:t>
      </w:r>
      <w:r>
        <w:t xml:space="preserve"> </w:t>
      </w:r>
      <w:r>
        <w:t xml:space="preserve">to 103 % of its size. Mean transfer also does not change: 0.528 without the two channels, 0.527 with</w:t>
      </w:r>
      <w:r>
        <w:t xml:space="preserve"> </w:t>
      </w:r>
      <w:r>
        <w:t xml:space="preserve">them, and 0.519 for the baseline alone.</w:t>
      </w:r>
    </w:p>
    <w:bookmarkEnd w:id="26"/>
    <w:bookmarkStart w:id="27" w:name="s1.8-model-capacity"/>
    <w:p>
      <w:pPr>
        <w:pStyle w:val="Heading2"/>
      </w:pPr>
      <w:r>
        <w:t xml:space="preserve">S1.8 Model capacity</w:t>
      </w:r>
    </w:p>
    <w:p>
      <w:pPr>
        <w:pStyle w:val="FirstParagraph"/>
      </w:pPr>
      <w:r>
        <w:t xml:space="preserve">All numbers in the paper come from one random forest with unlimited depth and</w:t>
      </w:r>
      <w:r>
        <w:t xml:space="preserve"> </w:t>
      </w:r>
      <w:r>
        <w:rPr>
          <w:rStyle w:val="VerbatimChar"/>
        </w:rPr>
        <w:t xml:space="preserve">min_samples_leaf = 3</w:t>
      </w:r>
      <w:r>
        <w:t xml:space="preserve">. This configuration fits local structure well and extrapolates poorly. Three</w:t>
      </w:r>
      <w:r>
        <w:t xml:space="preserve"> </w:t>
      </w:r>
      <w:r>
        <w:t xml:space="preserve">other estimators were therefore run over the same twenty directions and five within-region folds.</w:t>
      </w:r>
    </w:p>
    <w:p>
      <w:pPr>
        <w:pStyle w:val="BodyText"/>
        <w:keepNext/>
      </w:pPr>
      <w:r>
        <w:rPr>
          <w:b/>
          <w:bCs/>
        </w:rPr>
        <w:t xml:space="preserve">Table S25. Four estimators, within region and in transfer.</w:t>
      </w:r>
    </w:p>
    <w:tbl>
      <w:tblPr>
        <w:tblStyle w:val="Table"/>
        <w:tblW w:type="auto" w:w="0"/>
        <w:tblLook w:firstRow="1" w:lastRow="0" w:firstColumn="0" w:lastColumn="0" w:noHBand="0" w:noVBand="0" w:val="0020"/>
      </w:tblPr>
      <w:tblGrid>
        <w:gridCol w:w="3050"/>
        <w:gridCol w:w="1365"/>
        <w:gridCol w:w="1284"/>
        <w:gridCol w:w="963"/>
        <w:gridCol w:w="1445"/>
        <w:gridCol w:w="963"/>
      </w:tblGrid>
      <w:tr>
        <w:trPr>
          <w:tblHeader w:val="on"/>
          <w:cantSplit/>
        </w:trPr>
        <w:tc>
          <w:tcPr>
            <w:tcW w:type="dxa" w:w="3050"/>
          </w:tcPr>
          <w:p>
            <w:pPr>
              <w:pStyle w:val="Compact"/>
              <w:spacing w:line="240" w:lineRule="auto" w:after="20"/>
            </w:pPr>
            <w:r>
              <w:rPr>
                <w:sz w:val="20"/>
              </w:rPr>
              <w:t xml:space="preserve">Estimator</w:t>
            </w:r>
          </w:p>
        </w:tc>
        <w:tc>
          <w:tcPr>
            <w:tcW w:type="dxa" w:w="1365"/>
          </w:tcPr>
          <w:p>
            <w:pPr>
              <w:pStyle w:val="Compact"/>
              <w:spacing w:line="240" w:lineRule="auto" w:after="20"/>
              <w:jc w:val="right"/>
            </w:pPr>
            <w:r>
              <w:rPr>
                <w:sz w:val="20"/>
              </w:rPr>
              <w:t xml:space="preserve">Within-region AUC</w:t>
            </w:r>
          </w:p>
        </w:tc>
        <w:tc>
          <w:tcPr>
            <w:tcW w:type="dxa" w:w="1284"/>
          </w:tcPr>
          <w:p>
            <w:pPr>
              <w:pStyle w:val="Compact"/>
              <w:spacing w:line="240" w:lineRule="auto" w:after="20"/>
              <w:jc w:val="right"/>
            </w:pPr>
            <w:r>
              <w:rPr>
                <w:sz w:val="20"/>
              </w:rPr>
              <w:t xml:space="preserve">Within increment</w:t>
            </w:r>
          </w:p>
        </w:tc>
        <w:tc>
          <w:tcPr>
            <w:tcW w:type="dxa" w:w="963"/>
          </w:tcPr>
          <w:p>
            <w:pPr>
              <w:pStyle w:val="Compact"/>
              <w:spacing w:line="240" w:lineRule="auto" w:after="20"/>
              <w:jc w:val="right"/>
            </w:pPr>
            <w:r>
              <w:rPr>
                <w:sz w:val="20"/>
              </w:rPr>
              <w:t xml:space="preserve">Transfer AUC</w:t>
            </w:r>
          </w:p>
        </w:tc>
        <w:tc>
          <w:tcPr>
            <w:tcW w:type="dxa" w:w="1445"/>
          </w:tcPr>
          <w:p>
            <w:pPr>
              <w:pStyle w:val="Compact"/>
              <w:spacing w:line="240" w:lineRule="auto" w:after="20"/>
              <w:jc w:val="right"/>
            </w:pPr>
            <w:r>
              <w:rPr>
                <w:sz w:val="20"/>
              </w:rPr>
              <w:t xml:space="preserve">Transfer increment</w:t>
            </w:r>
          </w:p>
        </w:tc>
        <w:tc>
          <w:tcPr>
            <w:tcW w:type="dxa" w:w="963"/>
          </w:tcPr>
          <w:p>
            <w:pPr>
              <w:pStyle w:val="Compact"/>
              <w:spacing w:line="240" w:lineRule="auto" w:after="20"/>
              <w:jc w:val="right"/>
            </w:pPr>
            <w:r>
              <w:rPr>
                <w:sz w:val="20"/>
              </w:rPr>
              <w:t xml:space="preserve">Above chance</w:t>
            </w:r>
          </w:p>
        </w:tc>
      </w:tr>
      <w:tr>
        <w:trPr>
          <w:cantSplit/>
        </w:trPr>
        <w:tc>
          <w:tcPr>
            <w:tcW w:type="dxa" w:w="3050"/>
          </w:tcPr>
          <w:p>
            <w:pPr>
              <w:pStyle w:val="Compact"/>
              <w:spacing w:line="240" w:lineRule="auto" w:after="20"/>
            </w:pPr>
            <w:r>
              <w:rPr>
                <w:sz w:val="20"/>
              </w:rPr>
              <w:t xml:space="preserve">Random forest, depth unlimited, leaf 3</w:t>
            </w:r>
          </w:p>
        </w:tc>
        <w:tc>
          <w:tcPr>
            <w:tcW w:type="dxa" w:w="1365"/>
          </w:tcPr>
          <w:p>
            <w:pPr>
              <w:pStyle w:val="Compact"/>
              <w:spacing w:line="240" w:lineRule="auto" w:after="20"/>
              <w:jc w:val="right"/>
            </w:pPr>
            <w:r>
              <w:rPr>
                <w:sz w:val="20"/>
              </w:rPr>
              <w:t xml:space="preserve">0.896</w:t>
            </w:r>
          </w:p>
        </w:tc>
        <w:tc>
          <w:tcPr>
            <w:tcW w:type="dxa" w:w="1284"/>
          </w:tcPr>
          <w:p>
            <w:pPr>
              <w:pStyle w:val="Compact"/>
              <w:spacing w:line="240" w:lineRule="auto" w:after="20"/>
              <w:jc w:val="right"/>
            </w:pPr>
            <w:r>
              <w:rPr>
                <w:sz w:val="20"/>
              </w:rPr>
              <w:t xml:space="preserve">+0.099</w:t>
            </w:r>
          </w:p>
        </w:tc>
        <w:tc>
          <w:tcPr>
            <w:tcW w:type="dxa" w:w="963"/>
          </w:tcPr>
          <w:p>
            <w:pPr>
              <w:pStyle w:val="Compact"/>
              <w:spacing w:line="240" w:lineRule="auto" w:after="20"/>
              <w:jc w:val="right"/>
            </w:pPr>
            <w:r>
              <w:rPr>
                <w:sz w:val="20"/>
              </w:rPr>
              <w:t xml:space="preserve">0.527</w:t>
            </w:r>
          </w:p>
        </w:tc>
        <w:tc>
          <w:tcPr>
            <w:tcW w:type="dxa" w:w="1445"/>
          </w:tcPr>
          <w:p>
            <w:pPr>
              <w:pStyle w:val="Compact"/>
              <w:spacing w:line="240" w:lineRule="auto" w:after="20"/>
              <w:jc w:val="right"/>
            </w:pPr>
            <w:r>
              <w:rPr>
                <w:sz w:val="20"/>
              </w:rPr>
              <w:t xml:space="preserve">+0.007</w:t>
            </w:r>
          </w:p>
        </w:tc>
        <w:tc>
          <w:tcPr>
            <w:tcW w:type="dxa" w:w="963"/>
          </w:tcPr>
          <w:p>
            <w:pPr>
              <w:pStyle w:val="Compact"/>
              <w:spacing w:line="240" w:lineRule="auto" w:after="20"/>
              <w:jc w:val="right"/>
            </w:pPr>
            <w:r>
              <w:rPr>
                <w:sz w:val="20"/>
              </w:rPr>
              <w:t xml:space="preserve">13 of 20</w:t>
            </w:r>
          </w:p>
        </w:tc>
      </w:tr>
      <w:tr>
        <w:trPr>
          <w:cantSplit/>
        </w:trPr>
        <w:tc>
          <w:tcPr>
            <w:tcW w:type="dxa" w:w="3050"/>
          </w:tcPr>
          <w:p>
            <w:pPr>
              <w:pStyle w:val="Compact"/>
              <w:spacing w:line="240" w:lineRule="auto" w:after="20"/>
            </w:pPr>
            <w:r>
              <w:rPr>
                <w:sz w:val="20"/>
              </w:rPr>
              <w:t xml:space="preserve">Random forest, depth 6, leaf 50</w:t>
            </w:r>
          </w:p>
        </w:tc>
        <w:tc>
          <w:tcPr>
            <w:tcW w:type="dxa" w:w="1365"/>
          </w:tcPr>
          <w:p>
            <w:pPr>
              <w:pStyle w:val="Compact"/>
              <w:spacing w:line="240" w:lineRule="auto" w:after="20"/>
              <w:jc w:val="right"/>
            </w:pPr>
            <w:r>
              <w:rPr>
                <w:sz w:val="20"/>
              </w:rPr>
              <w:t xml:space="preserve">0.838</w:t>
            </w:r>
          </w:p>
        </w:tc>
        <w:tc>
          <w:tcPr>
            <w:tcW w:type="dxa" w:w="1284"/>
          </w:tcPr>
          <w:p>
            <w:pPr>
              <w:pStyle w:val="Compact"/>
              <w:spacing w:line="240" w:lineRule="auto" w:after="20"/>
              <w:jc w:val="right"/>
            </w:pPr>
            <w:r>
              <w:rPr>
                <w:sz w:val="20"/>
              </w:rPr>
              <w:t xml:space="preserve">+0.053</w:t>
            </w:r>
          </w:p>
        </w:tc>
        <w:tc>
          <w:tcPr>
            <w:tcW w:type="dxa" w:w="963"/>
          </w:tcPr>
          <w:p>
            <w:pPr>
              <w:pStyle w:val="Compact"/>
              <w:spacing w:line="240" w:lineRule="auto" w:after="20"/>
              <w:jc w:val="right"/>
            </w:pPr>
            <w:r>
              <w:rPr>
                <w:sz w:val="20"/>
              </w:rPr>
              <w:t xml:space="preserve">0.527</w:t>
            </w:r>
          </w:p>
        </w:tc>
        <w:tc>
          <w:tcPr>
            <w:tcW w:type="dxa" w:w="1445"/>
          </w:tcPr>
          <w:p>
            <w:pPr>
              <w:pStyle w:val="Compact"/>
              <w:spacing w:line="240" w:lineRule="auto" w:after="20"/>
              <w:jc w:val="right"/>
            </w:pPr>
            <w:r>
              <w:rPr>
                <w:sz w:val="20"/>
              </w:rPr>
              <w:t xml:space="preserve">−0.011</w:t>
            </w:r>
          </w:p>
        </w:tc>
        <w:tc>
          <w:tcPr>
            <w:tcW w:type="dxa" w:w="963"/>
          </w:tcPr>
          <w:p>
            <w:pPr>
              <w:pStyle w:val="Compact"/>
              <w:spacing w:line="240" w:lineRule="auto" w:after="20"/>
              <w:jc w:val="right"/>
            </w:pPr>
            <w:r>
              <w:rPr>
                <w:sz w:val="20"/>
              </w:rPr>
              <w:t xml:space="preserve">13 of 20</w:t>
            </w:r>
          </w:p>
        </w:tc>
      </w:tr>
      <w:tr>
        <w:trPr>
          <w:cantSplit/>
        </w:trPr>
        <w:tc>
          <w:tcPr>
            <w:tcW w:type="dxa" w:w="3050"/>
          </w:tcPr>
          <w:p>
            <w:pPr>
              <w:pStyle w:val="Compact"/>
              <w:spacing w:line="240" w:lineRule="auto" w:after="20"/>
            </w:pPr>
            <w:r>
              <w:rPr>
                <w:sz w:val="20"/>
              </w:rPr>
              <w:t xml:space="preserve">Random forest, leaf 200</w:t>
            </w:r>
          </w:p>
        </w:tc>
        <w:tc>
          <w:tcPr>
            <w:tcW w:type="dxa" w:w="1365"/>
          </w:tcPr>
          <w:p>
            <w:pPr>
              <w:pStyle w:val="Compact"/>
              <w:spacing w:line="240" w:lineRule="auto" w:after="20"/>
              <w:jc w:val="right"/>
            </w:pPr>
            <w:r>
              <w:rPr>
                <w:sz w:val="20"/>
              </w:rPr>
              <w:t xml:space="preserve">0.814</w:t>
            </w:r>
          </w:p>
        </w:tc>
        <w:tc>
          <w:tcPr>
            <w:tcW w:type="dxa" w:w="1284"/>
          </w:tcPr>
          <w:p>
            <w:pPr>
              <w:pStyle w:val="Compact"/>
              <w:spacing w:line="240" w:lineRule="auto" w:after="20"/>
              <w:jc w:val="right"/>
            </w:pPr>
            <w:r>
              <w:rPr>
                <w:sz w:val="20"/>
              </w:rPr>
              <w:t xml:space="preserve">+0.046</w:t>
            </w:r>
          </w:p>
        </w:tc>
        <w:tc>
          <w:tcPr>
            <w:tcW w:type="dxa" w:w="963"/>
          </w:tcPr>
          <w:p>
            <w:pPr>
              <w:pStyle w:val="Compact"/>
              <w:spacing w:line="240" w:lineRule="auto" w:after="20"/>
              <w:jc w:val="right"/>
            </w:pPr>
            <w:r>
              <w:rPr>
                <w:sz w:val="20"/>
              </w:rPr>
              <w:t xml:space="preserve">0.522</w:t>
            </w:r>
          </w:p>
        </w:tc>
        <w:tc>
          <w:tcPr>
            <w:tcW w:type="dxa" w:w="1445"/>
          </w:tcPr>
          <w:p>
            <w:pPr>
              <w:pStyle w:val="Compact"/>
              <w:spacing w:line="240" w:lineRule="auto" w:after="20"/>
              <w:jc w:val="right"/>
            </w:pPr>
            <w:r>
              <w:rPr>
                <w:sz w:val="20"/>
              </w:rPr>
              <w:t xml:space="preserve">−0.019</w:t>
            </w:r>
          </w:p>
        </w:tc>
        <w:tc>
          <w:tcPr>
            <w:tcW w:type="dxa" w:w="963"/>
          </w:tcPr>
          <w:p>
            <w:pPr>
              <w:pStyle w:val="Compact"/>
              <w:spacing w:line="240" w:lineRule="auto" w:after="20"/>
              <w:jc w:val="right"/>
            </w:pPr>
            <w:r>
              <w:rPr>
                <w:sz w:val="20"/>
              </w:rPr>
              <w:t xml:space="preserve">13 of 20</w:t>
            </w:r>
          </w:p>
        </w:tc>
      </w:tr>
      <w:tr>
        <w:trPr>
          <w:cantSplit/>
        </w:trPr>
        <w:tc>
          <w:tcPr>
            <w:tcW w:type="dxa" w:w="3050"/>
          </w:tcPr>
          <w:p>
            <w:pPr>
              <w:pStyle w:val="Compact"/>
              <w:spacing w:line="240" w:lineRule="auto" w:after="20"/>
            </w:pPr>
            <w:r>
              <w:rPr>
                <w:sz w:val="20"/>
              </w:rPr>
              <w:t xml:space="preserve">Penalised logistic regression</w:t>
            </w:r>
          </w:p>
        </w:tc>
        <w:tc>
          <w:tcPr>
            <w:tcW w:type="dxa" w:w="1365"/>
          </w:tcPr>
          <w:p>
            <w:pPr>
              <w:pStyle w:val="Compact"/>
              <w:spacing w:line="240" w:lineRule="auto" w:after="20"/>
              <w:jc w:val="right"/>
            </w:pPr>
            <w:r>
              <w:rPr>
                <w:sz w:val="20"/>
              </w:rPr>
              <w:t xml:space="preserve">0.759</w:t>
            </w:r>
          </w:p>
        </w:tc>
        <w:tc>
          <w:tcPr>
            <w:tcW w:type="dxa" w:w="1284"/>
          </w:tcPr>
          <w:p>
            <w:pPr>
              <w:pStyle w:val="Compact"/>
              <w:spacing w:line="240" w:lineRule="auto" w:after="20"/>
              <w:jc w:val="right"/>
            </w:pPr>
            <w:r>
              <w:rPr>
                <w:sz w:val="20"/>
              </w:rPr>
              <w:t xml:space="preserve">+0.046</w:t>
            </w:r>
          </w:p>
        </w:tc>
        <w:tc>
          <w:tcPr>
            <w:tcW w:type="dxa" w:w="963"/>
          </w:tcPr>
          <w:p>
            <w:pPr>
              <w:pStyle w:val="Compact"/>
              <w:spacing w:line="240" w:lineRule="auto" w:after="20"/>
              <w:jc w:val="right"/>
            </w:pPr>
            <w:r>
              <w:rPr>
                <w:sz w:val="20"/>
              </w:rPr>
              <w:t xml:space="preserve">0.481</w:t>
            </w:r>
          </w:p>
        </w:tc>
        <w:tc>
          <w:tcPr>
            <w:tcW w:type="dxa" w:w="1445"/>
          </w:tcPr>
          <w:p>
            <w:pPr>
              <w:pStyle w:val="Compact"/>
              <w:spacing w:line="240" w:lineRule="auto" w:after="20"/>
              <w:jc w:val="right"/>
            </w:pPr>
            <w:r>
              <w:rPr>
                <w:sz w:val="20"/>
              </w:rPr>
              <w:t xml:space="preserve">−0.021</w:t>
            </w:r>
          </w:p>
        </w:tc>
        <w:tc>
          <w:tcPr>
            <w:tcW w:type="dxa" w:w="963"/>
          </w:tcPr>
          <w:p>
            <w:pPr>
              <w:pStyle w:val="Compact"/>
              <w:spacing w:line="240" w:lineRule="auto" w:after="20"/>
              <w:jc w:val="right"/>
            </w:pPr>
            <w:r>
              <w:rPr>
                <w:sz w:val="20"/>
              </w:rPr>
              <w:t xml:space="preserve">11 of 20</w:t>
            </w:r>
          </w:p>
        </w:tc>
      </w:tr>
    </w:tbl>
    <w:p>
      <w:pPr>
        <w:pStyle w:val="BodyText"/>
      </w:pPr>
      <w:r>
        <w:rPr>
          <w:b/>
          <w:bCs/>
        </w:rPr>
        <w:t xml:space="preserve">Regularisation does not improve transfer.</w:t>
      </w:r>
      <w:r>
        <w:t xml:space="preserve"> </w:t>
      </w:r>
      <w:r>
        <w:t xml:space="preserve">The four estimators range from 0.481 to 0.527, with</w:t>
      </w:r>
      <w:r>
        <w:t xml:space="preserve"> </w:t>
      </w:r>
      <w:r>
        <w:t xml:space="preserve">eleven to thirteen of twenty directions above chance. The linear model, which is designed to</w:t>
      </w:r>
      <w:r>
        <w:t xml:space="preserve"> </w:t>
      </w:r>
      <w:r>
        <w:t xml:space="preserve">extrapolate, transfers worst. Within-region skill falls from 0.896 to 0.759 as capacity is reduced,</w:t>
      </w:r>
      <w:r>
        <w:t xml:space="preserve"> </w:t>
      </w:r>
      <w:r>
        <w:t xml:space="preserve">but transfer does not rise. The thermal contribution to transfer is +0.007 for the standard forest</w:t>
      </w:r>
      <w:r>
        <w:t xml:space="preserve"> </w:t>
      </w:r>
      <w:r>
        <w:t xml:space="preserve">and negative for all three alternatives. The estimators are not ranked, because only point estimates</w:t>
      </w:r>
      <w:r>
        <w:t xml:space="preserve"> </w:t>
      </w:r>
      <w:r>
        <w:t xml:space="preserve">are available.</w:t>
      </w:r>
    </w:p>
    <w:bookmarkEnd w:id="27"/>
    <w:bookmarkStart w:id="31" w:name="Xb07524784b18e548480ba9b26ee778c2e20ec9a"/>
    <w:p>
      <w:pPr>
        <w:pStyle w:val="Heading2"/>
      </w:pPr>
      <w:r>
        <w:t xml:space="preserve">S1.9 The four evaluations of Section 4.3, in full</w:t>
      </w:r>
    </w:p>
    <w:p>
      <w:pPr>
        <w:pStyle w:val="FirstParagraph"/>
      </w:pPr>
      <w:r>
        <w:t xml:space="preserve">Section 4.3 reports four evaluations of the same models (main-text Table 2). The values per scar,</w:t>
      </w:r>
      <w:r>
        <w:t xml:space="preserve"> </w:t>
      </w:r>
      <w:r>
        <w:t xml:space="preserve">the controls and the thermal gain per scar are given here.</w:t>
      </w:r>
    </w:p>
    <w:p>
      <w:pPr>
        <w:pStyle w:val="BodyText"/>
        <w:keepNext/>
      </w:pPr>
      <w:r>
        <w:rPr>
          <w:b/>
          <w:bCs/>
        </w:rPr>
        <w:t xml:space="preserve">Table S1. The four evaluations, per scar.</w:t>
      </w:r>
      <w:r>
        <w:t xml:space="preserve"> </w:t>
      </w:r>
      <w:r>
        <w:t xml:space="preserve">Natural-vegetation population, 5 km blocking,</w:t>
      </w:r>
      <w:r>
        <w:t xml:space="preserve"> </w:t>
      </w:r>
      <w:r>
        <w:t xml:space="preserve">2 km collar. Bejís and Manavgat have no row C, because each has only one burned area, and</w:t>
      </w:r>
      <w:r>
        <w:t xml:space="preserve"> </w:t>
      </w:r>
      <w:r>
        <w:t xml:space="preserve">withholding it leaves nothing to train on. Source</w:t>
      </w:r>
      <w:r>
        <w:t xml:space="preserve"> </w:t>
      </w:r>
      <w:r>
        <w:rPr>
          <w:rStyle w:val="VerbatimChar"/>
        </w:rPr>
        <w:t xml:space="preserve">paper/labelfix_rerun/code/matched_holdout.json</w:t>
      </w:r>
      <w:r>
        <w:t xml:space="preserve">.</w:t>
      </w:r>
    </w:p>
    <w:tbl>
      <w:tblPr>
        <w:tblStyle w:val="Table"/>
        <w:tblW w:type="auto" w:w="0"/>
        <w:tblLook w:firstRow="1" w:lastRow="0" w:firstColumn="0" w:lastColumn="0" w:noHBand="0" w:noVBand="0" w:val="0020"/>
      </w:tblPr>
      <w:tblGrid>
        <w:gridCol w:w="1546"/>
        <w:gridCol w:w="412"/>
        <w:gridCol w:w="515"/>
        <w:gridCol w:w="1546"/>
        <w:gridCol w:w="1443"/>
        <w:gridCol w:w="1134"/>
        <w:gridCol w:w="1546"/>
        <w:gridCol w:w="928"/>
      </w:tblGrid>
      <w:tr>
        <w:trPr>
          <w:tblHeader w:val="on"/>
          <w:cantSplit/>
        </w:trPr>
        <w:tc>
          <w:tcPr>
            <w:tcW w:type="dxa" w:w="1546"/>
          </w:tcPr>
          <w:p>
            <w:pPr>
              <w:pStyle w:val="Compact"/>
              <w:spacing w:line="240" w:lineRule="auto" w:after="20"/>
            </w:pPr>
            <w:r>
              <w:rPr>
                <w:sz w:val="20"/>
              </w:rPr>
              <w:t xml:space="preserve">Region</w:t>
            </w:r>
          </w:p>
        </w:tc>
        <w:tc>
          <w:tcPr>
            <w:tcW w:type="dxa" w:w="412"/>
          </w:tcPr>
          <w:p>
            <w:pPr>
              <w:pStyle w:val="Compact"/>
              <w:spacing w:line="240" w:lineRule="auto" w:after="20"/>
              <w:jc w:val="right"/>
            </w:pPr>
            <w:r>
              <w:rPr>
                <w:sz w:val="20"/>
              </w:rPr>
              <w:t xml:space="preserve">Scar</w:t>
            </w:r>
          </w:p>
        </w:tc>
        <w:tc>
          <w:tcPr>
            <w:tcW w:type="dxa" w:w="515"/>
          </w:tcPr>
          <w:p>
            <w:pPr>
              <w:pStyle w:val="Compact"/>
              <w:spacing w:line="240" w:lineRule="auto" w:after="20"/>
              <w:jc w:val="right"/>
            </w:pPr>
            <w:r>
              <w:rPr>
                <w:sz w:val="20"/>
              </w:rPr>
              <w:t xml:space="preserve">Cells</w:t>
            </w:r>
          </w:p>
        </w:tc>
        <w:tc>
          <w:tcPr>
            <w:tcW w:type="dxa" w:w="1546"/>
          </w:tcPr>
          <w:p>
            <w:pPr>
              <w:pStyle w:val="Compact"/>
              <w:spacing w:line="240" w:lineRule="auto" w:after="20"/>
              <w:jc w:val="right"/>
            </w:pPr>
            <w:r>
              <w:rPr>
                <w:sz w:val="20"/>
              </w:rPr>
              <w:t xml:space="preserve">Burned fraction</w:t>
            </w:r>
          </w:p>
        </w:tc>
        <w:tc>
          <w:tcPr>
            <w:tcW w:type="dxa" w:w="1443"/>
          </w:tcPr>
          <w:p>
            <w:pPr>
              <w:pStyle w:val="Compact"/>
              <w:spacing w:line="240" w:lineRule="auto" w:after="20"/>
              <w:jc w:val="right"/>
            </w:pPr>
            <w:r>
              <w:rPr>
                <w:sz w:val="20"/>
              </w:rPr>
              <w:t xml:space="preserve">A whole region</w:t>
            </w:r>
          </w:p>
        </w:tc>
        <w:tc>
          <w:tcPr>
            <w:tcW w:type="dxa" w:w="1134"/>
          </w:tcPr>
          <w:p>
            <w:pPr>
              <w:pStyle w:val="Compact"/>
              <w:spacing w:line="240" w:lineRule="auto" w:after="20"/>
              <w:jc w:val="right"/>
            </w:pPr>
            <w:r>
              <w:rPr>
                <w:sz w:val="20"/>
              </w:rPr>
              <w:t xml:space="preserve">B scar area</w:t>
            </w:r>
          </w:p>
        </w:tc>
        <w:tc>
          <w:tcPr>
            <w:tcW w:type="dxa" w:w="1546"/>
          </w:tcPr>
          <w:p>
            <w:pPr>
              <w:pStyle w:val="Compact"/>
              <w:spacing w:line="240" w:lineRule="auto" w:after="20"/>
              <w:jc w:val="right"/>
            </w:pPr>
            <w:r>
              <w:rPr>
                <w:sz w:val="20"/>
              </w:rPr>
              <w:t xml:space="preserve">C scar withheld</w:t>
            </w:r>
          </w:p>
        </w:tc>
        <w:tc>
          <w:tcPr>
            <w:tcW w:type="dxa" w:w="928"/>
          </w:tcPr>
          <w:p>
            <w:pPr>
              <w:pStyle w:val="Compact"/>
              <w:spacing w:line="240" w:lineRule="auto" w:after="20"/>
              <w:jc w:val="right"/>
            </w:pPr>
            <w:r>
              <w:rPr>
                <w:sz w:val="20"/>
              </w:rPr>
              <w:t xml:space="preserve">D foreign</w:t>
            </w:r>
          </w:p>
        </w:tc>
      </w:tr>
      <w:tr>
        <w:trPr>
          <w:cantSplit/>
        </w:trPr>
        <w:tc>
          <w:tcPr>
            <w:tcW w:type="dxa" w:w="1546"/>
          </w:tcPr>
          <w:p>
            <w:pPr>
              <w:pStyle w:val="Compact"/>
              <w:spacing w:line="240" w:lineRule="auto" w:after="20"/>
            </w:pPr>
            <w:r>
              <w:rPr>
                <w:sz w:val="20"/>
              </w:rPr>
              <w:t xml:space="preserve">Manavgat 2021</w:t>
            </w:r>
          </w:p>
        </w:tc>
        <w:tc>
          <w:tcPr>
            <w:tcW w:type="dxa" w:w="412"/>
          </w:tcPr>
          <w:p>
            <w:pPr>
              <w:pStyle w:val="Compact"/>
              <w:spacing w:line="240" w:lineRule="auto" w:after="20"/>
              <w:jc w:val="right"/>
            </w:pPr>
            <w:r>
              <w:rPr>
                <w:sz w:val="20"/>
              </w:rPr>
              <w:t xml:space="preserve">1</w:t>
            </w:r>
          </w:p>
        </w:tc>
        <w:tc>
          <w:tcPr>
            <w:tcW w:type="dxa" w:w="515"/>
          </w:tcPr>
          <w:p>
            <w:pPr>
              <w:pStyle w:val="Compact"/>
              <w:spacing w:line="240" w:lineRule="auto" w:after="20"/>
              <w:jc w:val="right"/>
            </w:pPr>
            <w:r>
              <w:rPr>
                <w:sz w:val="20"/>
              </w:rPr>
              <w:t xml:space="preserve">3,965</w:t>
            </w:r>
          </w:p>
        </w:tc>
        <w:tc>
          <w:tcPr>
            <w:tcW w:type="dxa" w:w="1546"/>
          </w:tcPr>
          <w:p>
            <w:pPr>
              <w:pStyle w:val="Compact"/>
              <w:spacing w:line="240" w:lineRule="auto" w:after="20"/>
              <w:jc w:val="right"/>
            </w:pPr>
            <w:r>
              <w:rPr>
                <w:sz w:val="20"/>
              </w:rPr>
              <w:t xml:space="preserve">0.74</w:t>
            </w:r>
          </w:p>
        </w:tc>
        <w:tc>
          <w:tcPr>
            <w:tcW w:type="dxa" w:w="1443"/>
          </w:tcPr>
          <w:p>
            <w:pPr>
              <w:pStyle w:val="Compact"/>
              <w:spacing w:line="240" w:lineRule="auto" w:after="20"/>
              <w:jc w:val="right"/>
            </w:pPr>
            <w:r>
              <w:rPr>
                <w:sz w:val="20"/>
              </w:rPr>
              <w:t xml:space="preserve">0.882</w:t>
            </w:r>
          </w:p>
        </w:tc>
        <w:tc>
          <w:tcPr>
            <w:tcW w:type="dxa" w:w="1134"/>
          </w:tcPr>
          <w:p>
            <w:pPr>
              <w:pStyle w:val="Compact"/>
              <w:spacing w:line="240" w:lineRule="auto" w:after="20"/>
              <w:jc w:val="right"/>
            </w:pPr>
            <w:r>
              <w:rPr>
                <w:sz w:val="20"/>
              </w:rPr>
              <w:t xml:space="preserve">0.743</w:t>
            </w:r>
          </w:p>
        </w:tc>
        <w:tc>
          <w:tcPr>
            <w:tcW w:type="dxa" w:w="1546"/>
          </w:tcPr>
          <w:p>
            <w:pPr>
              <w:pStyle w:val="Compact"/>
              <w:spacing w:line="240" w:lineRule="auto" w:after="20"/>
              <w:jc w:val="right"/>
            </w:pPr>
            <w:r>
              <w:rPr>
                <w:sz w:val="20"/>
              </w:rPr>
              <w:t xml:space="preserve">n/a</w:t>
            </w:r>
          </w:p>
        </w:tc>
        <w:tc>
          <w:tcPr>
            <w:tcW w:type="dxa" w:w="928"/>
          </w:tcPr>
          <w:p>
            <w:pPr>
              <w:pStyle w:val="Compact"/>
              <w:spacing w:line="240" w:lineRule="auto" w:after="20"/>
              <w:jc w:val="right"/>
            </w:pPr>
            <w:r>
              <w:rPr>
                <w:sz w:val="20"/>
              </w:rPr>
              <w:t xml:space="preserve">0.542</w:t>
            </w:r>
          </w:p>
        </w:tc>
      </w:tr>
      <w:tr>
        <w:trPr>
          <w:cantSplit/>
        </w:trPr>
        <w:tc>
          <w:tcPr>
            <w:tcW w:type="dxa" w:w="1546"/>
          </w:tcPr>
          <w:p>
            <w:pPr>
              <w:pStyle w:val="Compact"/>
              <w:spacing w:line="240" w:lineRule="auto" w:after="20"/>
            </w:pPr>
            <w:r>
              <w:rPr>
                <w:sz w:val="20"/>
              </w:rPr>
              <w:t xml:space="preserve">Bejís 2022</w:t>
            </w:r>
          </w:p>
        </w:tc>
        <w:tc>
          <w:tcPr>
            <w:tcW w:type="dxa" w:w="412"/>
          </w:tcPr>
          <w:p>
            <w:pPr>
              <w:pStyle w:val="Compact"/>
              <w:spacing w:line="240" w:lineRule="auto" w:after="20"/>
              <w:jc w:val="right"/>
            </w:pPr>
            <w:r>
              <w:rPr>
                <w:sz w:val="20"/>
              </w:rPr>
              <w:t xml:space="preserve">1</w:t>
            </w:r>
          </w:p>
        </w:tc>
        <w:tc>
          <w:tcPr>
            <w:tcW w:type="dxa" w:w="515"/>
          </w:tcPr>
          <w:p>
            <w:pPr>
              <w:pStyle w:val="Compact"/>
              <w:spacing w:line="240" w:lineRule="auto" w:after="20"/>
              <w:jc w:val="right"/>
            </w:pPr>
            <w:r>
              <w:rPr>
                <w:sz w:val="20"/>
              </w:rPr>
              <w:t xml:space="preserve">1,657</w:t>
            </w:r>
          </w:p>
        </w:tc>
        <w:tc>
          <w:tcPr>
            <w:tcW w:type="dxa" w:w="1546"/>
          </w:tcPr>
          <w:p>
            <w:pPr>
              <w:pStyle w:val="Compact"/>
              <w:spacing w:line="240" w:lineRule="auto" w:after="20"/>
              <w:jc w:val="right"/>
            </w:pPr>
            <w:r>
              <w:rPr>
                <w:sz w:val="20"/>
              </w:rPr>
              <w:t xml:space="preserve">0.66</w:t>
            </w:r>
          </w:p>
        </w:tc>
        <w:tc>
          <w:tcPr>
            <w:tcW w:type="dxa" w:w="1443"/>
          </w:tcPr>
          <w:p>
            <w:pPr>
              <w:pStyle w:val="Compact"/>
              <w:spacing w:line="240" w:lineRule="auto" w:after="20"/>
              <w:jc w:val="right"/>
            </w:pPr>
            <w:r>
              <w:rPr>
                <w:sz w:val="20"/>
              </w:rPr>
              <w:t xml:space="preserve">0.824</w:t>
            </w:r>
          </w:p>
        </w:tc>
        <w:tc>
          <w:tcPr>
            <w:tcW w:type="dxa" w:w="1134"/>
          </w:tcPr>
          <w:p>
            <w:pPr>
              <w:pStyle w:val="Compact"/>
              <w:spacing w:line="240" w:lineRule="auto" w:after="20"/>
              <w:jc w:val="right"/>
            </w:pPr>
            <w:r>
              <w:rPr>
                <w:sz w:val="20"/>
              </w:rPr>
              <w:t xml:space="preserve">0.575</w:t>
            </w:r>
          </w:p>
        </w:tc>
        <w:tc>
          <w:tcPr>
            <w:tcW w:type="dxa" w:w="1546"/>
          </w:tcPr>
          <w:p>
            <w:pPr>
              <w:pStyle w:val="Compact"/>
              <w:spacing w:line="240" w:lineRule="auto" w:after="20"/>
              <w:jc w:val="right"/>
            </w:pPr>
            <w:r>
              <w:rPr>
                <w:sz w:val="20"/>
              </w:rPr>
              <w:t xml:space="preserve">n/a</w:t>
            </w:r>
          </w:p>
        </w:tc>
        <w:tc>
          <w:tcPr>
            <w:tcW w:type="dxa" w:w="928"/>
          </w:tcPr>
          <w:p>
            <w:pPr>
              <w:pStyle w:val="Compact"/>
              <w:spacing w:line="240" w:lineRule="auto" w:after="20"/>
              <w:jc w:val="right"/>
            </w:pPr>
            <w:r>
              <w:rPr>
                <w:sz w:val="20"/>
              </w:rPr>
              <w:t xml:space="preserve">0.589</w:t>
            </w:r>
          </w:p>
        </w:tc>
      </w:tr>
      <w:tr>
        <w:trPr>
          <w:cantSplit/>
        </w:trPr>
        <w:tc>
          <w:tcPr>
            <w:tcW w:type="dxa" w:w="1546"/>
          </w:tcPr>
          <w:p>
            <w:pPr>
              <w:pStyle w:val="Compact"/>
              <w:spacing w:line="240" w:lineRule="auto" w:after="20"/>
            </w:pPr>
            <w:r>
              <w:rPr>
                <w:sz w:val="20"/>
              </w:rPr>
              <w:t xml:space="preserve">Muğla 2021</w:t>
            </w:r>
          </w:p>
        </w:tc>
        <w:tc>
          <w:tcPr>
            <w:tcW w:type="dxa" w:w="412"/>
          </w:tcPr>
          <w:p>
            <w:pPr>
              <w:pStyle w:val="Compact"/>
              <w:spacing w:line="240" w:lineRule="auto" w:after="20"/>
              <w:jc w:val="right"/>
            </w:pPr>
            <w:r>
              <w:rPr>
                <w:sz w:val="20"/>
              </w:rPr>
              <w:t xml:space="preserve">6</w:t>
            </w:r>
          </w:p>
        </w:tc>
        <w:tc>
          <w:tcPr>
            <w:tcW w:type="dxa" w:w="515"/>
          </w:tcPr>
          <w:p>
            <w:pPr>
              <w:pStyle w:val="Compact"/>
              <w:spacing w:line="240" w:lineRule="auto" w:after="20"/>
              <w:jc w:val="right"/>
            </w:pPr>
            <w:r>
              <w:rPr>
                <w:sz w:val="20"/>
              </w:rPr>
              <w:t xml:space="preserve">1,266</w:t>
            </w:r>
          </w:p>
        </w:tc>
        <w:tc>
          <w:tcPr>
            <w:tcW w:type="dxa" w:w="1546"/>
          </w:tcPr>
          <w:p>
            <w:pPr>
              <w:pStyle w:val="Compact"/>
              <w:spacing w:line="240" w:lineRule="auto" w:after="20"/>
              <w:jc w:val="right"/>
            </w:pPr>
            <w:r>
              <w:rPr>
                <w:sz w:val="20"/>
              </w:rPr>
              <w:t xml:space="preserve">0.72</w:t>
            </w:r>
          </w:p>
        </w:tc>
        <w:tc>
          <w:tcPr>
            <w:tcW w:type="dxa" w:w="1443"/>
          </w:tcPr>
          <w:p>
            <w:pPr>
              <w:pStyle w:val="Compact"/>
              <w:spacing w:line="240" w:lineRule="auto" w:after="20"/>
              <w:jc w:val="right"/>
            </w:pPr>
            <w:r>
              <w:rPr>
                <w:sz w:val="20"/>
              </w:rPr>
              <w:t xml:space="preserve">0.777</w:t>
            </w:r>
          </w:p>
        </w:tc>
        <w:tc>
          <w:tcPr>
            <w:tcW w:type="dxa" w:w="1134"/>
          </w:tcPr>
          <w:p>
            <w:pPr>
              <w:pStyle w:val="Compact"/>
              <w:spacing w:line="240" w:lineRule="auto" w:after="20"/>
              <w:jc w:val="right"/>
            </w:pPr>
            <w:r>
              <w:rPr>
                <w:sz w:val="20"/>
              </w:rPr>
              <w:t xml:space="preserve">0.564</w:t>
            </w:r>
          </w:p>
        </w:tc>
        <w:tc>
          <w:tcPr>
            <w:tcW w:type="dxa" w:w="1546"/>
          </w:tcPr>
          <w:p>
            <w:pPr>
              <w:pStyle w:val="Compact"/>
              <w:spacing w:line="240" w:lineRule="auto" w:after="20"/>
              <w:jc w:val="right"/>
            </w:pPr>
            <w:r>
              <w:rPr>
                <w:sz w:val="20"/>
              </w:rPr>
              <w:t xml:space="preserve">0.595</w:t>
            </w:r>
          </w:p>
        </w:tc>
        <w:tc>
          <w:tcPr>
            <w:tcW w:type="dxa" w:w="928"/>
          </w:tcPr>
          <w:p>
            <w:pPr>
              <w:pStyle w:val="Compact"/>
              <w:spacing w:line="240" w:lineRule="auto" w:after="20"/>
              <w:jc w:val="right"/>
            </w:pPr>
            <w:r>
              <w:rPr>
                <w:sz w:val="20"/>
              </w:rPr>
              <w:t xml:space="preserve">0.571</w:t>
            </w:r>
          </w:p>
        </w:tc>
      </w:tr>
      <w:tr>
        <w:trPr>
          <w:cantSplit/>
        </w:trPr>
        <w:tc>
          <w:tcPr>
            <w:tcW w:type="dxa" w:w="1546"/>
          </w:tcPr>
          <w:p>
            <w:pPr>
              <w:pStyle w:val="Compact"/>
              <w:spacing w:line="240" w:lineRule="auto" w:after="20"/>
            </w:pPr>
            <w:r>
              <w:rPr>
                <w:sz w:val="20"/>
              </w:rPr>
              <w:t xml:space="preserve">Muğla 2021</w:t>
            </w:r>
          </w:p>
        </w:tc>
        <w:tc>
          <w:tcPr>
            <w:tcW w:type="dxa" w:w="412"/>
          </w:tcPr>
          <w:p>
            <w:pPr>
              <w:pStyle w:val="Compact"/>
              <w:spacing w:line="240" w:lineRule="auto" w:after="20"/>
              <w:jc w:val="right"/>
            </w:pPr>
            <w:r>
              <w:rPr>
                <w:sz w:val="20"/>
              </w:rPr>
              <w:t xml:space="preserve">1</w:t>
            </w:r>
          </w:p>
        </w:tc>
        <w:tc>
          <w:tcPr>
            <w:tcW w:type="dxa" w:w="515"/>
          </w:tcPr>
          <w:p>
            <w:pPr>
              <w:pStyle w:val="Compact"/>
              <w:spacing w:line="240" w:lineRule="auto" w:after="20"/>
              <w:jc w:val="right"/>
            </w:pPr>
            <w:r>
              <w:rPr>
                <w:sz w:val="20"/>
              </w:rPr>
              <w:t xml:space="preserve">1,244</w:t>
            </w:r>
          </w:p>
        </w:tc>
        <w:tc>
          <w:tcPr>
            <w:tcW w:type="dxa" w:w="1546"/>
          </w:tcPr>
          <w:p>
            <w:pPr>
              <w:pStyle w:val="Compact"/>
              <w:spacing w:line="240" w:lineRule="auto" w:after="20"/>
              <w:jc w:val="right"/>
            </w:pPr>
            <w:r>
              <w:rPr>
                <w:sz w:val="20"/>
              </w:rPr>
              <w:t xml:space="preserve">0.59</w:t>
            </w:r>
          </w:p>
        </w:tc>
        <w:tc>
          <w:tcPr>
            <w:tcW w:type="dxa" w:w="1443"/>
          </w:tcPr>
          <w:p>
            <w:pPr>
              <w:pStyle w:val="Compact"/>
              <w:spacing w:line="240" w:lineRule="auto" w:after="20"/>
              <w:jc w:val="right"/>
            </w:pPr>
            <w:r>
              <w:rPr>
                <w:sz w:val="20"/>
              </w:rPr>
              <w:t xml:space="preserve">0.777</w:t>
            </w:r>
          </w:p>
        </w:tc>
        <w:tc>
          <w:tcPr>
            <w:tcW w:type="dxa" w:w="1134"/>
          </w:tcPr>
          <w:p>
            <w:pPr>
              <w:pStyle w:val="Compact"/>
              <w:spacing w:line="240" w:lineRule="auto" w:after="20"/>
              <w:jc w:val="right"/>
            </w:pPr>
            <w:r>
              <w:rPr>
                <w:sz w:val="20"/>
              </w:rPr>
              <w:t xml:space="preserve">0.654</w:t>
            </w:r>
          </w:p>
        </w:tc>
        <w:tc>
          <w:tcPr>
            <w:tcW w:type="dxa" w:w="1546"/>
          </w:tcPr>
          <w:p>
            <w:pPr>
              <w:pStyle w:val="Compact"/>
              <w:spacing w:line="240" w:lineRule="auto" w:after="20"/>
              <w:jc w:val="right"/>
            </w:pPr>
            <w:r>
              <w:rPr>
                <w:sz w:val="20"/>
              </w:rPr>
              <w:t xml:space="preserve">0.561</w:t>
            </w:r>
          </w:p>
        </w:tc>
        <w:tc>
          <w:tcPr>
            <w:tcW w:type="dxa" w:w="928"/>
          </w:tcPr>
          <w:p>
            <w:pPr>
              <w:pStyle w:val="Compact"/>
              <w:spacing w:line="240" w:lineRule="auto" w:after="20"/>
              <w:jc w:val="right"/>
            </w:pPr>
            <w:r>
              <w:rPr>
                <w:sz w:val="20"/>
              </w:rPr>
              <w:t xml:space="preserve">0.514</w:t>
            </w:r>
          </w:p>
        </w:tc>
      </w:tr>
      <w:tr>
        <w:trPr>
          <w:cantSplit/>
        </w:trPr>
        <w:tc>
          <w:tcPr>
            <w:tcW w:type="dxa" w:w="1546"/>
          </w:tcPr>
          <w:p>
            <w:pPr>
              <w:pStyle w:val="Compact"/>
              <w:spacing w:line="240" w:lineRule="auto" w:after="20"/>
            </w:pPr>
            <w:r>
              <w:rPr>
                <w:sz w:val="20"/>
              </w:rPr>
              <w:t xml:space="preserve">Muğla 2021</w:t>
            </w:r>
          </w:p>
        </w:tc>
        <w:tc>
          <w:tcPr>
            <w:tcW w:type="dxa" w:w="412"/>
          </w:tcPr>
          <w:p>
            <w:pPr>
              <w:pStyle w:val="Compact"/>
              <w:spacing w:line="240" w:lineRule="auto" w:after="20"/>
              <w:jc w:val="right"/>
            </w:pPr>
            <w:r>
              <w:rPr>
                <w:sz w:val="20"/>
              </w:rPr>
              <w:t xml:space="preserve">10</w:t>
            </w:r>
          </w:p>
        </w:tc>
        <w:tc>
          <w:tcPr>
            <w:tcW w:type="dxa" w:w="515"/>
          </w:tcPr>
          <w:p>
            <w:pPr>
              <w:pStyle w:val="Compact"/>
              <w:spacing w:line="240" w:lineRule="auto" w:after="20"/>
              <w:jc w:val="right"/>
            </w:pPr>
            <w:r>
              <w:rPr>
                <w:sz w:val="20"/>
              </w:rPr>
              <w:t xml:space="preserve">940</w:t>
            </w:r>
          </w:p>
        </w:tc>
        <w:tc>
          <w:tcPr>
            <w:tcW w:type="dxa" w:w="1546"/>
          </w:tcPr>
          <w:p>
            <w:pPr>
              <w:pStyle w:val="Compact"/>
              <w:spacing w:line="240" w:lineRule="auto" w:after="20"/>
              <w:jc w:val="right"/>
            </w:pPr>
            <w:r>
              <w:rPr>
                <w:sz w:val="20"/>
              </w:rPr>
              <w:t xml:space="preserve">0.68</w:t>
            </w:r>
          </w:p>
        </w:tc>
        <w:tc>
          <w:tcPr>
            <w:tcW w:type="dxa" w:w="1443"/>
          </w:tcPr>
          <w:p>
            <w:pPr>
              <w:pStyle w:val="Compact"/>
              <w:spacing w:line="240" w:lineRule="auto" w:after="20"/>
              <w:jc w:val="right"/>
            </w:pPr>
            <w:r>
              <w:rPr>
                <w:sz w:val="20"/>
              </w:rPr>
              <w:t xml:space="preserve">0.777</w:t>
            </w:r>
          </w:p>
        </w:tc>
        <w:tc>
          <w:tcPr>
            <w:tcW w:type="dxa" w:w="1134"/>
          </w:tcPr>
          <w:p>
            <w:pPr>
              <w:pStyle w:val="Compact"/>
              <w:spacing w:line="240" w:lineRule="auto" w:after="20"/>
              <w:jc w:val="right"/>
            </w:pPr>
            <w:r>
              <w:rPr>
                <w:sz w:val="20"/>
              </w:rPr>
              <w:t xml:space="preserve">0.674</w:t>
            </w:r>
          </w:p>
        </w:tc>
        <w:tc>
          <w:tcPr>
            <w:tcW w:type="dxa" w:w="1546"/>
          </w:tcPr>
          <w:p>
            <w:pPr>
              <w:pStyle w:val="Compact"/>
              <w:spacing w:line="240" w:lineRule="auto" w:after="20"/>
              <w:jc w:val="right"/>
            </w:pPr>
            <w:r>
              <w:rPr>
                <w:sz w:val="20"/>
              </w:rPr>
              <w:t xml:space="preserve">0.617</w:t>
            </w:r>
          </w:p>
        </w:tc>
        <w:tc>
          <w:tcPr>
            <w:tcW w:type="dxa" w:w="928"/>
          </w:tcPr>
          <w:p>
            <w:pPr>
              <w:pStyle w:val="Compact"/>
              <w:spacing w:line="240" w:lineRule="auto" w:after="20"/>
              <w:jc w:val="right"/>
            </w:pPr>
            <w:r>
              <w:rPr>
                <w:sz w:val="20"/>
              </w:rPr>
              <w:t xml:space="preserve">0.634</w:t>
            </w:r>
          </w:p>
        </w:tc>
      </w:tr>
      <w:tr>
        <w:trPr>
          <w:cantSplit/>
        </w:trPr>
        <w:tc>
          <w:tcPr>
            <w:tcW w:type="dxa" w:w="1546"/>
          </w:tcPr>
          <w:p>
            <w:pPr>
              <w:pStyle w:val="Compact"/>
              <w:spacing w:line="240" w:lineRule="auto" w:after="20"/>
            </w:pPr>
            <w:r>
              <w:rPr>
                <w:sz w:val="20"/>
              </w:rPr>
              <w:t xml:space="preserve">Muğla 2021</w:t>
            </w:r>
          </w:p>
        </w:tc>
        <w:tc>
          <w:tcPr>
            <w:tcW w:type="dxa" w:w="412"/>
          </w:tcPr>
          <w:p>
            <w:pPr>
              <w:pStyle w:val="Compact"/>
              <w:spacing w:line="240" w:lineRule="auto" w:after="20"/>
              <w:jc w:val="right"/>
            </w:pPr>
            <w:r>
              <w:rPr>
                <w:sz w:val="20"/>
              </w:rPr>
              <w:t xml:space="preserve">8</w:t>
            </w:r>
          </w:p>
        </w:tc>
        <w:tc>
          <w:tcPr>
            <w:tcW w:type="dxa" w:w="515"/>
          </w:tcPr>
          <w:p>
            <w:pPr>
              <w:pStyle w:val="Compact"/>
              <w:spacing w:line="240" w:lineRule="auto" w:after="20"/>
              <w:jc w:val="right"/>
            </w:pPr>
            <w:r>
              <w:rPr>
                <w:sz w:val="20"/>
              </w:rPr>
              <w:t xml:space="preserve">954</w:t>
            </w:r>
          </w:p>
        </w:tc>
        <w:tc>
          <w:tcPr>
            <w:tcW w:type="dxa" w:w="1546"/>
          </w:tcPr>
          <w:p>
            <w:pPr>
              <w:pStyle w:val="Compact"/>
              <w:spacing w:line="240" w:lineRule="auto" w:after="20"/>
              <w:jc w:val="right"/>
            </w:pPr>
            <w:r>
              <w:rPr>
                <w:sz w:val="20"/>
              </w:rPr>
              <w:t xml:space="preserve">0.57</w:t>
            </w:r>
          </w:p>
        </w:tc>
        <w:tc>
          <w:tcPr>
            <w:tcW w:type="dxa" w:w="1443"/>
          </w:tcPr>
          <w:p>
            <w:pPr>
              <w:pStyle w:val="Compact"/>
              <w:spacing w:line="240" w:lineRule="auto" w:after="20"/>
              <w:jc w:val="right"/>
            </w:pPr>
            <w:r>
              <w:rPr>
                <w:sz w:val="20"/>
              </w:rPr>
              <w:t xml:space="preserve">0.777</w:t>
            </w:r>
          </w:p>
        </w:tc>
        <w:tc>
          <w:tcPr>
            <w:tcW w:type="dxa" w:w="1134"/>
          </w:tcPr>
          <w:p>
            <w:pPr>
              <w:pStyle w:val="Compact"/>
              <w:spacing w:line="240" w:lineRule="auto" w:after="20"/>
              <w:jc w:val="right"/>
            </w:pPr>
            <w:r>
              <w:rPr>
                <w:sz w:val="20"/>
              </w:rPr>
              <w:t xml:space="preserve">0.761</w:t>
            </w:r>
          </w:p>
        </w:tc>
        <w:tc>
          <w:tcPr>
            <w:tcW w:type="dxa" w:w="1546"/>
          </w:tcPr>
          <w:p>
            <w:pPr>
              <w:pStyle w:val="Compact"/>
              <w:spacing w:line="240" w:lineRule="auto" w:after="20"/>
              <w:jc w:val="right"/>
            </w:pPr>
            <w:r>
              <w:rPr>
                <w:sz w:val="20"/>
              </w:rPr>
              <w:t xml:space="preserve">0.542</w:t>
            </w:r>
          </w:p>
        </w:tc>
        <w:tc>
          <w:tcPr>
            <w:tcW w:type="dxa" w:w="928"/>
          </w:tcPr>
          <w:p>
            <w:pPr>
              <w:pStyle w:val="Compact"/>
              <w:spacing w:line="240" w:lineRule="auto" w:after="20"/>
              <w:jc w:val="right"/>
            </w:pPr>
            <w:r>
              <w:rPr>
                <w:sz w:val="20"/>
              </w:rPr>
              <w:t xml:space="preserve">0.623</w:t>
            </w:r>
          </w:p>
        </w:tc>
      </w:tr>
      <w:tr>
        <w:trPr>
          <w:cantSplit/>
        </w:trPr>
        <w:tc>
          <w:tcPr>
            <w:tcW w:type="dxa" w:w="1546"/>
          </w:tcPr>
          <w:p>
            <w:pPr>
              <w:pStyle w:val="Compact"/>
              <w:spacing w:line="240" w:lineRule="auto" w:after="20"/>
            </w:pPr>
            <w:r>
              <w:rPr>
                <w:sz w:val="20"/>
              </w:rPr>
              <w:t xml:space="preserve">North Evia 2021</w:t>
            </w:r>
          </w:p>
        </w:tc>
        <w:tc>
          <w:tcPr>
            <w:tcW w:type="dxa" w:w="412"/>
          </w:tcPr>
          <w:p>
            <w:pPr>
              <w:pStyle w:val="Compact"/>
              <w:spacing w:line="240" w:lineRule="auto" w:after="20"/>
              <w:jc w:val="right"/>
            </w:pPr>
            <w:r>
              <w:rPr>
                <w:sz w:val="20"/>
              </w:rPr>
              <w:t xml:space="preserve">1</w:t>
            </w:r>
          </w:p>
        </w:tc>
        <w:tc>
          <w:tcPr>
            <w:tcW w:type="dxa" w:w="515"/>
          </w:tcPr>
          <w:p>
            <w:pPr>
              <w:pStyle w:val="Compact"/>
              <w:spacing w:line="240" w:lineRule="auto" w:after="20"/>
              <w:jc w:val="right"/>
            </w:pPr>
            <w:r>
              <w:rPr>
                <w:sz w:val="20"/>
              </w:rPr>
              <w:t xml:space="preserve">3,059</w:t>
            </w:r>
          </w:p>
        </w:tc>
        <w:tc>
          <w:tcPr>
            <w:tcW w:type="dxa" w:w="1546"/>
          </w:tcPr>
          <w:p>
            <w:pPr>
              <w:pStyle w:val="Compact"/>
              <w:spacing w:line="240" w:lineRule="auto" w:after="20"/>
              <w:jc w:val="right"/>
            </w:pPr>
            <w:r>
              <w:rPr>
                <w:sz w:val="20"/>
              </w:rPr>
              <w:t xml:space="preserve">0.87</w:t>
            </w:r>
          </w:p>
        </w:tc>
        <w:tc>
          <w:tcPr>
            <w:tcW w:type="dxa" w:w="1443"/>
          </w:tcPr>
          <w:p>
            <w:pPr>
              <w:pStyle w:val="Compact"/>
              <w:spacing w:line="240" w:lineRule="auto" w:after="20"/>
              <w:jc w:val="right"/>
            </w:pPr>
            <w:r>
              <w:rPr>
                <w:sz w:val="20"/>
              </w:rPr>
              <w:t xml:space="preserve">0.864</w:t>
            </w:r>
          </w:p>
        </w:tc>
        <w:tc>
          <w:tcPr>
            <w:tcW w:type="dxa" w:w="1134"/>
          </w:tcPr>
          <w:p>
            <w:pPr>
              <w:pStyle w:val="Compact"/>
              <w:spacing w:line="240" w:lineRule="auto" w:after="20"/>
              <w:jc w:val="right"/>
            </w:pPr>
            <w:r>
              <w:rPr>
                <w:sz w:val="20"/>
              </w:rPr>
              <w:t xml:space="preserve">0.745</w:t>
            </w:r>
          </w:p>
        </w:tc>
        <w:tc>
          <w:tcPr>
            <w:tcW w:type="dxa" w:w="1546"/>
          </w:tcPr>
          <w:p>
            <w:pPr>
              <w:pStyle w:val="Compact"/>
              <w:spacing w:line="240" w:lineRule="auto" w:after="20"/>
              <w:jc w:val="right"/>
            </w:pPr>
            <w:r>
              <w:rPr>
                <w:sz w:val="20"/>
              </w:rPr>
              <w:t xml:space="preserve">0.465</w:t>
            </w:r>
          </w:p>
        </w:tc>
        <w:tc>
          <w:tcPr>
            <w:tcW w:type="dxa" w:w="928"/>
          </w:tcPr>
          <w:p>
            <w:pPr>
              <w:pStyle w:val="Compact"/>
              <w:spacing w:line="240" w:lineRule="auto" w:after="20"/>
              <w:jc w:val="right"/>
            </w:pPr>
            <w:r>
              <w:rPr>
                <w:sz w:val="20"/>
              </w:rPr>
              <w:t xml:space="preserve">0.564</w:t>
            </w:r>
          </w:p>
        </w:tc>
      </w:tr>
      <w:tr>
        <w:trPr>
          <w:cantSplit/>
        </w:trPr>
        <w:tc>
          <w:tcPr>
            <w:tcW w:type="dxa" w:w="1546"/>
          </w:tcPr>
          <w:p>
            <w:pPr>
              <w:pStyle w:val="Compact"/>
              <w:spacing w:line="240" w:lineRule="auto" w:after="20"/>
            </w:pPr>
            <w:r>
              <w:rPr>
                <w:sz w:val="20"/>
              </w:rPr>
              <w:t xml:space="preserve">Montiferru 2021</w:t>
            </w:r>
          </w:p>
        </w:tc>
        <w:tc>
          <w:tcPr>
            <w:tcW w:type="dxa" w:w="412"/>
          </w:tcPr>
          <w:p>
            <w:pPr>
              <w:pStyle w:val="Compact"/>
              <w:spacing w:line="240" w:lineRule="auto" w:after="20"/>
              <w:jc w:val="right"/>
            </w:pPr>
            <w:r>
              <w:rPr>
                <w:sz w:val="20"/>
              </w:rPr>
              <w:t xml:space="preserve">1</w:t>
            </w:r>
          </w:p>
        </w:tc>
        <w:tc>
          <w:tcPr>
            <w:tcW w:type="dxa" w:w="515"/>
          </w:tcPr>
          <w:p>
            <w:pPr>
              <w:pStyle w:val="Compact"/>
              <w:spacing w:line="240" w:lineRule="auto" w:after="20"/>
              <w:jc w:val="right"/>
            </w:pPr>
            <w:r>
              <w:rPr>
                <w:sz w:val="20"/>
              </w:rPr>
              <w:t xml:space="preserve">758</w:t>
            </w:r>
          </w:p>
        </w:tc>
        <w:tc>
          <w:tcPr>
            <w:tcW w:type="dxa" w:w="1546"/>
          </w:tcPr>
          <w:p>
            <w:pPr>
              <w:pStyle w:val="Compact"/>
              <w:spacing w:line="240" w:lineRule="auto" w:after="20"/>
              <w:jc w:val="right"/>
            </w:pPr>
            <w:r>
              <w:rPr>
                <w:sz w:val="20"/>
              </w:rPr>
              <w:t xml:space="preserve">0.58</w:t>
            </w:r>
          </w:p>
        </w:tc>
        <w:tc>
          <w:tcPr>
            <w:tcW w:type="dxa" w:w="1443"/>
          </w:tcPr>
          <w:p>
            <w:pPr>
              <w:pStyle w:val="Compact"/>
              <w:spacing w:line="240" w:lineRule="auto" w:after="20"/>
              <w:jc w:val="right"/>
            </w:pPr>
            <w:r>
              <w:rPr>
                <w:sz w:val="20"/>
              </w:rPr>
              <w:t xml:space="preserve">0.720</w:t>
            </w:r>
          </w:p>
        </w:tc>
        <w:tc>
          <w:tcPr>
            <w:tcW w:type="dxa" w:w="1134"/>
          </w:tcPr>
          <w:p>
            <w:pPr>
              <w:pStyle w:val="Compact"/>
              <w:spacing w:line="240" w:lineRule="auto" w:after="20"/>
              <w:jc w:val="right"/>
            </w:pPr>
            <w:r>
              <w:rPr>
                <w:sz w:val="20"/>
              </w:rPr>
              <w:t xml:space="preserve">0.622</w:t>
            </w:r>
          </w:p>
        </w:tc>
        <w:tc>
          <w:tcPr>
            <w:tcW w:type="dxa" w:w="1546"/>
          </w:tcPr>
          <w:p>
            <w:pPr>
              <w:pStyle w:val="Compact"/>
              <w:spacing w:line="240" w:lineRule="auto" w:after="20"/>
              <w:jc w:val="right"/>
            </w:pPr>
            <w:r>
              <w:rPr>
                <w:sz w:val="20"/>
              </w:rPr>
              <w:t xml:space="preserve">0.584</w:t>
            </w:r>
          </w:p>
        </w:tc>
        <w:tc>
          <w:tcPr>
            <w:tcW w:type="dxa" w:w="928"/>
          </w:tcPr>
          <w:p>
            <w:pPr>
              <w:pStyle w:val="Compact"/>
              <w:spacing w:line="240" w:lineRule="auto" w:after="20"/>
              <w:jc w:val="right"/>
            </w:pPr>
            <w:r>
              <w:rPr>
                <w:sz w:val="20"/>
              </w:rPr>
              <w:t xml:space="preserve">0.489</w:t>
            </w:r>
          </w:p>
        </w:tc>
      </w:tr>
      <w:tr>
        <w:trPr>
          <w:cantSplit/>
        </w:trPr>
        <w:tc>
          <w:tcPr>
            <w:tcW w:type="dxa" w:w="1546"/>
          </w:tcPr>
          <w:p>
            <w:pPr>
              <w:pStyle w:val="Compact"/>
              <w:spacing w:line="240" w:lineRule="auto" w:after="20"/>
            </w:pPr>
            <w:r>
              <w:rPr>
                <w:sz w:val="20"/>
              </w:rPr>
              <w:t xml:space="preserve">Montiferru 2021</w:t>
            </w:r>
          </w:p>
        </w:tc>
        <w:tc>
          <w:tcPr>
            <w:tcW w:type="dxa" w:w="412"/>
          </w:tcPr>
          <w:p>
            <w:pPr>
              <w:pStyle w:val="Compact"/>
              <w:spacing w:line="240" w:lineRule="auto" w:after="20"/>
              <w:jc w:val="right"/>
            </w:pPr>
            <w:r>
              <w:rPr>
                <w:sz w:val="20"/>
              </w:rPr>
              <w:t xml:space="preserve">5</w:t>
            </w:r>
          </w:p>
        </w:tc>
        <w:tc>
          <w:tcPr>
            <w:tcW w:type="dxa" w:w="515"/>
          </w:tcPr>
          <w:p>
            <w:pPr>
              <w:pStyle w:val="Compact"/>
              <w:spacing w:line="240" w:lineRule="auto" w:after="20"/>
              <w:jc w:val="right"/>
            </w:pPr>
            <w:r>
              <w:rPr>
                <w:sz w:val="20"/>
              </w:rPr>
              <w:t xml:space="preserve">195</w:t>
            </w:r>
          </w:p>
        </w:tc>
        <w:tc>
          <w:tcPr>
            <w:tcW w:type="dxa" w:w="1546"/>
          </w:tcPr>
          <w:p>
            <w:pPr>
              <w:pStyle w:val="Compact"/>
              <w:spacing w:line="240" w:lineRule="auto" w:after="20"/>
              <w:jc w:val="right"/>
            </w:pPr>
            <w:r>
              <w:rPr>
                <w:sz w:val="20"/>
              </w:rPr>
              <w:t xml:space="preserve">0.34</w:t>
            </w:r>
          </w:p>
        </w:tc>
        <w:tc>
          <w:tcPr>
            <w:tcW w:type="dxa" w:w="1443"/>
          </w:tcPr>
          <w:p>
            <w:pPr>
              <w:pStyle w:val="Compact"/>
              <w:spacing w:line="240" w:lineRule="auto" w:after="20"/>
              <w:jc w:val="right"/>
            </w:pPr>
            <w:r>
              <w:rPr>
                <w:sz w:val="20"/>
              </w:rPr>
              <w:t xml:space="preserve">0.720</w:t>
            </w:r>
          </w:p>
        </w:tc>
        <w:tc>
          <w:tcPr>
            <w:tcW w:type="dxa" w:w="1134"/>
          </w:tcPr>
          <w:p>
            <w:pPr>
              <w:pStyle w:val="Compact"/>
              <w:spacing w:line="240" w:lineRule="auto" w:after="20"/>
              <w:jc w:val="right"/>
            </w:pPr>
            <w:r>
              <w:rPr>
                <w:sz w:val="20"/>
              </w:rPr>
              <w:t xml:space="preserve">0.461</w:t>
            </w:r>
          </w:p>
        </w:tc>
        <w:tc>
          <w:tcPr>
            <w:tcW w:type="dxa" w:w="1546"/>
          </w:tcPr>
          <w:p>
            <w:pPr>
              <w:pStyle w:val="Compact"/>
              <w:spacing w:line="240" w:lineRule="auto" w:after="20"/>
              <w:jc w:val="right"/>
            </w:pPr>
            <w:r>
              <w:rPr>
                <w:sz w:val="20"/>
              </w:rPr>
              <w:t xml:space="preserve">0.458</w:t>
            </w:r>
          </w:p>
        </w:tc>
        <w:tc>
          <w:tcPr>
            <w:tcW w:type="dxa" w:w="928"/>
          </w:tcPr>
          <w:p>
            <w:pPr>
              <w:pStyle w:val="Compact"/>
              <w:spacing w:line="240" w:lineRule="auto" w:after="20"/>
              <w:jc w:val="right"/>
            </w:pPr>
            <w:r>
              <w:rPr>
                <w:sz w:val="20"/>
              </w:rPr>
              <w:t xml:space="preserve">0.475</w:t>
            </w:r>
          </w:p>
        </w:tc>
      </w:tr>
    </w:tbl>
    <w:bookmarkStart w:id="28" w:name="s1.9.1-the-pool-controls"/>
    <w:p>
      <w:pPr>
        <w:pStyle w:val="Heading3"/>
      </w:pPr>
      <w:r>
        <w:t xml:space="preserve">S1.9.1 The pool controls</w:t>
      </w:r>
    </w:p>
    <w:p>
      <w:pPr>
        <w:pStyle w:val="FirstParagraph"/>
      </w:pPr>
      <w:r>
        <w:t xml:space="preserve">The same predictions were scored on a random sample of region cells with the burned fraction of</w:t>
      </w:r>
      <w:r>
        <w:t xml:space="preserve"> </w:t>
      </w:r>
      <w:r>
        <w:t xml:space="preserve">the scar area. Over nine scars this gives 0.793, against 0.791 for the whole region. Matching the</w:t>
      </w:r>
      <w:r>
        <w:t xml:space="preserve"> </w:t>
      </w:r>
      <w:r>
        <w:t xml:space="preserve">prevalence therefore changes nothing (−0.002 [−0.005, +0.001]). This is expected, because ROC-AUC</w:t>
      </w:r>
      <w:r>
        <w:t xml:space="preserve"> </w:t>
      </w:r>
      <w:r>
        <w:t xml:space="preserve">does not depend on class balance, so it is a check of the code. Scoring the predictions on the scar</w:t>
      </w:r>
      <w:r>
        <w:t xml:space="preserve"> </w:t>
      </w:r>
      <w:r>
        <w:t xml:space="preserve">area gives 0.644, a fall of</w:t>
      </w:r>
      <w:r>
        <w:t xml:space="preserve"> </w:t>
      </w:r>
      <w:r>
        <w:rPr>
          <w:b/>
          <w:bCs/>
        </w:rPr>
        <w:t xml:space="preserve">+0.149 [+0.087, +0.211]</w:t>
      </w:r>
      <w:r>
        <w:t xml:space="preserve"> </w:t>
      </w:r>
      <w:r>
        <w:t xml:space="preserve">from the prevalence-matched score. This</w:t>
      </w:r>
      <w:r>
        <w:t xml:space="preserve"> </w:t>
      </w:r>
      <w:r>
        <w:t xml:space="preserve">replaces both the burned and the unburned cells, so each group was also replaced alone. The cost is</w:t>
      </w:r>
      <w:r>
        <w:t xml:space="preserve"> </w:t>
      </w:r>
      <w:r>
        <w:t xml:space="preserve">always the prevalence-matched score minus the new score. Replacing only the unburned cells costs</w:t>
      </w:r>
      <w:r>
        <w:t xml:space="preserve"> </w:t>
      </w:r>
      <w:r>
        <w:rPr>
          <w:b/>
          <w:bCs/>
        </w:rPr>
        <w:t xml:space="preserve">0.139 [0.098, 0.181]</w:t>
      </w:r>
      <w:r>
        <w:t xml:space="preserve"> </w:t>
      </w:r>
      <w:r>
        <w:t xml:space="preserve">(0.046 to 0.250 per scar). Replacing only the burned cells costs</w:t>
      </w:r>
      <w:r>
        <w:t xml:space="preserve"> </w:t>
      </w:r>
      <w:r>
        <w:rPr>
          <w:b/>
          <w:bCs/>
        </w:rPr>
        <w:t xml:space="preserve">−0.002</w:t>
      </w:r>
      <w:r>
        <w:rPr>
          <w:b/>
          <w:bCs/>
        </w:rPr>
        <w:t xml:space="preserve"> </w:t>
      </w:r>
      <w:r>
        <w:rPr>
          <w:b/>
          <w:bCs/>
        </w:rPr>
        <w:t xml:space="preserve">[−0.055, +0.051]</w:t>
      </w:r>
      <w:r>
        <w:t xml:space="preserve"> </w:t>
      </w:r>
      <w:r>
        <w:t xml:space="preserve">on average (−0.121 to +0.137 per scar). The cost therefore comes from the unburned</w:t>
      </w:r>
      <w:r>
        <w:t xml:space="preserve"> </w:t>
      </w:r>
      <w:r>
        <w:t xml:space="preserve">cells. All unburned cells in a scar collar are next to the fire and share its terrain, land cover and</w:t>
      </w:r>
      <w:r>
        <w:t xml:space="preserve"> </w:t>
      </w:r>
      <w:r>
        <w:t xml:space="preserve">weather. The unburned cells of a whole region also include easy distant cells</w:t>
      </w:r>
      <w:r>
        <w:t xml:space="preserve"> </w:t>
      </w:r>
      <w:r>
        <w:t xml:space="preserve">(</w:t>
      </w:r>
      <w:r>
        <w:rPr>
          <w:rStyle w:val="VerbatimChar"/>
        </w:rPr>
        <w:t xml:space="preserve">paper/labelfix_rerun/code/pool_decomposition.json</w:t>
      </w:r>
      <w:r>
        <w:t xml:space="preserve">,</w:t>
      </w:r>
      <w:r>
        <w:t xml:space="preserve"> </w:t>
      </w:r>
      <w:r>
        <w:rPr>
          <w:rStyle w:val="VerbatimChar"/>
        </w:rPr>
        <w:t xml:space="preserve">prevalence_control.json</w:t>
      </w:r>
      <w:r>
        <w:t xml:space="preserve">).</w:t>
      </w:r>
    </w:p>
    <w:bookmarkEnd w:id="28"/>
    <w:bookmarkStart w:id="29" w:name="Xa165ecab0e68cbd7620e81aeded26ab7f95d2a0"/>
    <w:p>
      <w:pPr>
        <w:pStyle w:val="Heading3"/>
      </w:pPr>
      <w:r>
        <w:t xml:space="preserve">S1.9.2 The seven scars and the resampling unit</w:t>
      </w:r>
    </w:p>
    <w:p>
      <w:pPr>
        <w:pStyle w:val="FirstParagraph"/>
      </w:pPr>
      <w:r>
        <w:t xml:space="preserve">Rows A to D of Table 2 are means over the</w:t>
      </w:r>
      <w:r>
        <w:t xml:space="preserve"> </w:t>
      </w:r>
      <w:r>
        <w:rPr>
          <w:b/>
          <w:bCs/>
        </w:rPr>
        <w:t xml:space="preserve">same seven scars</w:t>
      </w:r>
      <w:r>
        <w:t xml:space="preserve">: four in Muğla, two in Montiferru</w:t>
      </w:r>
      <w:r>
        <w:t xml:space="preserve"> </w:t>
      </w:r>
      <w:r>
        <w:t xml:space="preserve">and one in Evia. Under the corrected label, the 2,151 added Manavgat burned cells join its one</w:t>
      </w:r>
      <w:r>
        <w:t xml:space="preserve"> </w:t>
      </w:r>
      <w:r>
        <w:t xml:space="preserve">existing scar (2,934 of 2,935 cells). For this reason the controls above use nine scars and report</w:t>
      </w:r>
      <w:r>
        <w:t xml:space="preserve"> </w:t>
      </w:r>
      <w:r>
        <w:t xml:space="preserve">0.791 and 0.644, against 0.773 and 0.640 in Table 2. The intervals are Student</w:t>
      </w:r>
      <w:r>
        <w:t xml:space="preserve"> </w:t>
      </w:r>
      <w:r>
        <w:rPr>
          <w:i/>
          <w:iCs/>
        </w:rPr>
        <w:t xml:space="preserve">t</w:t>
      </w:r>
      <w:r>
        <w:t xml:space="preserve"> </w:t>
      </w:r>
      <w:r>
        <w:t xml:space="preserve">intervals over the</w:t>
      </w:r>
      <w:r>
        <w:t xml:space="preserve"> </w:t>
      </w:r>
      <w:r>
        <w:t xml:space="preserve">scars.</w:t>
      </w:r>
      <w:r>
        <w:t xml:space="preserve"> </w:t>
      </w:r>
      <w:r>
        <w:rPr>
          <w:b/>
          <w:bCs/>
        </w:rPr>
        <w:t xml:space="preserve">Row A is a region-level value that is repeated for each scar of a region, so its interval is</w:t>
      </w:r>
      <w:r>
        <w:rPr>
          <w:b/>
          <w:bCs/>
        </w:rPr>
        <w:t xml:space="preserve"> </w:t>
      </w:r>
      <w:r>
        <w:rPr>
          <w:b/>
          <w:bCs/>
        </w:rPr>
        <w:t xml:space="preserve">too narrow and should not be read as coverage.</w:t>
      </w:r>
      <w:r>
        <w:t xml:space="preserve"> </w:t>
      </w:r>
      <w:r>
        <w:t xml:space="preserve">The same applies to A − B and A − C. With the region</w:t>
      </w:r>
      <w:r>
        <w:t xml:space="preserve"> </w:t>
      </w:r>
      <w:r>
        <w:t xml:space="preserve">as the unit, A − B is</w:t>
      </w:r>
      <w:r>
        <w:t xml:space="preserve"> </w:t>
      </w:r>
      <w:r>
        <w:rPr>
          <w:b/>
          <w:bCs/>
        </w:rPr>
        <w:t xml:space="preserve">+0.137 [+0.048, +0.226]</w:t>
      </w:r>
      <w:r>
        <w:t xml:space="preserve"> </w:t>
      </w:r>
      <w:r>
        <w:t xml:space="preserve">over three regions and</w:t>
      </w:r>
      <w:r>
        <w:t xml:space="preserve"> </w:t>
      </w:r>
      <w:r>
        <w:rPr>
          <w:b/>
          <w:bCs/>
        </w:rPr>
        <w:t xml:space="preserve">+0.160 [+0.090, +0.230]</w:t>
      </w:r>
      <w:r>
        <w:t xml:space="preserve"> </w:t>
      </w:r>
      <w:r>
        <w:t xml:space="preserve">over all nine scars in five regions (</w:t>
      </w:r>
      <w:r>
        <w:rPr>
          <w:rStyle w:val="VerbatimChar"/>
        </w:rPr>
        <w:t xml:space="preserve">paper/labelfix_rerun/round7/round7_summary.json</w:t>
      </w:r>
      <w:r>
        <w:t xml:space="preserve">). A − C with</w:t>
      </w:r>
      <w:r>
        <w:t xml:space="preserve"> </w:t>
      </w:r>
      <w:r>
        <w:t xml:space="preserve">the region as the unit is +0.266 [−0.022, +0.553]. This interval is 3.6 times wider than the</w:t>
      </w:r>
      <w:r>
        <w:t xml:space="preserve"> </w:t>
      </w:r>
      <w:r>
        <w:t xml:space="preserve">scar-level interval and includes zero.</w:t>
      </w:r>
      <w:r>
        <w:t xml:space="preserve"> </w:t>
      </w:r>
      <w:r>
        <w:rPr>
          <w:b/>
          <w:bCs/>
        </w:rPr>
        <w:t xml:space="preserve">With the region as the unit, only the frame cost is</w:t>
      </w:r>
      <w:r>
        <w:rPr>
          <w:b/>
          <w:bCs/>
        </w:rPr>
        <w:t xml:space="preserve"> </w:t>
      </w:r>
      <w:r>
        <w:rPr>
          <w:b/>
          <w:bCs/>
        </w:rPr>
        <w:t xml:space="preserve">established.</w:t>
      </w:r>
    </w:p>
    <w:p>
      <w:pPr>
        <w:pStyle w:val="BodyText"/>
      </w:pPr>
      <w:r>
        <w:t xml:space="preserve">The scar definition does not drive the result. Over a range of minimum scar sizes and buffers, row C</w:t>
      </w:r>
      <w:r>
        <w:t xml:space="preserve"> </w:t>
      </w:r>
      <w:r>
        <w:t xml:space="preserve">ranges from 0.541 to 0.561 on nine to six scars. Its means at 2, 5 and 10 km buffers are 0.546 (seven</w:t>
      </w:r>
      <w:r>
        <w:t xml:space="preserve"> </w:t>
      </w:r>
      <w:r>
        <w:t xml:space="preserve">scars), 0.533 (seven) and 0.548 (six) (</w:t>
      </w:r>
      <w:r>
        <w:rPr>
          <w:rStyle w:val="VerbatimChar"/>
        </w:rPr>
        <w:t xml:space="preserve">paper/labelfix_rerun/code/scar_definition_sweep.csv</w:t>
      </w:r>
      <w:r>
        <w:t xml:space="preserve">,</w:t>
      </w:r>
      <w:r>
        <w:t xml:space="preserve"> </w:t>
      </w:r>
      <w:r>
        <w:rPr>
          <w:rStyle w:val="VerbatimChar"/>
        </w:rPr>
        <w:t xml:space="preserve">scar_control.json</w:t>
      </w:r>
      <w:r>
        <w:t xml:space="preserve">). For single scars, row D varies strongly between sources (Table S4), but little</w:t>
      </w:r>
      <w:r>
        <w:t xml:space="preserve"> </w:t>
      </w:r>
      <w:r>
        <w:t xml:space="preserve">after averaging. Row D uses 28 of the 36 source and scar combinations, and nine of them are below</w:t>
      </w:r>
      <w:r>
        <w:t xml:space="preserve"> </w:t>
      </w:r>
      <w:r>
        <w:t xml:space="preserve">chance.</w:t>
      </w:r>
    </w:p>
    <w:bookmarkEnd w:id="29"/>
    <w:bookmarkStart w:id="30" w:name="X600a9afc2b2297b4029d20d7a870dfb091df5e5"/>
    <w:p>
      <w:pPr>
        <w:pStyle w:val="Heading3"/>
      </w:pPr>
      <w:r>
        <w:t xml:space="preserve">S1.9.3 Controls and the thermal-increment ladder, full specification</w:t>
      </w:r>
    </w:p>
    <w:p>
      <w:pPr>
        <w:pStyle w:val="FirstParagraph"/>
      </w:pPr>
      <w:r>
        <w:t xml:space="preserve">Three controls reuse the predictions of row A. Each is averaged over 20 draws without replacement.</w:t>
      </w:r>
      <w:r>
        <w:t xml:space="preserve"> </w:t>
      </w:r>
      <w:r>
        <w:t xml:space="preserve">The</w:t>
      </w:r>
      <w:r>
        <w:t xml:space="preserve"> </w:t>
      </w:r>
      <w:r>
        <w:rPr>
          <w:b/>
          <w:bCs/>
        </w:rPr>
        <w:t xml:space="preserve">prevalence-matched</w:t>
      </w:r>
      <w:r>
        <w:t xml:space="preserve"> </w:t>
      </w:r>
      <w:r>
        <w:t xml:space="preserve">control draws</w:t>
      </w:r>
      <w:r>
        <w:t xml:space="preserve"> </w:t>
      </w:r>
      <m:oMath>
        <m:r>
          <m:rPr>
            <m:sty m:val="p"/>
          </m:rPr>
          <m:t>|</m:t>
        </m:r>
        <m:sSubSup>
          <m:e>
            <m:r>
              <m:t>H</m:t>
            </m:r>
          </m:e>
          <m:sub>
            <m:r>
              <m:t>K</m:t>
            </m:r>
          </m:sub>
          <m:sup>
            <m:r>
              <m:rPr>
                <m:sty m:val="p"/>
              </m:rPr>
              <m:t>+</m:t>
            </m:r>
          </m:sup>
        </m:sSubSup>
        <m:r>
          <m:rPr>
            <m:sty m:val="p"/>
          </m:rPr>
          <m:t>|</m:t>
        </m:r>
      </m:oMath>
      <w:r>
        <w:t xml:space="preserve"> </w:t>
      </w:r>
      <w:r>
        <w:t xml:space="preserve">cells from</w:t>
      </w:r>
      <w:r>
        <w:t xml:space="preserve"> </w:t>
      </w:r>
      <m:oMath>
        <m:sSub>
          <m:e>
            <m:r>
              <m:t>P</m:t>
            </m:r>
          </m:e>
          <m:sub>
            <m:r>
              <m:t>R</m:t>
            </m:r>
          </m:sub>
        </m:sSub>
      </m:oMath>
      <w:r>
        <w:t xml:space="preserve"> </w:t>
      </w:r>
      <w:r>
        <w:t xml:space="preserve">and</w:t>
      </w:r>
      <w:r>
        <w:t xml:space="preserve"> </w:t>
      </w:r>
      <m:oMath>
        <m:r>
          <m:rPr>
            <m:sty m:val="p"/>
          </m:rPr>
          <m:t>|</m:t>
        </m:r>
        <m:sSubSup>
          <m:e>
            <m:r>
              <m:t>H</m:t>
            </m:r>
          </m:e>
          <m:sub>
            <m:r>
              <m:t>K</m:t>
            </m:r>
          </m:sub>
          <m:sup>
            <m:r>
              <m:rPr>
                <m:sty m:val="p"/>
              </m:rPr>
              <m:t>−</m:t>
            </m:r>
          </m:sup>
        </m:sSubSup>
        <m:r>
          <m:rPr>
            <m:sty m:val="p"/>
          </m:rPr>
          <m:t>|</m:t>
        </m:r>
      </m:oMath>
      <w:r>
        <w:t xml:space="preserve"> </w:t>
      </w:r>
      <w:r>
        <w:t xml:space="preserve">cells from</w:t>
      </w:r>
      <w:r>
        <w:t xml:space="preserve"> </w:t>
      </w:r>
      <m:oMath>
        <m:sSub>
          <m:e>
            <m:r>
              <m:t>V</m:t>
            </m:r>
          </m:e>
          <m:sub>
            <m:r>
              <m:t>R</m:t>
            </m:r>
          </m:sub>
        </m:sSub>
        <m:r>
          <m:rPr>
            <m:sty m:val="p"/>
          </m:rPr>
          <m:t>\</m:t>
        </m:r>
        <m:sSub>
          <m:e>
            <m:r>
              <m:t>P</m:t>
            </m:r>
          </m:e>
          <m:sub>
            <m:r>
              <m:t>R</m:t>
            </m:r>
          </m:sub>
        </m:sSub>
      </m:oMath>
      <w:r>
        <w:t xml:space="preserve">. The</w:t>
      </w:r>
      <w:r>
        <w:t xml:space="preserve"> </w:t>
      </w:r>
      <w:r>
        <w:rPr>
          <w:b/>
          <w:bCs/>
        </w:rPr>
        <w:t xml:space="preserve">negative-pool</w:t>
      </w:r>
      <w:r>
        <w:t xml:space="preserve"> </w:t>
      </w:r>
      <w:r>
        <w:t xml:space="preserve">control keeps the drawn burned cells but uses the</w:t>
      </w:r>
      <w:r>
        <w:t xml:space="preserve"> </w:t>
      </w:r>
      <w:r>
        <w:t xml:space="preserve">unburned cells of the scar,</w:t>
      </w:r>
      <w:r>
        <w:t xml:space="preserve"> </w:t>
      </w:r>
      <m:oMath>
        <m:sSubSup>
          <m:e>
            <m:r>
              <m:t>H</m:t>
            </m:r>
          </m:e>
          <m:sub>
            <m:r>
              <m:t>K</m:t>
            </m:r>
          </m:sub>
          <m:sup>
            <m:r>
              <m:rPr>
                <m:sty m:val="p"/>
              </m:rPr>
              <m:t>−</m:t>
            </m:r>
          </m:sup>
        </m:sSubSup>
      </m:oMath>
      <w:r>
        <w:t xml:space="preserve">. The positive-pool control does the opposite. A</w:t>
      </w:r>
      <w:r>
        <w:t xml:space="preserve"> </w:t>
      </w:r>
      <w:r>
        <w:rPr>
          <w:b/>
          <w:bCs/>
        </w:rPr>
        <w:t xml:space="preserve">within-region half-split</w:t>
      </w:r>
      <w:r>
        <w:t xml:space="preserve"> </w:t>
      </w:r>
      <w:r>
        <w:t xml:space="preserve">completes the set: the modelled cells are cut at the median of a grid</w:t>
      </w:r>
      <w:r>
        <w:t xml:space="preserve"> </w:t>
      </w:r>
      <w:r>
        <w:t xml:space="preserve">axis, in both axes and both directions, and the transfer protocol of Section 3.8 is applied. A split</w:t>
      </w:r>
      <w:r>
        <w:t xml:space="preserve"> </w:t>
      </w:r>
      <w:r>
        <w:t xml:space="preserve">is dropped when one half has only one class. The numbers of burned cells in the two halves are</w:t>
      </w:r>
      <w:r>
        <w:t xml:space="preserve"> </w:t>
      </w:r>
      <w:r>
        <w:t xml:space="preserve">unequal (Table S2).</w:t>
      </w:r>
    </w:p>
    <w:p>
      <w:pPr>
        <w:pStyle w:val="BodyText"/>
      </w:pPr>
      <w:r>
        <w:t xml:space="preserve">The</w:t>
      </w:r>
      <w:r>
        <w:t xml:space="preserve"> </w:t>
      </w:r>
      <w:r>
        <w:rPr>
          <w:b/>
          <w:bCs/>
        </w:rPr>
        <w:t xml:space="preserve">thermal gain</w:t>
      </w:r>
      <w:r>
        <w:t xml:space="preserve"> </w:t>
      </w:r>
      <w:r>
        <w:t xml:space="preserve">is evaluated with rows A to D on the seven scars of Table 2. Table S26 gives the</w:t>
      </w:r>
      <w:r>
        <w:t xml:space="preserve"> </w:t>
      </w:r>
      <w:r>
        <w:t xml:space="preserve">values per scar at both block sizes. Over the seven scars, the region-wide gain is +0.095 at 5 km</w:t>
      </w:r>
      <w:r>
        <w:t xml:space="preserve"> </w:t>
      </w:r>
      <w:r>
        <w:t xml:space="preserve">blocking and +0.117 at 1 km. On the scar area, the same predictions give +0.021 and +0.056.</w:t>
      </w:r>
      <w:r>
        <w:t xml:space="preserve"> </w:t>
      </w:r>
      <w:r>
        <w:t xml:space="preserve">Leave-one-scar-out gives +0.024, and a foreign-region model +0.008, at both block sizes. Blocked minus</w:t>
      </w:r>
      <w:r>
        <w:t xml:space="preserve"> </w:t>
      </w:r>
      <w:r>
        <w:t xml:space="preserve">leave-one-scar-out is −0.004 [−0.070, +0.063] at 5 km and +0.031 [−0.027, +0.090] at 1 km. Region-wide</w:t>
      </w:r>
      <w:r>
        <w:t xml:space="preserve"> </w:t>
      </w:r>
      <w:r>
        <w:t xml:space="preserve">minus scar area at 5 km is +0.074 [−0.009, +0.157] at scar level. With only three regions, no</w:t>
      </w:r>
      <w:r>
        <w:t xml:space="preserve"> </w:t>
      </w:r>
      <w:r>
        <w:t xml:space="preserve">reliable region-level interval can be given for this difference. The within-region half-split gives +0.028, positive in 13 of 18 splits</w:t>
      </w:r>
      <w:r>
        <w:t xml:space="preserve"> </w:t>
      </w:r>
      <w:r>
        <w:t xml:space="preserve">(</w:t>
      </w:r>
      <w:r>
        <w:rPr>
          <w:rStyle w:val="VerbatimChar"/>
        </w:rPr>
        <w:t xml:space="preserve">paper/labelfix_rerun/inference/ladder_summary.json</w:t>
      </w:r>
      <w:r>
        <w:t xml:space="preserve">,</w:t>
      </w:r>
      <w:r>
        <w:t xml:space="preserve"> </w:t>
      </w:r>
      <w:r>
        <w:rPr>
          <w:rStyle w:val="VerbatimChar"/>
        </w:rPr>
        <w:t xml:space="preserve">paper/labelfix_rerun/code/positive_control.json</w:t>
      </w:r>
      <w:r>
        <w:t xml:space="preserve">).</w:t>
      </w:r>
    </w:p>
    <w:p>
      <w:pPr>
        <w:pStyle w:val="BodyText"/>
        <w:keepNext/>
      </w:pPr>
      <w:r>
        <w:rPr>
          <w:b/>
          <w:bCs/>
        </w:rPr>
        <w:t xml:space="preserve">Table S26. The thermal gain by scar: region-wide, on the scar area, withheld and foreign.</w:t>
      </w:r>
      <w:r>
        <w:t xml:space="preserve"> </w:t>
      </w:r>
      <w:r>
        <w:t xml:space="preserve">Thermal minus baseline ROC-AUC. Region-wide and scar-area values at 5 km blocking, with 1 km in</w:t>
      </w:r>
      <w:r>
        <w:t xml:space="preserve"> </w:t>
      </w:r>
      <w:r>
        <w:t xml:space="preserve">brackets. Leave-one-scar-out and foreign values do not depend on the blocking.</w:t>
      </w:r>
    </w:p>
    <w:tbl>
      <w:tblPr>
        <w:tblStyle w:val="Table"/>
        <w:tblW w:type="auto" w:w="0"/>
        <w:tblLook w:firstRow="1" w:lastRow="0" w:firstColumn="0" w:lastColumn="0" w:noHBand="0" w:noVBand="0" w:val="0020"/>
      </w:tblPr>
      <w:tblGrid>
        <w:gridCol w:w="1620"/>
        <w:gridCol w:w="432"/>
        <w:gridCol w:w="1620"/>
        <w:gridCol w:w="3239"/>
        <w:gridCol w:w="1404"/>
        <w:gridCol w:w="756"/>
      </w:tblGrid>
      <w:tr>
        <w:trPr>
          <w:tblHeader w:val="on"/>
          <w:cantSplit/>
        </w:trPr>
        <w:tc>
          <w:tcPr>
            <w:tcW w:type="dxa" w:w="1620"/>
          </w:tcPr>
          <w:p>
            <w:pPr>
              <w:pStyle w:val="Compact"/>
              <w:spacing w:line="240" w:lineRule="auto" w:after="20"/>
            </w:pPr>
            <w:r>
              <w:rPr>
                <w:sz w:val="20"/>
              </w:rPr>
              <w:t xml:space="preserve">Region</w:t>
            </w:r>
          </w:p>
        </w:tc>
        <w:tc>
          <w:tcPr>
            <w:tcW w:type="dxa" w:w="432"/>
          </w:tcPr>
          <w:p>
            <w:pPr>
              <w:pStyle w:val="Compact"/>
              <w:spacing w:line="240" w:lineRule="auto" w:after="20"/>
              <w:jc w:val="right"/>
            </w:pPr>
            <w:r>
              <w:rPr>
                <w:sz w:val="20"/>
              </w:rPr>
              <w:t xml:space="preserve">Scar</w:t>
            </w:r>
          </w:p>
        </w:tc>
        <w:tc>
          <w:tcPr>
            <w:tcW w:type="dxa" w:w="1620"/>
          </w:tcPr>
          <w:p>
            <w:pPr>
              <w:pStyle w:val="Compact"/>
              <w:spacing w:line="240" w:lineRule="auto" w:after="20"/>
              <w:jc w:val="right"/>
            </w:pPr>
            <w:r>
              <w:rPr>
                <w:sz w:val="20"/>
              </w:rPr>
              <w:t xml:space="preserve">Region-wide</w:t>
            </w:r>
          </w:p>
        </w:tc>
        <w:tc>
          <w:tcPr>
            <w:tcW w:type="dxa" w:w="3239"/>
          </w:tcPr>
          <w:p>
            <w:pPr>
              <w:pStyle w:val="Compact"/>
              <w:spacing w:line="240" w:lineRule="auto" w:after="20"/>
              <w:jc w:val="right"/>
            </w:pPr>
            <w:r>
              <w:rPr>
                <w:sz w:val="20"/>
              </w:rPr>
              <w:t xml:space="preserve">Scar frame, same blocked model</w:t>
            </w:r>
          </w:p>
        </w:tc>
        <w:tc>
          <w:tcPr>
            <w:tcW w:type="dxa" w:w="1404"/>
          </w:tcPr>
          <w:p>
            <w:pPr>
              <w:pStyle w:val="Compact"/>
              <w:spacing w:line="240" w:lineRule="auto" w:after="20"/>
              <w:jc w:val="right"/>
            </w:pPr>
            <w:r>
              <w:rPr>
                <w:sz w:val="20"/>
              </w:rPr>
              <w:t xml:space="preserve">Scar withheld</w:t>
            </w:r>
          </w:p>
        </w:tc>
        <w:tc>
          <w:tcPr>
            <w:tcW w:type="dxa" w:w="756"/>
          </w:tcPr>
          <w:p>
            <w:pPr>
              <w:pStyle w:val="Compact"/>
              <w:spacing w:line="240" w:lineRule="auto" w:after="20"/>
              <w:jc w:val="right"/>
            </w:pPr>
            <w:r>
              <w:rPr>
                <w:sz w:val="20"/>
              </w:rPr>
              <w:t xml:space="preserve">Foreign</w:t>
            </w:r>
          </w:p>
        </w:tc>
      </w:tr>
      <w:tr>
        <w:trPr>
          <w:cantSplit/>
        </w:trPr>
        <w:tc>
          <w:tcPr>
            <w:tcW w:type="dxa" w:w="1620"/>
          </w:tcPr>
          <w:p>
            <w:pPr>
              <w:pStyle w:val="Compact"/>
              <w:spacing w:line="240" w:lineRule="auto" w:after="20"/>
            </w:pPr>
            <w:r>
              <w:rPr>
                <w:sz w:val="20"/>
              </w:rPr>
              <w:t xml:space="preserve">Muğla 2021</w:t>
            </w:r>
          </w:p>
        </w:tc>
        <w:tc>
          <w:tcPr>
            <w:tcW w:type="dxa" w:w="432"/>
          </w:tcPr>
          <w:p>
            <w:pPr>
              <w:pStyle w:val="Compact"/>
              <w:spacing w:line="240" w:lineRule="auto" w:after="20"/>
              <w:jc w:val="right"/>
            </w:pPr>
            <w:r>
              <w:rPr>
                <w:sz w:val="20"/>
              </w:rPr>
              <w:t xml:space="preserve">6</w:t>
            </w:r>
          </w:p>
        </w:tc>
        <w:tc>
          <w:tcPr>
            <w:tcW w:type="dxa" w:w="1620"/>
          </w:tcPr>
          <w:p>
            <w:pPr>
              <w:pStyle w:val="Compact"/>
              <w:spacing w:line="240" w:lineRule="auto" w:after="20"/>
              <w:jc w:val="right"/>
            </w:pPr>
            <w:r>
              <w:rPr>
                <w:sz w:val="20"/>
              </w:rPr>
              <w:t xml:space="preserve">+0.079 (+0.116)</w:t>
            </w:r>
          </w:p>
        </w:tc>
        <w:tc>
          <w:tcPr>
            <w:tcW w:type="dxa" w:w="3239"/>
          </w:tcPr>
          <w:p>
            <w:pPr>
              <w:pStyle w:val="Compact"/>
              <w:spacing w:line="240" w:lineRule="auto" w:after="20"/>
              <w:jc w:val="right"/>
            </w:pPr>
            <w:r>
              <w:rPr>
                <w:sz w:val="20"/>
              </w:rPr>
              <w:t xml:space="preserve">−0.016 (+0.018)</w:t>
            </w:r>
          </w:p>
        </w:tc>
        <w:tc>
          <w:tcPr>
            <w:tcW w:type="dxa" w:w="1404"/>
          </w:tcPr>
          <w:p>
            <w:pPr>
              <w:pStyle w:val="Compact"/>
              <w:spacing w:line="240" w:lineRule="auto" w:after="20"/>
              <w:jc w:val="right"/>
            </w:pPr>
            <w:r>
              <w:rPr>
                <w:sz w:val="20"/>
              </w:rPr>
              <w:t xml:space="preserve">+0.025</w:t>
            </w:r>
          </w:p>
        </w:tc>
        <w:tc>
          <w:tcPr>
            <w:tcW w:type="dxa" w:w="756"/>
          </w:tcPr>
          <w:p>
            <w:pPr>
              <w:pStyle w:val="Compact"/>
              <w:spacing w:line="240" w:lineRule="auto" w:after="20"/>
              <w:jc w:val="right"/>
            </w:pPr>
            <w:r>
              <w:rPr>
                <w:sz w:val="20"/>
              </w:rPr>
              <w:t xml:space="preserve">+0.033</w:t>
            </w:r>
          </w:p>
        </w:tc>
      </w:tr>
      <w:tr>
        <w:trPr>
          <w:cantSplit/>
        </w:trPr>
        <w:tc>
          <w:tcPr>
            <w:tcW w:type="dxa" w:w="1620"/>
          </w:tcPr>
          <w:p>
            <w:pPr>
              <w:pStyle w:val="Compact"/>
              <w:spacing w:line="240" w:lineRule="auto" w:after="20"/>
            </w:pPr>
            <w:r>
              <w:rPr>
                <w:sz w:val="20"/>
              </w:rPr>
              <w:t xml:space="preserve">Muğla 2021</w:t>
            </w:r>
          </w:p>
        </w:tc>
        <w:tc>
          <w:tcPr>
            <w:tcW w:type="dxa" w:w="432"/>
          </w:tcPr>
          <w:p>
            <w:pPr>
              <w:pStyle w:val="Compact"/>
              <w:spacing w:line="240" w:lineRule="auto" w:after="20"/>
              <w:jc w:val="right"/>
            </w:pPr>
            <w:r>
              <w:rPr>
                <w:sz w:val="20"/>
              </w:rPr>
              <w:t xml:space="preserve">1</w:t>
            </w:r>
          </w:p>
        </w:tc>
        <w:tc>
          <w:tcPr>
            <w:tcW w:type="dxa" w:w="1620"/>
          </w:tcPr>
          <w:p>
            <w:pPr>
              <w:pStyle w:val="Compact"/>
              <w:spacing w:line="240" w:lineRule="auto" w:after="20"/>
              <w:jc w:val="right"/>
            </w:pPr>
            <w:r>
              <w:rPr>
                <w:sz w:val="20"/>
              </w:rPr>
              <w:t xml:space="preserve">+0.079 (+0.116)</w:t>
            </w:r>
          </w:p>
        </w:tc>
        <w:tc>
          <w:tcPr>
            <w:tcW w:type="dxa" w:w="3239"/>
          </w:tcPr>
          <w:p>
            <w:pPr>
              <w:pStyle w:val="Compact"/>
              <w:spacing w:line="240" w:lineRule="auto" w:after="20"/>
              <w:jc w:val="right"/>
            </w:pPr>
            <w:r>
              <w:rPr>
                <w:sz w:val="20"/>
              </w:rPr>
              <w:t xml:space="preserve">+0.049 (+0.071)</w:t>
            </w:r>
          </w:p>
        </w:tc>
        <w:tc>
          <w:tcPr>
            <w:tcW w:type="dxa" w:w="1404"/>
          </w:tcPr>
          <w:p>
            <w:pPr>
              <w:pStyle w:val="Compact"/>
              <w:spacing w:line="240" w:lineRule="auto" w:after="20"/>
              <w:jc w:val="right"/>
            </w:pPr>
            <w:r>
              <w:rPr>
                <w:sz w:val="20"/>
              </w:rPr>
              <w:t xml:space="preserve">−0.044</w:t>
            </w:r>
          </w:p>
        </w:tc>
        <w:tc>
          <w:tcPr>
            <w:tcW w:type="dxa" w:w="756"/>
          </w:tcPr>
          <w:p>
            <w:pPr>
              <w:pStyle w:val="Compact"/>
              <w:spacing w:line="240" w:lineRule="auto" w:after="20"/>
              <w:jc w:val="right"/>
            </w:pPr>
            <w:r>
              <w:rPr>
                <w:sz w:val="20"/>
              </w:rPr>
              <w:t xml:space="preserve">+0.014</w:t>
            </w:r>
          </w:p>
        </w:tc>
      </w:tr>
      <w:tr>
        <w:trPr>
          <w:cantSplit/>
        </w:trPr>
        <w:tc>
          <w:tcPr>
            <w:tcW w:type="dxa" w:w="1620"/>
          </w:tcPr>
          <w:p>
            <w:pPr>
              <w:pStyle w:val="Compact"/>
              <w:spacing w:line="240" w:lineRule="auto" w:after="20"/>
            </w:pPr>
            <w:r>
              <w:rPr>
                <w:sz w:val="20"/>
              </w:rPr>
              <w:t xml:space="preserve">Muğla 2021</w:t>
            </w:r>
          </w:p>
        </w:tc>
        <w:tc>
          <w:tcPr>
            <w:tcW w:type="dxa" w:w="432"/>
          </w:tcPr>
          <w:p>
            <w:pPr>
              <w:pStyle w:val="Compact"/>
              <w:spacing w:line="240" w:lineRule="auto" w:after="20"/>
              <w:jc w:val="right"/>
            </w:pPr>
            <w:r>
              <w:rPr>
                <w:sz w:val="20"/>
              </w:rPr>
              <w:t xml:space="preserve">10</w:t>
            </w:r>
          </w:p>
        </w:tc>
        <w:tc>
          <w:tcPr>
            <w:tcW w:type="dxa" w:w="1620"/>
          </w:tcPr>
          <w:p>
            <w:pPr>
              <w:pStyle w:val="Compact"/>
              <w:spacing w:line="240" w:lineRule="auto" w:after="20"/>
              <w:jc w:val="right"/>
            </w:pPr>
            <w:r>
              <w:rPr>
                <w:sz w:val="20"/>
              </w:rPr>
              <w:t xml:space="preserve">+0.079 (+0.116)</w:t>
            </w:r>
          </w:p>
        </w:tc>
        <w:tc>
          <w:tcPr>
            <w:tcW w:type="dxa" w:w="3239"/>
          </w:tcPr>
          <w:p>
            <w:pPr>
              <w:pStyle w:val="Compact"/>
              <w:spacing w:line="240" w:lineRule="auto" w:after="20"/>
              <w:jc w:val="right"/>
            </w:pPr>
            <w:r>
              <w:rPr>
                <w:sz w:val="20"/>
              </w:rPr>
              <w:t xml:space="preserve">+0.063 (+0.107)</w:t>
            </w:r>
          </w:p>
        </w:tc>
        <w:tc>
          <w:tcPr>
            <w:tcW w:type="dxa" w:w="1404"/>
          </w:tcPr>
          <w:p>
            <w:pPr>
              <w:pStyle w:val="Compact"/>
              <w:spacing w:line="240" w:lineRule="auto" w:after="20"/>
              <w:jc w:val="right"/>
            </w:pPr>
            <w:r>
              <w:rPr>
                <w:sz w:val="20"/>
              </w:rPr>
              <w:t xml:space="preserve">+0.045</w:t>
            </w:r>
          </w:p>
        </w:tc>
        <w:tc>
          <w:tcPr>
            <w:tcW w:type="dxa" w:w="756"/>
          </w:tcPr>
          <w:p>
            <w:pPr>
              <w:pStyle w:val="Compact"/>
              <w:spacing w:line="240" w:lineRule="auto" w:after="20"/>
              <w:jc w:val="right"/>
            </w:pPr>
            <w:r>
              <w:rPr>
                <w:sz w:val="20"/>
              </w:rPr>
              <w:t xml:space="preserve">+0.042</w:t>
            </w:r>
          </w:p>
        </w:tc>
      </w:tr>
      <w:tr>
        <w:trPr>
          <w:cantSplit/>
        </w:trPr>
        <w:tc>
          <w:tcPr>
            <w:tcW w:type="dxa" w:w="1620"/>
          </w:tcPr>
          <w:p>
            <w:pPr>
              <w:pStyle w:val="Compact"/>
              <w:spacing w:line="240" w:lineRule="auto" w:after="20"/>
            </w:pPr>
            <w:r>
              <w:rPr>
                <w:sz w:val="20"/>
              </w:rPr>
              <w:t xml:space="preserve">Muğla 2021</w:t>
            </w:r>
          </w:p>
        </w:tc>
        <w:tc>
          <w:tcPr>
            <w:tcW w:type="dxa" w:w="432"/>
          </w:tcPr>
          <w:p>
            <w:pPr>
              <w:pStyle w:val="Compact"/>
              <w:spacing w:line="240" w:lineRule="auto" w:after="20"/>
              <w:jc w:val="right"/>
            </w:pPr>
            <w:r>
              <w:rPr>
                <w:sz w:val="20"/>
              </w:rPr>
              <w:t xml:space="preserve">8</w:t>
            </w:r>
          </w:p>
        </w:tc>
        <w:tc>
          <w:tcPr>
            <w:tcW w:type="dxa" w:w="1620"/>
          </w:tcPr>
          <w:p>
            <w:pPr>
              <w:pStyle w:val="Compact"/>
              <w:spacing w:line="240" w:lineRule="auto" w:after="20"/>
              <w:jc w:val="right"/>
            </w:pPr>
            <w:r>
              <w:rPr>
                <w:sz w:val="20"/>
              </w:rPr>
              <w:t xml:space="preserve">+0.079 (+0.116)</w:t>
            </w:r>
          </w:p>
        </w:tc>
        <w:tc>
          <w:tcPr>
            <w:tcW w:type="dxa" w:w="3239"/>
          </w:tcPr>
          <w:p>
            <w:pPr>
              <w:pStyle w:val="Compact"/>
              <w:spacing w:line="240" w:lineRule="auto" w:after="20"/>
              <w:jc w:val="right"/>
            </w:pPr>
            <w:r>
              <w:rPr>
                <w:sz w:val="20"/>
              </w:rPr>
              <w:t xml:space="preserve">+0.083 (+0.092)</w:t>
            </w:r>
          </w:p>
        </w:tc>
        <w:tc>
          <w:tcPr>
            <w:tcW w:type="dxa" w:w="1404"/>
          </w:tcPr>
          <w:p>
            <w:pPr>
              <w:pStyle w:val="Compact"/>
              <w:spacing w:line="240" w:lineRule="auto" w:after="20"/>
              <w:jc w:val="right"/>
            </w:pPr>
            <w:r>
              <w:rPr>
                <w:sz w:val="20"/>
              </w:rPr>
              <w:t xml:space="preserve">+0.012</w:t>
            </w:r>
          </w:p>
        </w:tc>
        <w:tc>
          <w:tcPr>
            <w:tcW w:type="dxa" w:w="756"/>
          </w:tcPr>
          <w:p>
            <w:pPr>
              <w:pStyle w:val="Compact"/>
              <w:spacing w:line="240" w:lineRule="auto" w:after="20"/>
              <w:jc w:val="right"/>
            </w:pPr>
            <w:r>
              <w:rPr>
                <w:sz w:val="20"/>
              </w:rPr>
              <w:t xml:space="preserve">+0.037</w:t>
            </w:r>
          </w:p>
        </w:tc>
      </w:tr>
      <w:tr>
        <w:trPr>
          <w:cantSplit/>
        </w:trPr>
        <w:tc>
          <w:tcPr>
            <w:tcW w:type="dxa" w:w="1620"/>
          </w:tcPr>
          <w:p>
            <w:pPr>
              <w:pStyle w:val="Compact"/>
              <w:spacing w:line="240" w:lineRule="auto" w:after="20"/>
            </w:pPr>
            <w:r>
              <w:rPr>
                <w:sz w:val="20"/>
              </w:rPr>
              <w:t xml:space="preserve">North Evia 2021</w:t>
            </w:r>
          </w:p>
        </w:tc>
        <w:tc>
          <w:tcPr>
            <w:tcW w:type="dxa" w:w="432"/>
          </w:tcPr>
          <w:p>
            <w:pPr>
              <w:pStyle w:val="Compact"/>
              <w:spacing w:line="240" w:lineRule="auto" w:after="20"/>
              <w:jc w:val="right"/>
            </w:pPr>
            <w:r>
              <w:rPr>
                <w:sz w:val="20"/>
              </w:rPr>
              <w:t xml:space="preserve">1</w:t>
            </w:r>
          </w:p>
        </w:tc>
        <w:tc>
          <w:tcPr>
            <w:tcW w:type="dxa" w:w="1620"/>
          </w:tcPr>
          <w:p>
            <w:pPr>
              <w:pStyle w:val="Compact"/>
              <w:spacing w:line="240" w:lineRule="auto" w:after="20"/>
              <w:jc w:val="right"/>
            </w:pPr>
            <w:r>
              <w:rPr>
                <w:sz w:val="20"/>
              </w:rPr>
              <w:t xml:space="preserve">+0.148 (+0.153)</w:t>
            </w:r>
          </w:p>
        </w:tc>
        <w:tc>
          <w:tcPr>
            <w:tcW w:type="dxa" w:w="3239"/>
          </w:tcPr>
          <w:p>
            <w:pPr>
              <w:pStyle w:val="Compact"/>
              <w:spacing w:line="240" w:lineRule="auto" w:after="20"/>
              <w:jc w:val="right"/>
            </w:pPr>
            <w:r>
              <w:rPr>
                <w:sz w:val="20"/>
              </w:rPr>
              <w:t xml:space="preserve">+0.060 (+0.065)</w:t>
            </w:r>
          </w:p>
        </w:tc>
        <w:tc>
          <w:tcPr>
            <w:tcW w:type="dxa" w:w="1404"/>
          </w:tcPr>
          <w:p>
            <w:pPr>
              <w:pStyle w:val="Compact"/>
              <w:spacing w:line="240" w:lineRule="auto" w:after="20"/>
              <w:jc w:val="right"/>
            </w:pPr>
            <w:r>
              <w:rPr>
                <w:sz w:val="20"/>
              </w:rPr>
              <w:t xml:space="preserve">+0.143</w:t>
            </w:r>
          </w:p>
        </w:tc>
        <w:tc>
          <w:tcPr>
            <w:tcW w:type="dxa" w:w="756"/>
          </w:tcPr>
          <w:p>
            <w:pPr>
              <w:pStyle w:val="Compact"/>
              <w:spacing w:line="240" w:lineRule="auto" w:after="20"/>
              <w:jc w:val="right"/>
            </w:pPr>
            <w:r>
              <w:rPr>
                <w:sz w:val="20"/>
              </w:rPr>
              <w:t xml:space="preserve">−0.038</w:t>
            </w:r>
          </w:p>
        </w:tc>
      </w:tr>
      <w:tr>
        <w:trPr>
          <w:cantSplit/>
        </w:trPr>
        <w:tc>
          <w:tcPr>
            <w:tcW w:type="dxa" w:w="1620"/>
          </w:tcPr>
          <w:p>
            <w:pPr>
              <w:pStyle w:val="Compact"/>
              <w:spacing w:line="240" w:lineRule="auto" w:after="20"/>
            </w:pPr>
            <w:r>
              <w:rPr>
                <w:sz w:val="20"/>
              </w:rPr>
              <w:t xml:space="preserve">Montiferru 2021</w:t>
            </w:r>
          </w:p>
        </w:tc>
        <w:tc>
          <w:tcPr>
            <w:tcW w:type="dxa" w:w="432"/>
          </w:tcPr>
          <w:p>
            <w:pPr>
              <w:pStyle w:val="Compact"/>
              <w:spacing w:line="240" w:lineRule="auto" w:after="20"/>
              <w:jc w:val="right"/>
            </w:pPr>
            <w:r>
              <w:rPr>
                <w:sz w:val="20"/>
              </w:rPr>
              <w:t xml:space="preserve">1</w:t>
            </w:r>
          </w:p>
        </w:tc>
        <w:tc>
          <w:tcPr>
            <w:tcW w:type="dxa" w:w="1620"/>
          </w:tcPr>
          <w:p>
            <w:pPr>
              <w:pStyle w:val="Compact"/>
              <w:spacing w:line="240" w:lineRule="auto" w:after="20"/>
              <w:jc w:val="right"/>
            </w:pPr>
            <w:r>
              <w:rPr>
                <w:sz w:val="20"/>
              </w:rPr>
              <w:t xml:space="preserve">+0.100 (+0.101)</w:t>
            </w:r>
          </w:p>
        </w:tc>
        <w:tc>
          <w:tcPr>
            <w:tcW w:type="dxa" w:w="3239"/>
          </w:tcPr>
          <w:p>
            <w:pPr>
              <w:pStyle w:val="Compact"/>
              <w:spacing w:line="240" w:lineRule="auto" w:after="20"/>
              <w:jc w:val="right"/>
            </w:pPr>
            <w:r>
              <w:rPr>
                <w:sz w:val="20"/>
              </w:rPr>
              <w:t xml:space="preserve">+0.066 (+0.086)</w:t>
            </w:r>
          </w:p>
        </w:tc>
        <w:tc>
          <w:tcPr>
            <w:tcW w:type="dxa" w:w="1404"/>
          </w:tcPr>
          <w:p>
            <w:pPr>
              <w:pStyle w:val="Compact"/>
              <w:spacing w:line="240" w:lineRule="auto" w:after="20"/>
              <w:jc w:val="right"/>
            </w:pPr>
            <w:r>
              <w:rPr>
                <w:sz w:val="20"/>
              </w:rPr>
              <w:t xml:space="preserve">+0.060</w:t>
            </w:r>
          </w:p>
        </w:tc>
        <w:tc>
          <w:tcPr>
            <w:tcW w:type="dxa" w:w="756"/>
          </w:tcPr>
          <w:p>
            <w:pPr>
              <w:pStyle w:val="Compact"/>
              <w:spacing w:line="240" w:lineRule="auto" w:after="20"/>
              <w:jc w:val="right"/>
            </w:pPr>
            <w:r>
              <w:rPr>
                <w:sz w:val="20"/>
              </w:rPr>
              <w:t xml:space="preserve">−0.008</w:t>
            </w:r>
          </w:p>
        </w:tc>
      </w:tr>
      <w:tr>
        <w:trPr>
          <w:cantSplit/>
        </w:trPr>
        <w:tc>
          <w:tcPr>
            <w:tcW w:type="dxa" w:w="1620"/>
          </w:tcPr>
          <w:p>
            <w:pPr>
              <w:pStyle w:val="Compact"/>
              <w:spacing w:line="240" w:lineRule="auto" w:after="20"/>
            </w:pPr>
            <w:r>
              <w:rPr>
                <w:sz w:val="20"/>
              </w:rPr>
              <w:t xml:space="preserve">Montiferru 2021</w:t>
            </w:r>
          </w:p>
        </w:tc>
        <w:tc>
          <w:tcPr>
            <w:tcW w:type="dxa" w:w="432"/>
          </w:tcPr>
          <w:p>
            <w:pPr>
              <w:pStyle w:val="Compact"/>
              <w:spacing w:line="240" w:lineRule="auto" w:after="20"/>
              <w:jc w:val="right"/>
            </w:pPr>
            <w:r>
              <w:rPr>
                <w:sz w:val="20"/>
              </w:rPr>
              <w:t xml:space="preserve">5</w:t>
            </w:r>
          </w:p>
        </w:tc>
        <w:tc>
          <w:tcPr>
            <w:tcW w:type="dxa" w:w="1620"/>
          </w:tcPr>
          <w:p>
            <w:pPr>
              <w:pStyle w:val="Compact"/>
              <w:spacing w:line="240" w:lineRule="auto" w:after="20"/>
              <w:jc w:val="right"/>
            </w:pPr>
            <w:r>
              <w:rPr>
                <w:sz w:val="20"/>
              </w:rPr>
              <w:t xml:space="preserve">+0.100 (+0.101)</w:t>
            </w:r>
          </w:p>
        </w:tc>
        <w:tc>
          <w:tcPr>
            <w:tcW w:type="dxa" w:w="3239"/>
          </w:tcPr>
          <w:p>
            <w:pPr>
              <w:pStyle w:val="Compact"/>
              <w:spacing w:line="240" w:lineRule="auto" w:after="20"/>
              <w:jc w:val="right"/>
            </w:pPr>
            <w:r>
              <w:rPr>
                <w:sz w:val="20"/>
              </w:rPr>
              <w:t xml:space="preserve">−0.160 (−0.049)</w:t>
            </w:r>
          </w:p>
        </w:tc>
        <w:tc>
          <w:tcPr>
            <w:tcW w:type="dxa" w:w="1404"/>
          </w:tcPr>
          <w:p>
            <w:pPr>
              <w:pStyle w:val="Compact"/>
              <w:spacing w:line="240" w:lineRule="auto" w:after="20"/>
              <w:jc w:val="right"/>
            </w:pPr>
            <w:r>
              <w:rPr>
                <w:sz w:val="20"/>
              </w:rPr>
              <w:t xml:space="preserve">−0.070</w:t>
            </w:r>
          </w:p>
        </w:tc>
        <w:tc>
          <w:tcPr>
            <w:tcW w:type="dxa" w:w="756"/>
          </w:tcPr>
          <w:p>
            <w:pPr>
              <w:pStyle w:val="Compact"/>
              <w:spacing w:line="240" w:lineRule="auto" w:after="20"/>
              <w:jc w:val="right"/>
            </w:pPr>
            <w:r>
              <w:rPr>
                <w:sz w:val="20"/>
              </w:rPr>
              <w:t xml:space="preserve">−0.023</w:t>
            </w:r>
          </w:p>
        </w:tc>
      </w:tr>
      <w:tr>
        <w:trPr>
          <w:cantSplit/>
        </w:trPr>
        <w:tc>
          <w:tcPr>
            <w:tcW w:type="dxa" w:w="1620"/>
          </w:tcPr>
          <w:p>
            <w:pPr>
              <w:pStyle w:val="Compact"/>
              <w:spacing w:line="240" w:lineRule="auto" w:after="20"/>
            </w:pPr>
            <w:r>
              <w:rPr>
                <w:b/>
                <w:bCs/>
                <w:sz w:val="20"/>
              </w:rPr>
              <w:t xml:space="preserve">Mean</w:t>
            </w:r>
          </w:p>
        </w:tc>
        <w:tc>
          <w:tcPr>
            <w:tcW w:type="dxa" w:w="432"/>
          </w:tcPr>
          <w:p>
            <w:pPr>
              <w:pStyle w:val="Compact"/>
              <w:spacing w:line="240" w:lineRule="auto" w:after="20"/>
            </w:pPr>
          </w:p>
        </w:tc>
        <w:tc>
          <w:tcPr>
            <w:tcW w:type="dxa" w:w="1620"/>
          </w:tcPr>
          <w:p>
            <w:pPr>
              <w:pStyle w:val="Compact"/>
              <w:spacing w:line="240" w:lineRule="auto" w:after="20"/>
              <w:jc w:val="right"/>
            </w:pPr>
            <w:r>
              <w:rPr>
                <w:b/>
                <w:bCs/>
                <w:sz w:val="20"/>
              </w:rPr>
              <w:t xml:space="preserve">+0.095 (+0.117)</w:t>
            </w:r>
          </w:p>
        </w:tc>
        <w:tc>
          <w:tcPr>
            <w:tcW w:type="dxa" w:w="3239"/>
          </w:tcPr>
          <w:p>
            <w:pPr>
              <w:pStyle w:val="Compact"/>
              <w:spacing w:line="240" w:lineRule="auto" w:after="20"/>
              <w:jc w:val="right"/>
            </w:pPr>
            <w:r>
              <w:rPr>
                <w:b/>
                <w:bCs/>
                <w:sz w:val="20"/>
              </w:rPr>
              <w:t xml:space="preserve">+0.021 (+0.056)</w:t>
            </w:r>
          </w:p>
        </w:tc>
        <w:tc>
          <w:tcPr>
            <w:tcW w:type="dxa" w:w="1404"/>
          </w:tcPr>
          <w:p>
            <w:pPr>
              <w:pStyle w:val="Compact"/>
              <w:spacing w:line="240" w:lineRule="auto" w:after="20"/>
              <w:jc w:val="right"/>
            </w:pPr>
            <w:r>
              <w:rPr>
                <w:b/>
                <w:bCs/>
                <w:sz w:val="20"/>
              </w:rPr>
              <w:t xml:space="preserve">+0.024</w:t>
            </w:r>
          </w:p>
        </w:tc>
        <w:tc>
          <w:tcPr>
            <w:tcW w:type="dxa" w:w="756"/>
          </w:tcPr>
          <w:p>
            <w:pPr>
              <w:pStyle w:val="Compact"/>
              <w:spacing w:line="240" w:lineRule="auto" w:after="20"/>
              <w:jc w:val="right"/>
            </w:pPr>
            <w:r>
              <w:rPr>
                <w:b/>
                <w:bCs/>
                <w:sz w:val="20"/>
              </w:rPr>
              <w:t xml:space="preserve">+0.008</w:t>
            </w:r>
          </w:p>
        </w:tc>
      </w:tr>
    </w:tbl>
    <w:p>
      <w:pPr>
        <w:pStyle w:val="BodyText"/>
        <w:keepNext/>
      </w:pPr>
      <w:r>
        <w:rPr>
          <w:b/>
          <w:bCs/>
        </w:rPr>
        <w:t xml:space="preserve">Table S2. Within-region half-split, every split.</w:t>
      </w:r>
      <w:r>
        <w:t xml:space="preserve"> </w:t>
      </w:r>
      <w:r>
        <w:t xml:space="preserve">The numbers of burned cells in the source and</w:t>
      </w:r>
      <w:r>
        <w:t xml:space="preserve"> </w:t>
      </w:r>
      <w:r>
        <w:t xml:space="preserve">target halves are given because they are unequal. This is the main limit of this analysis, because a</w:t>
      </w:r>
      <w:r>
        <w:t xml:space="preserve"> </w:t>
      </w:r>
      <w:r>
        <w:t xml:space="preserve">straight cut does not give two comparable halves. Two splits cannot be used, because one half of</w:t>
      </w:r>
      <w:r>
        <w:t xml:space="preserve"> </w:t>
      </w:r>
      <w:r>
        <w:t xml:space="preserve">Manavgat has no burned cells. Source</w:t>
      </w:r>
      <w:r>
        <w:t xml:space="preserve"> </w:t>
      </w:r>
      <w:r>
        <w:rPr>
          <w:rStyle w:val="VerbatimChar"/>
        </w:rPr>
        <w:t xml:space="preserve">paper/labelfix_rerun/code/positive_control.json</w:t>
      </w:r>
      <w:r>
        <w:t xml:space="preserve">; checked row by</w:t>
      </w:r>
      <w:r>
        <w:t xml:space="preserve"> </w:t>
      </w:r>
      <w:r>
        <w:t xml:space="preserve">row by</w:t>
      </w:r>
      <w:r>
        <w:t xml:space="preserve"> </w:t>
      </w:r>
      <w:r>
        <w:rPr>
          <w:rStyle w:val="VerbatimChar"/>
        </w:rPr>
        <w:t xml:space="preserve">paper/code/appendix_tables.py</w:t>
      </w:r>
      <w:r>
        <w:t xml:space="preserve">.</w:t>
      </w:r>
    </w:p>
    <w:tbl>
      <w:tblPr>
        <w:tblStyle w:val="Table"/>
        <w:tblW w:type="auto" w:w="0"/>
        <w:tblLook w:firstRow="1" w:lastRow="0" w:firstColumn="0" w:lastColumn="0" w:noHBand="0" w:noVBand="0" w:val="0020"/>
      </w:tblPr>
      <w:tblGrid>
        <w:gridCol w:w="1719"/>
        <w:gridCol w:w="1050"/>
        <w:gridCol w:w="1050"/>
        <w:gridCol w:w="1528"/>
        <w:gridCol w:w="1528"/>
        <w:gridCol w:w="1050"/>
        <w:gridCol w:w="1146"/>
      </w:tblGrid>
      <w:tr>
        <w:trPr>
          <w:tblHeader w:val="on"/>
          <w:cantSplit/>
        </w:trPr>
        <w:tc>
          <w:tcPr>
            <w:tcW w:type="dxa" w:w="1719"/>
          </w:tcPr>
          <w:p>
            <w:pPr>
              <w:pStyle w:val="Compact"/>
              <w:spacing w:line="240" w:lineRule="auto" w:after="20"/>
            </w:pPr>
            <w:r>
              <w:rPr>
                <w:sz w:val="20"/>
              </w:rPr>
              <w:t xml:space="preserve">Region</w:t>
            </w:r>
          </w:p>
        </w:tc>
        <w:tc>
          <w:tcPr>
            <w:tcW w:type="dxa" w:w="1050"/>
          </w:tcPr>
          <w:p>
            <w:pPr>
              <w:pStyle w:val="Compact"/>
              <w:spacing w:line="240" w:lineRule="auto" w:after="20"/>
            </w:pPr>
            <w:r>
              <w:rPr>
                <w:sz w:val="20"/>
              </w:rPr>
              <w:t xml:space="preserve">Axis</w:t>
            </w:r>
          </w:p>
        </w:tc>
        <w:tc>
          <w:tcPr>
            <w:tcW w:type="dxa" w:w="1050"/>
          </w:tcPr>
          <w:p>
            <w:pPr>
              <w:pStyle w:val="Compact"/>
              <w:spacing w:line="240" w:lineRule="auto" w:after="20"/>
            </w:pPr>
            <w:r>
              <w:rPr>
                <w:sz w:val="20"/>
              </w:rPr>
              <w:t xml:space="preserve">Direction</w:t>
            </w:r>
          </w:p>
        </w:tc>
        <w:tc>
          <w:tcPr>
            <w:tcW w:type="dxa" w:w="1528"/>
          </w:tcPr>
          <w:p>
            <w:pPr>
              <w:pStyle w:val="Compact"/>
              <w:spacing w:line="240" w:lineRule="auto" w:after="20"/>
              <w:jc w:val="right"/>
            </w:pPr>
            <w:r>
              <w:rPr>
                <w:sz w:val="20"/>
              </w:rPr>
              <w:t xml:space="preserve">Source positives</w:t>
            </w:r>
          </w:p>
        </w:tc>
        <w:tc>
          <w:tcPr>
            <w:tcW w:type="dxa" w:w="1528"/>
          </w:tcPr>
          <w:p>
            <w:pPr>
              <w:pStyle w:val="Compact"/>
              <w:spacing w:line="240" w:lineRule="auto" w:after="20"/>
              <w:jc w:val="right"/>
            </w:pPr>
            <w:r>
              <w:rPr>
                <w:sz w:val="20"/>
              </w:rPr>
              <w:t xml:space="preserve">Target positives</w:t>
            </w:r>
          </w:p>
        </w:tc>
        <w:tc>
          <w:tcPr>
            <w:tcW w:type="dxa" w:w="1050"/>
          </w:tcPr>
          <w:p>
            <w:pPr>
              <w:pStyle w:val="Compact"/>
              <w:spacing w:line="240" w:lineRule="auto" w:after="20"/>
              <w:jc w:val="right"/>
            </w:pPr>
            <w:r>
              <w:rPr>
                <w:sz w:val="20"/>
              </w:rPr>
              <w:t xml:space="preserve">Thermal AUC</w:t>
            </w:r>
          </w:p>
        </w:tc>
        <w:tc>
          <w:tcPr>
            <w:tcW w:type="dxa" w:w="1146"/>
          </w:tcPr>
          <w:p>
            <w:pPr>
              <w:pStyle w:val="Compact"/>
              <w:spacing w:line="240" w:lineRule="auto" w:after="20"/>
              <w:jc w:val="right"/>
            </w:pPr>
            <w:r>
              <w:rPr>
                <w:sz w:val="20"/>
              </w:rPr>
              <w:t xml:space="preserve">Baseline AUC</w:t>
            </w:r>
          </w:p>
        </w:tc>
      </w:tr>
      <w:tr>
        <w:trPr>
          <w:cantSplit/>
        </w:trPr>
        <w:tc>
          <w:tcPr>
            <w:tcW w:type="dxa" w:w="1719"/>
          </w:tcPr>
          <w:p>
            <w:pPr>
              <w:pStyle w:val="Compact"/>
              <w:spacing w:line="240" w:lineRule="auto" w:after="20"/>
            </w:pPr>
            <w:r>
              <w:rPr>
                <w:sz w:val="20"/>
              </w:rPr>
              <w:t xml:space="preserve">manavgat 2021</w:t>
            </w:r>
          </w:p>
        </w:tc>
        <w:tc>
          <w:tcPr>
            <w:tcW w:type="dxa" w:w="1050"/>
          </w:tcPr>
          <w:p>
            <w:pPr>
              <w:pStyle w:val="Compact"/>
              <w:spacing w:line="240" w:lineRule="auto" w:after="20"/>
            </w:pPr>
            <w:r>
              <w:rPr>
                <w:sz w:val="20"/>
              </w:rPr>
              <w:t xml:space="preserve">east-west</w:t>
            </w:r>
          </w:p>
        </w:tc>
        <w:tc>
          <w:tcPr>
            <w:tcW w:type="dxa" w:w="1050"/>
          </w:tcPr>
          <w:p>
            <w:pPr>
              <w:pStyle w:val="Compact"/>
              <w:spacing w:line="240" w:lineRule="auto" w:after="20"/>
            </w:pPr>
            <w:r>
              <w:rPr>
                <w:sz w:val="20"/>
              </w:rPr>
              <w:t xml:space="preserve">low to high</w:t>
            </w:r>
          </w:p>
        </w:tc>
        <w:tc>
          <w:tcPr>
            <w:tcW w:type="dxa" w:w="1528"/>
          </w:tcPr>
          <w:p>
            <w:pPr>
              <w:pStyle w:val="Compact"/>
              <w:spacing w:line="240" w:lineRule="auto" w:after="20"/>
              <w:jc w:val="right"/>
            </w:pPr>
            <w:r>
              <w:rPr>
                <w:sz w:val="20"/>
              </w:rPr>
              <w:t xml:space="preserve">1,795</w:t>
            </w:r>
          </w:p>
        </w:tc>
        <w:tc>
          <w:tcPr>
            <w:tcW w:type="dxa" w:w="1528"/>
          </w:tcPr>
          <w:p>
            <w:pPr>
              <w:pStyle w:val="Compact"/>
              <w:spacing w:line="240" w:lineRule="auto" w:after="20"/>
              <w:jc w:val="right"/>
            </w:pPr>
            <w:r>
              <w:rPr>
                <w:sz w:val="20"/>
              </w:rPr>
              <w:t xml:space="preserve">1,140</w:t>
            </w:r>
          </w:p>
        </w:tc>
        <w:tc>
          <w:tcPr>
            <w:tcW w:type="dxa" w:w="1050"/>
          </w:tcPr>
          <w:p>
            <w:pPr>
              <w:pStyle w:val="Compact"/>
              <w:spacing w:line="240" w:lineRule="auto" w:after="20"/>
              <w:jc w:val="right"/>
            </w:pPr>
            <w:r>
              <w:rPr>
                <w:sz w:val="20"/>
              </w:rPr>
              <w:t xml:space="preserve">0.761</w:t>
            </w:r>
          </w:p>
        </w:tc>
        <w:tc>
          <w:tcPr>
            <w:tcW w:type="dxa" w:w="1146"/>
          </w:tcPr>
          <w:p>
            <w:pPr>
              <w:pStyle w:val="Compact"/>
              <w:spacing w:line="240" w:lineRule="auto" w:after="20"/>
              <w:jc w:val="right"/>
            </w:pPr>
            <w:r>
              <w:rPr>
                <w:sz w:val="20"/>
              </w:rPr>
              <w:t xml:space="preserve">0.793</w:t>
            </w:r>
          </w:p>
        </w:tc>
      </w:tr>
      <w:tr>
        <w:trPr>
          <w:cantSplit/>
        </w:trPr>
        <w:tc>
          <w:tcPr>
            <w:tcW w:type="dxa" w:w="1719"/>
          </w:tcPr>
          <w:p>
            <w:pPr>
              <w:pStyle w:val="Compact"/>
              <w:spacing w:line="240" w:lineRule="auto" w:after="20"/>
            </w:pPr>
            <w:r>
              <w:rPr>
                <w:sz w:val="20"/>
              </w:rPr>
              <w:t xml:space="preserve">manavgat 2021</w:t>
            </w:r>
          </w:p>
        </w:tc>
        <w:tc>
          <w:tcPr>
            <w:tcW w:type="dxa" w:w="1050"/>
          </w:tcPr>
          <w:p>
            <w:pPr>
              <w:pStyle w:val="Compact"/>
              <w:spacing w:line="240" w:lineRule="auto" w:after="20"/>
            </w:pPr>
            <w:r>
              <w:rPr>
                <w:sz w:val="20"/>
              </w:rPr>
              <w:t xml:space="preserve">east-west</w:t>
            </w:r>
          </w:p>
        </w:tc>
        <w:tc>
          <w:tcPr>
            <w:tcW w:type="dxa" w:w="1050"/>
          </w:tcPr>
          <w:p>
            <w:pPr>
              <w:pStyle w:val="Compact"/>
              <w:spacing w:line="240" w:lineRule="auto" w:after="20"/>
            </w:pPr>
            <w:r>
              <w:rPr>
                <w:sz w:val="20"/>
              </w:rPr>
              <w:t xml:space="preserve">high to low</w:t>
            </w:r>
          </w:p>
        </w:tc>
        <w:tc>
          <w:tcPr>
            <w:tcW w:type="dxa" w:w="1528"/>
          </w:tcPr>
          <w:p>
            <w:pPr>
              <w:pStyle w:val="Compact"/>
              <w:spacing w:line="240" w:lineRule="auto" w:after="20"/>
              <w:jc w:val="right"/>
            </w:pPr>
            <w:r>
              <w:rPr>
                <w:sz w:val="20"/>
              </w:rPr>
              <w:t xml:space="preserve">1,140</w:t>
            </w:r>
          </w:p>
        </w:tc>
        <w:tc>
          <w:tcPr>
            <w:tcW w:type="dxa" w:w="1528"/>
          </w:tcPr>
          <w:p>
            <w:pPr>
              <w:pStyle w:val="Compact"/>
              <w:spacing w:line="240" w:lineRule="auto" w:after="20"/>
              <w:jc w:val="right"/>
            </w:pPr>
            <w:r>
              <w:rPr>
                <w:sz w:val="20"/>
              </w:rPr>
              <w:t xml:space="preserve">1,795</w:t>
            </w:r>
          </w:p>
        </w:tc>
        <w:tc>
          <w:tcPr>
            <w:tcW w:type="dxa" w:w="1050"/>
          </w:tcPr>
          <w:p>
            <w:pPr>
              <w:pStyle w:val="Compact"/>
              <w:spacing w:line="240" w:lineRule="auto" w:after="20"/>
              <w:jc w:val="right"/>
            </w:pPr>
            <w:r>
              <w:rPr>
                <w:sz w:val="20"/>
              </w:rPr>
              <w:t xml:space="preserve">0.712</w:t>
            </w:r>
          </w:p>
        </w:tc>
        <w:tc>
          <w:tcPr>
            <w:tcW w:type="dxa" w:w="1146"/>
          </w:tcPr>
          <w:p>
            <w:pPr>
              <w:pStyle w:val="Compact"/>
              <w:spacing w:line="240" w:lineRule="auto" w:after="20"/>
              <w:jc w:val="right"/>
            </w:pPr>
            <w:r>
              <w:rPr>
                <w:sz w:val="20"/>
              </w:rPr>
              <w:t xml:space="preserve">0.638</w:t>
            </w:r>
          </w:p>
        </w:tc>
      </w:tr>
      <w:tr>
        <w:trPr>
          <w:cantSplit/>
        </w:trPr>
        <w:tc>
          <w:tcPr>
            <w:tcW w:type="dxa" w:w="1719"/>
          </w:tcPr>
          <w:p>
            <w:pPr>
              <w:pStyle w:val="Compact"/>
              <w:spacing w:line="240" w:lineRule="auto" w:after="20"/>
            </w:pPr>
            <w:r>
              <w:rPr>
                <w:sz w:val="20"/>
              </w:rPr>
              <w:t xml:space="preserve">manavgat 2021</w:t>
            </w:r>
          </w:p>
        </w:tc>
        <w:tc>
          <w:tcPr>
            <w:tcW w:type="dxa" w:w="1050"/>
          </w:tcPr>
          <w:p>
            <w:pPr>
              <w:pStyle w:val="Compact"/>
              <w:spacing w:line="240" w:lineRule="auto" w:after="20"/>
            </w:pPr>
            <w:r>
              <w:rPr>
                <w:sz w:val="20"/>
              </w:rPr>
              <w:t xml:space="preserve">north-south</w:t>
            </w:r>
          </w:p>
        </w:tc>
        <w:tc>
          <w:tcPr>
            <w:tcW w:type="dxa" w:w="1050"/>
          </w:tcPr>
          <w:p>
            <w:pPr>
              <w:pStyle w:val="Compact"/>
              <w:spacing w:line="240" w:lineRule="auto" w:after="20"/>
            </w:pPr>
            <w:r>
              <w:rPr>
                <w:sz w:val="20"/>
              </w:rPr>
              <w:t xml:space="preserve">low to high</w:t>
            </w:r>
          </w:p>
        </w:tc>
        <w:tc>
          <w:tcPr>
            <w:tcW w:type="dxa" w:w="1528"/>
          </w:tcPr>
          <w:p>
            <w:pPr>
              <w:pStyle w:val="Compact"/>
              <w:spacing w:line="240" w:lineRule="auto" w:after="20"/>
              <w:jc w:val="right"/>
            </w:pPr>
            <w:r>
              <w:rPr>
                <w:sz w:val="20"/>
              </w:rPr>
              <w:t xml:space="preserve">0</w:t>
            </w:r>
          </w:p>
        </w:tc>
        <w:tc>
          <w:tcPr>
            <w:tcW w:type="dxa" w:w="1528"/>
          </w:tcPr>
          <w:p>
            <w:pPr>
              <w:pStyle w:val="Compact"/>
              <w:spacing w:line="240" w:lineRule="auto" w:after="20"/>
              <w:jc w:val="right"/>
            </w:pPr>
            <w:r>
              <w:rPr>
                <w:sz w:val="20"/>
              </w:rPr>
              <w:t xml:space="preserve">2,935</w:t>
            </w:r>
          </w:p>
        </w:tc>
        <w:tc>
          <w:tcPr>
            <w:tcW w:type="dxa" w:w="1050"/>
          </w:tcPr>
          <w:p>
            <w:pPr>
              <w:pStyle w:val="Compact"/>
              <w:spacing w:line="240" w:lineRule="auto" w:after="20"/>
              <w:jc w:val="right"/>
            </w:pPr>
            <w:r>
              <w:rPr>
                <w:sz w:val="20"/>
              </w:rPr>
              <w:t xml:space="preserve">n/a</w:t>
            </w:r>
          </w:p>
        </w:tc>
        <w:tc>
          <w:tcPr>
            <w:tcW w:type="dxa" w:w="1146"/>
          </w:tcPr>
          <w:p>
            <w:pPr>
              <w:pStyle w:val="Compact"/>
              <w:spacing w:line="240" w:lineRule="auto" w:after="20"/>
              <w:jc w:val="right"/>
            </w:pPr>
            <w:r>
              <w:rPr>
                <w:sz w:val="20"/>
              </w:rPr>
              <w:t xml:space="preserve">n/a</w:t>
            </w:r>
          </w:p>
        </w:tc>
      </w:tr>
      <w:tr>
        <w:trPr>
          <w:cantSplit/>
        </w:trPr>
        <w:tc>
          <w:tcPr>
            <w:tcW w:type="dxa" w:w="1719"/>
          </w:tcPr>
          <w:p>
            <w:pPr>
              <w:pStyle w:val="Compact"/>
              <w:spacing w:line="240" w:lineRule="auto" w:after="20"/>
            </w:pPr>
            <w:r>
              <w:rPr>
                <w:sz w:val="20"/>
              </w:rPr>
              <w:t xml:space="preserve">manavgat 2021</w:t>
            </w:r>
          </w:p>
        </w:tc>
        <w:tc>
          <w:tcPr>
            <w:tcW w:type="dxa" w:w="1050"/>
          </w:tcPr>
          <w:p>
            <w:pPr>
              <w:pStyle w:val="Compact"/>
              <w:spacing w:line="240" w:lineRule="auto" w:after="20"/>
            </w:pPr>
            <w:r>
              <w:rPr>
                <w:sz w:val="20"/>
              </w:rPr>
              <w:t xml:space="preserve">north-south</w:t>
            </w:r>
          </w:p>
        </w:tc>
        <w:tc>
          <w:tcPr>
            <w:tcW w:type="dxa" w:w="1050"/>
          </w:tcPr>
          <w:p>
            <w:pPr>
              <w:pStyle w:val="Compact"/>
              <w:spacing w:line="240" w:lineRule="auto" w:after="20"/>
            </w:pPr>
            <w:r>
              <w:rPr>
                <w:sz w:val="20"/>
              </w:rPr>
              <w:t xml:space="preserve">high to low</w:t>
            </w:r>
          </w:p>
        </w:tc>
        <w:tc>
          <w:tcPr>
            <w:tcW w:type="dxa" w:w="1528"/>
          </w:tcPr>
          <w:p>
            <w:pPr>
              <w:pStyle w:val="Compact"/>
              <w:spacing w:line="240" w:lineRule="auto" w:after="20"/>
              <w:jc w:val="right"/>
            </w:pPr>
            <w:r>
              <w:rPr>
                <w:sz w:val="20"/>
              </w:rPr>
              <w:t xml:space="preserve">2,935</w:t>
            </w:r>
          </w:p>
        </w:tc>
        <w:tc>
          <w:tcPr>
            <w:tcW w:type="dxa" w:w="1528"/>
          </w:tcPr>
          <w:p>
            <w:pPr>
              <w:pStyle w:val="Compact"/>
              <w:spacing w:line="240" w:lineRule="auto" w:after="20"/>
              <w:jc w:val="right"/>
            </w:pPr>
            <w:r>
              <w:rPr>
                <w:sz w:val="20"/>
              </w:rPr>
              <w:t xml:space="preserve">0</w:t>
            </w:r>
          </w:p>
        </w:tc>
        <w:tc>
          <w:tcPr>
            <w:tcW w:type="dxa" w:w="1050"/>
          </w:tcPr>
          <w:p>
            <w:pPr>
              <w:pStyle w:val="Compact"/>
              <w:spacing w:line="240" w:lineRule="auto" w:after="20"/>
              <w:jc w:val="right"/>
            </w:pPr>
            <w:r>
              <w:rPr>
                <w:sz w:val="20"/>
              </w:rPr>
              <w:t xml:space="preserve">n/a</w:t>
            </w:r>
          </w:p>
        </w:tc>
        <w:tc>
          <w:tcPr>
            <w:tcW w:type="dxa" w:w="1146"/>
          </w:tcPr>
          <w:p>
            <w:pPr>
              <w:pStyle w:val="Compact"/>
              <w:spacing w:line="240" w:lineRule="auto" w:after="20"/>
              <w:jc w:val="right"/>
            </w:pPr>
            <w:r>
              <w:rPr>
                <w:sz w:val="20"/>
              </w:rPr>
              <w:t xml:space="preserve">n/a</w:t>
            </w:r>
          </w:p>
        </w:tc>
      </w:tr>
      <w:tr>
        <w:trPr>
          <w:cantSplit/>
        </w:trPr>
        <w:tc>
          <w:tcPr>
            <w:tcW w:type="dxa" w:w="1719"/>
          </w:tcPr>
          <w:p>
            <w:pPr>
              <w:pStyle w:val="Compact"/>
              <w:spacing w:line="240" w:lineRule="auto" w:after="20"/>
            </w:pPr>
            <w:r>
              <w:rPr>
                <w:sz w:val="20"/>
              </w:rPr>
              <w:t xml:space="preserve">bejis 2022</w:t>
            </w:r>
          </w:p>
        </w:tc>
        <w:tc>
          <w:tcPr>
            <w:tcW w:type="dxa" w:w="1050"/>
          </w:tcPr>
          <w:p>
            <w:pPr>
              <w:pStyle w:val="Compact"/>
              <w:spacing w:line="240" w:lineRule="auto" w:after="20"/>
            </w:pPr>
            <w:r>
              <w:rPr>
                <w:sz w:val="20"/>
              </w:rPr>
              <w:t xml:space="preserve">east-west</w:t>
            </w:r>
          </w:p>
        </w:tc>
        <w:tc>
          <w:tcPr>
            <w:tcW w:type="dxa" w:w="1050"/>
          </w:tcPr>
          <w:p>
            <w:pPr>
              <w:pStyle w:val="Compact"/>
              <w:spacing w:line="240" w:lineRule="auto" w:after="20"/>
            </w:pPr>
            <w:r>
              <w:rPr>
                <w:sz w:val="20"/>
              </w:rPr>
              <w:t xml:space="preserve">low to high</w:t>
            </w:r>
          </w:p>
        </w:tc>
        <w:tc>
          <w:tcPr>
            <w:tcW w:type="dxa" w:w="1528"/>
          </w:tcPr>
          <w:p>
            <w:pPr>
              <w:pStyle w:val="Compact"/>
              <w:spacing w:line="240" w:lineRule="auto" w:after="20"/>
              <w:jc w:val="right"/>
            </w:pPr>
            <w:r>
              <w:rPr>
                <w:sz w:val="20"/>
              </w:rPr>
              <w:t xml:space="preserve">640</w:t>
            </w:r>
          </w:p>
        </w:tc>
        <w:tc>
          <w:tcPr>
            <w:tcW w:type="dxa" w:w="1528"/>
          </w:tcPr>
          <w:p>
            <w:pPr>
              <w:pStyle w:val="Compact"/>
              <w:spacing w:line="240" w:lineRule="auto" w:after="20"/>
              <w:jc w:val="right"/>
            </w:pPr>
            <w:r>
              <w:rPr>
                <w:sz w:val="20"/>
              </w:rPr>
              <w:t xml:space="preserve">460</w:t>
            </w:r>
          </w:p>
        </w:tc>
        <w:tc>
          <w:tcPr>
            <w:tcW w:type="dxa" w:w="1050"/>
          </w:tcPr>
          <w:p>
            <w:pPr>
              <w:pStyle w:val="Compact"/>
              <w:spacing w:line="240" w:lineRule="auto" w:after="20"/>
              <w:jc w:val="right"/>
            </w:pPr>
            <w:r>
              <w:rPr>
                <w:sz w:val="20"/>
              </w:rPr>
              <w:t xml:space="preserve">0.750</w:t>
            </w:r>
          </w:p>
        </w:tc>
        <w:tc>
          <w:tcPr>
            <w:tcW w:type="dxa" w:w="1146"/>
          </w:tcPr>
          <w:p>
            <w:pPr>
              <w:pStyle w:val="Compact"/>
              <w:spacing w:line="240" w:lineRule="auto" w:after="20"/>
              <w:jc w:val="right"/>
            </w:pPr>
            <w:r>
              <w:rPr>
                <w:sz w:val="20"/>
              </w:rPr>
              <w:t xml:space="preserve">0.784</w:t>
            </w:r>
          </w:p>
        </w:tc>
      </w:tr>
      <w:tr>
        <w:trPr>
          <w:cantSplit/>
        </w:trPr>
        <w:tc>
          <w:tcPr>
            <w:tcW w:type="dxa" w:w="1719"/>
          </w:tcPr>
          <w:p>
            <w:pPr>
              <w:pStyle w:val="Compact"/>
              <w:spacing w:line="240" w:lineRule="auto" w:after="20"/>
            </w:pPr>
            <w:r>
              <w:rPr>
                <w:sz w:val="20"/>
              </w:rPr>
              <w:t xml:space="preserve">bejis 2022</w:t>
            </w:r>
          </w:p>
        </w:tc>
        <w:tc>
          <w:tcPr>
            <w:tcW w:type="dxa" w:w="1050"/>
          </w:tcPr>
          <w:p>
            <w:pPr>
              <w:pStyle w:val="Compact"/>
              <w:spacing w:line="240" w:lineRule="auto" w:after="20"/>
            </w:pPr>
            <w:r>
              <w:rPr>
                <w:sz w:val="20"/>
              </w:rPr>
              <w:t xml:space="preserve">east-west</w:t>
            </w:r>
          </w:p>
        </w:tc>
        <w:tc>
          <w:tcPr>
            <w:tcW w:type="dxa" w:w="1050"/>
          </w:tcPr>
          <w:p>
            <w:pPr>
              <w:pStyle w:val="Compact"/>
              <w:spacing w:line="240" w:lineRule="auto" w:after="20"/>
            </w:pPr>
            <w:r>
              <w:rPr>
                <w:sz w:val="20"/>
              </w:rPr>
              <w:t xml:space="preserve">high to low</w:t>
            </w:r>
          </w:p>
        </w:tc>
        <w:tc>
          <w:tcPr>
            <w:tcW w:type="dxa" w:w="1528"/>
          </w:tcPr>
          <w:p>
            <w:pPr>
              <w:pStyle w:val="Compact"/>
              <w:spacing w:line="240" w:lineRule="auto" w:after="20"/>
              <w:jc w:val="right"/>
            </w:pPr>
            <w:r>
              <w:rPr>
                <w:sz w:val="20"/>
              </w:rPr>
              <w:t xml:space="preserve">460</w:t>
            </w:r>
          </w:p>
        </w:tc>
        <w:tc>
          <w:tcPr>
            <w:tcW w:type="dxa" w:w="1528"/>
          </w:tcPr>
          <w:p>
            <w:pPr>
              <w:pStyle w:val="Compact"/>
              <w:spacing w:line="240" w:lineRule="auto" w:after="20"/>
              <w:jc w:val="right"/>
            </w:pPr>
            <w:r>
              <w:rPr>
                <w:sz w:val="20"/>
              </w:rPr>
              <w:t xml:space="preserve">640</w:t>
            </w:r>
          </w:p>
        </w:tc>
        <w:tc>
          <w:tcPr>
            <w:tcW w:type="dxa" w:w="1050"/>
          </w:tcPr>
          <w:p>
            <w:pPr>
              <w:pStyle w:val="Compact"/>
              <w:spacing w:line="240" w:lineRule="auto" w:after="20"/>
              <w:jc w:val="right"/>
            </w:pPr>
            <w:r>
              <w:rPr>
                <w:sz w:val="20"/>
              </w:rPr>
              <w:t xml:space="preserve">0.578</w:t>
            </w:r>
          </w:p>
        </w:tc>
        <w:tc>
          <w:tcPr>
            <w:tcW w:type="dxa" w:w="1146"/>
          </w:tcPr>
          <w:p>
            <w:pPr>
              <w:pStyle w:val="Compact"/>
              <w:spacing w:line="240" w:lineRule="auto" w:after="20"/>
              <w:jc w:val="right"/>
            </w:pPr>
            <w:r>
              <w:rPr>
                <w:sz w:val="20"/>
              </w:rPr>
              <w:t xml:space="preserve">0.560</w:t>
            </w:r>
          </w:p>
        </w:tc>
      </w:tr>
      <w:tr>
        <w:trPr>
          <w:cantSplit/>
        </w:trPr>
        <w:tc>
          <w:tcPr>
            <w:tcW w:type="dxa" w:w="1719"/>
          </w:tcPr>
          <w:p>
            <w:pPr>
              <w:pStyle w:val="Compact"/>
              <w:spacing w:line="240" w:lineRule="auto" w:after="20"/>
            </w:pPr>
            <w:r>
              <w:rPr>
                <w:sz w:val="20"/>
              </w:rPr>
              <w:t xml:space="preserve">bejis 2022</w:t>
            </w:r>
          </w:p>
        </w:tc>
        <w:tc>
          <w:tcPr>
            <w:tcW w:type="dxa" w:w="1050"/>
          </w:tcPr>
          <w:p>
            <w:pPr>
              <w:pStyle w:val="Compact"/>
              <w:spacing w:line="240" w:lineRule="auto" w:after="20"/>
            </w:pPr>
            <w:r>
              <w:rPr>
                <w:sz w:val="20"/>
              </w:rPr>
              <w:t xml:space="preserve">north-south</w:t>
            </w:r>
          </w:p>
        </w:tc>
        <w:tc>
          <w:tcPr>
            <w:tcW w:type="dxa" w:w="1050"/>
          </w:tcPr>
          <w:p>
            <w:pPr>
              <w:pStyle w:val="Compact"/>
              <w:spacing w:line="240" w:lineRule="auto" w:after="20"/>
            </w:pPr>
            <w:r>
              <w:rPr>
                <w:sz w:val="20"/>
              </w:rPr>
              <w:t xml:space="preserve">low to high</w:t>
            </w:r>
          </w:p>
        </w:tc>
        <w:tc>
          <w:tcPr>
            <w:tcW w:type="dxa" w:w="1528"/>
          </w:tcPr>
          <w:p>
            <w:pPr>
              <w:pStyle w:val="Compact"/>
              <w:spacing w:line="240" w:lineRule="auto" w:after="20"/>
              <w:jc w:val="right"/>
            </w:pPr>
            <w:r>
              <w:rPr>
                <w:sz w:val="20"/>
              </w:rPr>
              <w:t xml:space="preserve">357</w:t>
            </w:r>
          </w:p>
        </w:tc>
        <w:tc>
          <w:tcPr>
            <w:tcW w:type="dxa" w:w="1528"/>
          </w:tcPr>
          <w:p>
            <w:pPr>
              <w:pStyle w:val="Compact"/>
              <w:spacing w:line="240" w:lineRule="auto" w:after="20"/>
              <w:jc w:val="right"/>
            </w:pPr>
            <w:r>
              <w:rPr>
                <w:sz w:val="20"/>
              </w:rPr>
              <w:t xml:space="preserve">743</w:t>
            </w:r>
          </w:p>
        </w:tc>
        <w:tc>
          <w:tcPr>
            <w:tcW w:type="dxa" w:w="1050"/>
          </w:tcPr>
          <w:p>
            <w:pPr>
              <w:pStyle w:val="Compact"/>
              <w:spacing w:line="240" w:lineRule="auto" w:after="20"/>
              <w:jc w:val="right"/>
            </w:pPr>
            <w:r>
              <w:rPr>
                <w:sz w:val="20"/>
              </w:rPr>
              <w:t xml:space="preserve">0.713</w:t>
            </w:r>
          </w:p>
        </w:tc>
        <w:tc>
          <w:tcPr>
            <w:tcW w:type="dxa" w:w="1146"/>
          </w:tcPr>
          <w:p>
            <w:pPr>
              <w:pStyle w:val="Compact"/>
              <w:spacing w:line="240" w:lineRule="auto" w:after="20"/>
              <w:jc w:val="right"/>
            </w:pPr>
            <w:r>
              <w:rPr>
                <w:sz w:val="20"/>
              </w:rPr>
              <w:t xml:space="preserve">0.662</w:t>
            </w:r>
          </w:p>
        </w:tc>
      </w:tr>
      <w:tr>
        <w:trPr>
          <w:cantSplit/>
        </w:trPr>
        <w:tc>
          <w:tcPr>
            <w:tcW w:type="dxa" w:w="1719"/>
          </w:tcPr>
          <w:p>
            <w:pPr>
              <w:pStyle w:val="Compact"/>
              <w:spacing w:line="240" w:lineRule="auto" w:after="20"/>
            </w:pPr>
            <w:r>
              <w:rPr>
                <w:sz w:val="20"/>
              </w:rPr>
              <w:t xml:space="preserve">bejis 2022</w:t>
            </w:r>
          </w:p>
        </w:tc>
        <w:tc>
          <w:tcPr>
            <w:tcW w:type="dxa" w:w="1050"/>
          </w:tcPr>
          <w:p>
            <w:pPr>
              <w:pStyle w:val="Compact"/>
              <w:spacing w:line="240" w:lineRule="auto" w:after="20"/>
            </w:pPr>
            <w:r>
              <w:rPr>
                <w:sz w:val="20"/>
              </w:rPr>
              <w:t xml:space="preserve">north-south</w:t>
            </w:r>
          </w:p>
        </w:tc>
        <w:tc>
          <w:tcPr>
            <w:tcW w:type="dxa" w:w="1050"/>
          </w:tcPr>
          <w:p>
            <w:pPr>
              <w:pStyle w:val="Compact"/>
              <w:spacing w:line="240" w:lineRule="auto" w:after="20"/>
            </w:pPr>
            <w:r>
              <w:rPr>
                <w:sz w:val="20"/>
              </w:rPr>
              <w:t xml:space="preserve">high to low</w:t>
            </w:r>
          </w:p>
        </w:tc>
        <w:tc>
          <w:tcPr>
            <w:tcW w:type="dxa" w:w="1528"/>
          </w:tcPr>
          <w:p>
            <w:pPr>
              <w:pStyle w:val="Compact"/>
              <w:spacing w:line="240" w:lineRule="auto" w:after="20"/>
              <w:jc w:val="right"/>
            </w:pPr>
            <w:r>
              <w:rPr>
                <w:sz w:val="20"/>
              </w:rPr>
              <w:t xml:space="preserve">743</w:t>
            </w:r>
          </w:p>
        </w:tc>
        <w:tc>
          <w:tcPr>
            <w:tcW w:type="dxa" w:w="1528"/>
          </w:tcPr>
          <w:p>
            <w:pPr>
              <w:pStyle w:val="Compact"/>
              <w:spacing w:line="240" w:lineRule="auto" w:after="20"/>
              <w:jc w:val="right"/>
            </w:pPr>
            <w:r>
              <w:rPr>
                <w:sz w:val="20"/>
              </w:rPr>
              <w:t xml:space="preserve">357</w:t>
            </w:r>
          </w:p>
        </w:tc>
        <w:tc>
          <w:tcPr>
            <w:tcW w:type="dxa" w:w="1050"/>
          </w:tcPr>
          <w:p>
            <w:pPr>
              <w:pStyle w:val="Compact"/>
              <w:spacing w:line="240" w:lineRule="auto" w:after="20"/>
              <w:jc w:val="right"/>
            </w:pPr>
            <w:r>
              <w:rPr>
                <w:sz w:val="20"/>
              </w:rPr>
              <w:t xml:space="preserve">0.603</w:t>
            </w:r>
          </w:p>
        </w:tc>
        <w:tc>
          <w:tcPr>
            <w:tcW w:type="dxa" w:w="1146"/>
          </w:tcPr>
          <w:p>
            <w:pPr>
              <w:pStyle w:val="Compact"/>
              <w:spacing w:line="240" w:lineRule="auto" w:after="20"/>
              <w:jc w:val="right"/>
            </w:pPr>
            <w:r>
              <w:rPr>
                <w:sz w:val="20"/>
              </w:rPr>
              <w:t xml:space="preserve">0.613</w:t>
            </w:r>
          </w:p>
        </w:tc>
      </w:tr>
      <w:tr>
        <w:trPr>
          <w:cantSplit/>
        </w:trPr>
        <w:tc>
          <w:tcPr>
            <w:tcW w:type="dxa" w:w="1719"/>
          </w:tcPr>
          <w:p>
            <w:pPr>
              <w:pStyle w:val="Compact"/>
              <w:spacing w:line="240" w:lineRule="auto" w:after="20"/>
            </w:pPr>
            <w:r>
              <w:rPr>
                <w:sz w:val="20"/>
              </w:rPr>
              <w:t xml:space="preserve">mugla 2021</w:t>
            </w:r>
          </w:p>
        </w:tc>
        <w:tc>
          <w:tcPr>
            <w:tcW w:type="dxa" w:w="1050"/>
          </w:tcPr>
          <w:p>
            <w:pPr>
              <w:pStyle w:val="Compact"/>
              <w:spacing w:line="240" w:lineRule="auto" w:after="20"/>
            </w:pPr>
            <w:r>
              <w:rPr>
                <w:sz w:val="20"/>
              </w:rPr>
              <w:t xml:space="preserve">east-west</w:t>
            </w:r>
          </w:p>
        </w:tc>
        <w:tc>
          <w:tcPr>
            <w:tcW w:type="dxa" w:w="1050"/>
          </w:tcPr>
          <w:p>
            <w:pPr>
              <w:pStyle w:val="Compact"/>
              <w:spacing w:line="240" w:lineRule="auto" w:after="20"/>
            </w:pPr>
            <w:r>
              <w:rPr>
                <w:sz w:val="20"/>
              </w:rPr>
              <w:t xml:space="preserve">low to high</w:t>
            </w:r>
          </w:p>
        </w:tc>
        <w:tc>
          <w:tcPr>
            <w:tcW w:type="dxa" w:w="1528"/>
          </w:tcPr>
          <w:p>
            <w:pPr>
              <w:pStyle w:val="Compact"/>
              <w:spacing w:line="240" w:lineRule="auto" w:after="20"/>
              <w:jc w:val="right"/>
            </w:pPr>
            <w:r>
              <w:rPr>
                <w:sz w:val="20"/>
              </w:rPr>
              <w:t xml:space="preserve">1,449</w:t>
            </w:r>
          </w:p>
        </w:tc>
        <w:tc>
          <w:tcPr>
            <w:tcW w:type="dxa" w:w="1528"/>
          </w:tcPr>
          <w:p>
            <w:pPr>
              <w:pStyle w:val="Compact"/>
              <w:spacing w:line="240" w:lineRule="auto" w:after="20"/>
              <w:jc w:val="right"/>
            </w:pPr>
            <w:r>
              <w:rPr>
                <w:sz w:val="20"/>
              </w:rPr>
              <w:t xml:space="preserve">1,462</w:t>
            </w:r>
          </w:p>
        </w:tc>
        <w:tc>
          <w:tcPr>
            <w:tcW w:type="dxa" w:w="1050"/>
          </w:tcPr>
          <w:p>
            <w:pPr>
              <w:pStyle w:val="Compact"/>
              <w:spacing w:line="240" w:lineRule="auto" w:after="20"/>
              <w:jc w:val="right"/>
            </w:pPr>
            <w:r>
              <w:rPr>
                <w:sz w:val="20"/>
              </w:rPr>
              <w:t xml:space="preserve">0.448</w:t>
            </w:r>
          </w:p>
        </w:tc>
        <w:tc>
          <w:tcPr>
            <w:tcW w:type="dxa" w:w="1146"/>
          </w:tcPr>
          <w:p>
            <w:pPr>
              <w:pStyle w:val="Compact"/>
              <w:spacing w:line="240" w:lineRule="auto" w:after="20"/>
              <w:jc w:val="right"/>
            </w:pPr>
            <w:r>
              <w:rPr>
                <w:sz w:val="20"/>
              </w:rPr>
              <w:t xml:space="preserve">0.378</w:t>
            </w:r>
          </w:p>
        </w:tc>
      </w:tr>
      <w:tr>
        <w:trPr>
          <w:cantSplit/>
        </w:trPr>
        <w:tc>
          <w:tcPr>
            <w:tcW w:type="dxa" w:w="1719"/>
          </w:tcPr>
          <w:p>
            <w:pPr>
              <w:pStyle w:val="Compact"/>
              <w:spacing w:line="240" w:lineRule="auto" w:after="20"/>
            </w:pPr>
            <w:r>
              <w:rPr>
                <w:sz w:val="20"/>
              </w:rPr>
              <w:t xml:space="preserve">mugla 2021</w:t>
            </w:r>
          </w:p>
        </w:tc>
        <w:tc>
          <w:tcPr>
            <w:tcW w:type="dxa" w:w="1050"/>
          </w:tcPr>
          <w:p>
            <w:pPr>
              <w:pStyle w:val="Compact"/>
              <w:spacing w:line="240" w:lineRule="auto" w:after="20"/>
            </w:pPr>
            <w:r>
              <w:rPr>
                <w:sz w:val="20"/>
              </w:rPr>
              <w:t xml:space="preserve">east-west</w:t>
            </w:r>
          </w:p>
        </w:tc>
        <w:tc>
          <w:tcPr>
            <w:tcW w:type="dxa" w:w="1050"/>
          </w:tcPr>
          <w:p>
            <w:pPr>
              <w:pStyle w:val="Compact"/>
              <w:spacing w:line="240" w:lineRule="auto" w:after="20"/>
            </w:pPr>
            <w:r>
              <w:rPr>
                <w:sz w:val="20"/>
              </w:rPr>
              <w:t xml:space="preserve">high to low</w:t>
            </w:r>
          </w:p>
        </w:tc>
        <w:tc>
          <w:tcPr>
            <w:tcW w:type="dxa" w:w="1528"/>
          </w:tcPr>
          <w:p>
            <w:pPr>
              <w:pStyle w:val="Compact"/>
              <w:spacing w:line="240" w:lineRule="auto" w:after="20"/>
              <w:jc w:val="right"/>
            </w:pPr>
            <w:r>
              <w:rPr>
                <w:sz w:val="20"/>
              </w:rPr>
              <w:t xml:space="preserve">1,462</w:t>
            </w:r>
          </w:p>
        </w:tc>
        <w:tc>
          <w:tcPr>
            <w:tcW w:type="dxa" w:w="1528"/>
          </w:tcPr>
          <w:p>
            <w:pPr>
              <w:pStyle w:val="Compact"/>
              <w:spacing w:line="240" w:lineRule="auto" w:after="20"/>
              <w:jc w:val="right"/>
            </w:pPr>
            <w:r>
              <w:rPr>
                <w:sz w:val="20"/>
              </w:rPr>
              <w:t xml:space="preserve">1,449</w:t>
            </w:r>
          </w:p>
        </w:tc>
        <w:tc>
          <w:tcPr>
            <w:tcW w:type="dxa" w:w="1050"/>
          </w:tcPr>
          <w:p>
            <w:pPr>
              <w:pStyle w:val="Compact"/>
              <w:spacing w:line="240" w:lineRule="auto" w:after="20"/>
              <w:jc w:val="right"/>
            </w:pPr>
            <w:r>
              <w:rPr>
                <w:sz w:val="20"/>
              </w:rPr>
              <w:t xml:space="preserve">0.636</w:t>
            </w:r>
          </w:p>
        </w:tc>
        <w:tc>
          <w:tcPr>
            <w:tcW w:type="dxa" w:w="1146"/>
          </w:tcPr>
          <w:p>
            <w:pPr>
              <w:pStyle w:val="Compact"/>
              <w:spacing w:line="240" w:lineRule="auto" w:after="20"/>
              <w:jc w:val="right"/>
            </w:pPr>
            <w:r>
              <w:rPr>
                <w:sz w:val="20"/>
              </w:rPr>
              <w:t xml:space="preserve">0.628</w:t>
            </w:r>
          </w:p>
        </w:tc>
      </w:tr>
      <w:tr>
        <w:trPr>
          <w:cantSplit/>
        </w:trPr>
        <w:tc>
          <w:tcPr>
            <w:tcW w:type="dxa" w:w="1719"/>
          </w:tcPr>
          <w:p>
            <w:pPr>
              <w:pStyle w:val="Compact"/>
              <w:spacing w:line="240" w:lineRule="auto" w:after="20"/>
            </w:pPr>
            <w:r>
              <w:rPr>
                <w:sz w:val="20"/>
              </w:rPr>
              <w:t xml:space="preserve">mugla 2021</w:t>
            </w:r>
          </w:p>
        </w:tc>
        <w:tc>
          <w:tcPr>
            <w:tcW w:type="dxa" w:w="1050"/>
          </w:tcPr>
          <w:p>
            <w:pPr>
              <w:pStyle w:val="Compact"/>
              <w:spacing w:line="240" w:lineRule="auto" w:after="20"/>
            </w:pPr>
            <w:r>
              <w:rPr>
                <w:sz w:val="20"/>
              </w:rPr>
              <w:t xml:space="preserve">north-south</w:t>
            </w:r>
          </w:p>
        </w:tc>
        <w:tc>
          <w:tcPr>
            <w:tcW w:type="dxa" w:w="1050"/>
          </w:tcPr>
          <w:p>
            <w:pPr>
              <w:pStyle w:val="Compact"/>
              <w:spacing w:line="240" w:lineRule="auto" w:after="20"/>
            </w:pPr>
            <w:r>
              <w:rPr>
                <w:sz w:val="20"/>
              </w:rPr>
              <w:t xml:space="preserve">low to high</w:t>
            </w:r>
          </w:p>
        </w:tc>
        <w:tc>
          <w:tcPr>
            <w:tcW w:type="dxa" w:w="1528"/>
          </w:tcPr>
          <w:p>
            <w:pPr>
              <w:pStyle w:val="Compact"/>
              <w:spacing w:line="240" w:lineRule="auto" w:after="20"/>
              <w:jc w:val="right"/>
            </w:pPr>
            <w:r>
              <w:rPr>
                <w:sz w:val="20"/>
              </w:rPr>
              <w:t xml:space="preserve">774</w:t>
            </w:r>
          </w:p>
        </w:tc>
        <w:tc>
          <w:tcPr>
            <w:tcW w:type="dxa" w:w="1528"/>
          </w:tcPr>
          <w:p>
            <w:pPr>
              <w:pStyle w:val="Compact"/>
              <w:spacing w:line="240" w:lineRule="auto" w:after="20"/>
              <w:jc w:val="right"/>
            </w:pPr>
            <w:r>
              <w:rPr>
                <w:sz w:val="20"/>
              </w:rPr>
              <w:t xml:space="preserve">2,137</w:t>
            </w:r>
          </w:p>
        </w:tc>
        <w:tc>
          <w:tcPr>
            <w:tcW w:type="dxa" w:w="1050"/>
          </w:tcPr>
          <w:p>
            <w:pPr>
              <w:pStyle w:val="Compact"/>
              <w:spacing w:line="240" w:lineRule="auto" w:after="20"/>
              <w:jc w:val="right"/>
            </w:pPr>
            <w:r>
              <w:rPr>
                <w:sz w:val="20"/>
              </w:rPr>
              <w:t xml:space="preserve">0.533</w:t>
            </w:r>
          </w:p>
        </w:tc>
        <w:tc>
          <w:tcPr>
            <w:tcW w:type="dxa" w:w="1146"/>
          </w:tcPr>
          <w:p>
            <w:pPr>
              <w:pStyle w:val="Compact"/>
              <w:spacing w:line="240" w:lineRule="auto" w:after="20"/>
              <w:jc w:val="right"/>
            </w:pPr>
            <w:r>
              <w:rPr>
                <w:sz w:val="20"/>
              </w:rPr>
              <w:t xml:space="preserve">0.503</w:t>
            </w:r>
          </w:p>
        </w:tc>
      </w:tr>
      <w:tr>
        <w:trPr>
          <w:cantSplit/>
        </w:trPr>
        <w:tc>
          <w:tcPr>
            <w:tcW w:type="dxa" w:w="1719"/>
          </w:tcPr>
          <w:p>
            <w:pPr>
              <w:pStyle w:val="Compact"/>
              <w:spacing w:line="240" w:lineRule="auto" w:after="20"/>
            </w:pPr>
            <w:r>
              <w:rPr>
                <w:sz w:val="20"/>
              </w:rPr>
              <w:t xml:space="preserve">mugla 2021</w:t>
            </w:r>
          </w:p>
        </w:tc>
        <w:tc>
          <w:tcPr>
            <w:tcW w:type="dxa" w:w="1050"/>
          </w:tcPr>
          <w:p>
            <w:pPr>
              <w:pStyle w:val="Compact"/>
              <w:spacing w:line="240" w:lineRule="auto" w:after="20"/>
            </w:pPr>
            <w:r>
              <w:rPr>
                <w:sz w:val="20"/>
              </w:rPr>
              <w:t xml:space="preserve">north-south</w:t>
            </w:r>
          </w:p>
        </w:tc>
        <w:tc>
          <w:tcPr>
            <w:tcW w:type="dxa" w:w="1050"/>
          </w:tcPr>
          <w:p>
            <w:pPr>
              <w:pStyle w:val="Compact"/>
              <w:spacing w:line="240" w:lineRule="auto" w:after="20"/>
            </w:pPr>
            <w:r>
              <w:rPr>
                <w:sz w:val="20"/>
              </w:rPr>
              <w:t xml:space="preserve">high to low</w:t>
            </w:r>
          </w:p>
        </w:tc>
        <w:tc>
          <w:tcPr>
            <w:tcW w:type="dxa" w:w="1528"/>
          </w:tcPr>
          <w:p>
            <w:pPr>
              <w:pStyle w:val="Compact"/>
              <w:spacing w:line="240" w:lineRule="auto" w:after="20"/>
              <w:jc w:val="right"/>
            </w:pPr>
            <w:r>
              <w:rPr>
                <w:sz w:val="20"/>
              </w:rPr>
              <w:t xml:space="preserve">2,137</w:t>
            </w:r>
          </w:p>
        </w:tc>
        <w:tc>
          <w:tcPr>
            <w:tcW w:type="dxa" w:w="1528"/>
          </w:tcPr>
          <w:p>
            <w:pPr>
              <w:pStyle w:val="Compact"/>
              <w:spacing w:line="240" w:lineRule="auto" w:after="20"/>
              <w:jc w:val="right"/>
            </w:pPr>
            <w:r>
              <w:rPr>
                <w:sz w:val="20"/>
              </w:rPr>
              <w:t xml:space="preserve">774</w:t>
            </w:r>
          </w:p>
        </w:tc>
        <w:tc>
          <w:tcPr>
            <w:tcW w:type="dxa" w:w="1050"/>
          </w:tcPr>
          <w:p>
            <w:pPr>
              <w:pStyle w:val="Compact"/>
              <w:spacing w:line="240" w:lineRule="auto" w:after="20"/>
              <w:jc w:val="right"/>
            </w:pPr>
            <w:r>
              <w:rPr>
                <w:sz w:val="20"/>
              </w:rPr>
              <w:t xml:space="preserve">0.294</w:t>
            </w:r>
          </w:p>
        </w:tc>
        <w:tc>
          <w:tcPr>
            <w:tcW w:type="dxa" w:w="1146"/>
          </w:tcPr>
          <w:p>
            <w:pPr>
              <w:pStyle w:val="Compact"/>
              <w:spacing w:line="240" w:lineRule="auto" w:after="20"/>
              <w:jc w:val="right"/>
            </w:pPr>
            <w:r>
              <w:rPr>
                <w:sz w:val="20"/>
              </w:rPr>
              <w:t xml:space="preserve">0.549</w:t>
            </w:r>
          </w:p>
        </w:tc>
      </w:tr>
      <w:tr>
        <w:trPr>
          <w:cantSplit/>
        </w:trPr>
        <w:tc>
          <w:tcPr>
            <w:tcW w:type="dxa" w:w="1719"/>
          </w:tcPr>
          <w:p>
            <w:pPr>
              <w:pStyle w:val="Compact"/>
              <w:spacing w:line="240" w:lineRule="auto" w:after="20"/>
            </w:pPr>
            <w:r>
              <w:rPr>
                <w:sz w:val="20"/>
              </w:rPr>
              <w:t xml:space="preserve">evia 2021 extended</w:t>
            </w:r>
          </w:p>
        </w:tc>
        <w:tc>
          <w:tcPr>
            <w:tcW w:type="dxa" w:w="1050"/>
          </w:tcPr>
          <w:p>
            <w:pPr>
              <w:pStyle w:val="Compact"/>
              <w:spacing w:line="240" w:lineRule="auto" w:after="20"/>
            </w:pPr>
            <w:r>
              <w:rPr>
                <w:sz w:val="20"/>
              </w:rPr>
              <w:t xml:space="preserve">east-west</w:t>
            </w:r>
          </w:p>
        </w:tc>
        <w:tc>
          <w:tcPr>
            <w:tcW w:type="dxa" w:w="1050"/>
          </w:tcPr>
          <w:p>
            <w:pPr>
              <w:pStyle w:val="Compact"/>
              <w:spacing w:line="240" w:lineRule="auto" w:after="20"/>
            </w:pPr>
            <w:r>
              <w:rPr>
                <w:sz w:val="20"/>
              </w:rPr>
              <w:t xml:space="preserve">low to high</w:t>
            </w:r>
          </w:p>
        </w:tc>
        <w:tc>
          <w:tcPr>
            <w:tcW w:type="dxa" w:w="1528"/>
          </w:tcPr>
          <w:p>
            <w:pPr>
              <w:pStyle w:val="Compact"/>
              <w:spacing w:line="240" w:lineRule="auto" w:after="20"/>
              <w:jc w:val="right"/>
            </w:pPr>
            <w:r>
              <w:rPr>
                <w:sz w:val="20"/>
              </w:rPr>
              <w:t xml:space="preserve">2,052</w:t>
            </w:r>
          </w:p>
        </w:tc>
        <w:tc>
          <w:tcPr>
            <w:tcW w:type="dxa" w:w="1528"/>
          </w:tcPr>
          <w:p>
            <w:pPr>
              <w:pStyle w:val="Compact"/>
              <w:spacing w:line="240" w:lineRule="auto" w:after="20"/>
              <w:jc w:val="right"/>
            </w:pPr>
            <w:r>
              <w:rPr>
                <w:sz w:val="20"/>
              </w:rPr>
              <w:t xml:space="preserve">612</w:t>
            </w:r>
          </w:p>
        </w:tc>
        <w:tc>
          <w:tcPr>
            <w:tcW w:type="dxa" w:w="1050"/>
          </w:tcPr>
          <w:p>
            <w:pPr>
              <w:pStyle w:val="Compact"/>
              <w:spacing w:line="240" w:lineRule="auto" w:after="20"/>
              <w:jc w:val="right"/>
            </w:pPr>
            <w:r>
              <w:rPr>
                <w:sz w:val="20"/>
              </w:rPr>
              <w:t xml:space="preserve">0.589</w:t>
            </w:r>
          </w:p>
        </w:tc>
        <w:tc>
          <w:tcPr>
            <w:tcW w:type="dxa" w:w="1146"/>
          </w:tcPr>
          <w:p>
            <w:pPr>
              <w:pStyle w:val="Compact"/>
              <w:spacing w:line="240" w:lineRule="auto" w:after="20"/>
              <w:jc w:val="right"/>
            </w:pPr>
            <w:r>
              <w:rPr>
                <w:sz w:val="20"/>
              </w:rPr>
              <w:t xml:space="preserve">0.506</w:t>
            </w:r>
          </w:p>
        </w:tc>
      </w:tr>
      <w:tr>
        <w:trPr>
          <w:cantSplit/>
        </w:trPr>
        <w:tc>
          <w:tcPr>
            <w:tcW w:type="dxa" w:w="1719"/>
          </w:tcPr>
          <w:p>
            <w:pPr>
              <w:pStyle w:val="Compact"/>
              <w:spacing w:line="240" w:lineRule="auto" w:after="20"/>
            </w:pPr>
            <w:r>
              <w:rPr>
                <w:sz w:val="20"/>
              </w:rPr>
              <w:t xml:space="preserve">evia 2021 extended</w:t>
            </w:r>
          </w:p>
        </w:tc>
        <w:tc>
          <w:tcPr>
            <w:tcW w:type="dxa" w:w="1050"/>
          </w:tcPr>
          <w:p>
            <w:pPr>
              <w:pStyle w:val="Compact"/>
              <w:spacing w:line="240" w:lineRule="auto" w:after="20"/>
            </w:pPr>
            <w:r>
              <w:rPr>
                <w:sz w:val="20"/>
              </w:rPr>
              <w:t xml:space="preserve">east-west</w:t>
            </w:r>
          </w:p>
        </w:tc>
        <w:tc>
          <w:tcPr>
            <w:tcW w:type="dxa" w:w="1050"/>
          </w:tcPr>
          <w:p>
            <w:pPr>
              <w:pStyle w:val="Compact"/>
              <w:spacing w:line="240" w:lineRule="auto" w:after="20"/>
            </w:pPr>
            <w:r>
              <w:rPr>
                <w:sz w:val="20"/>
              </w:rPr>
              <w:t xml:space="preserve">high to low</w:t>
            </w:r>
          </w:p>
        </w:tc>
        <w:tc>
          <w:tcPr>
            <w:tcW w:type="dxa" w:w="1528"/>
          </w:tcPr>
          <w:p>
            <w:pPr>
              <w:pStyle w:val="Compact"/>
              <w:spacing w:line="240" w:lineRule="auto" w:after="20"/>
              <w:jc w:val="right"/>
            </w:pPr>
            <w:r>
              <w:rPr>
                <w:sz w:val="20"/>
              </w:rPr>
              <w:t xml:space="preserve">612</w:t>
            </w:r>
          </w:p>
        </w:tc>
        <w:tc>
          <w:tcPr>
            <w:tcW w:type="dxa" w:w="1528"/>
          </w:tcPr>
          <w:p>
            <w:pPr>
              <w:pStyle w:val="Compact"/>
              <w:spacing w:line="240" w:lineRule="auto" w:after="20"/>
              <w:jc w:val="right"/>
            </w:pPr>
            <w:r>
              <w:rPr>
                <w:sz w:val="20"/>
              </w:rPr>
              <w:t xml:space="preserve">2,052</w:t>
            </w:r>
          </w:p>
        </w:tc>
        <w:tc>
          <w:tcPr>
            <w:tcW w:type="dxa" w:w="1050"/>
          </w:tcPr>
          <w:p>
            <w:pPr>
              <w:pStyle w:val="Compact"/>
              <w:spacing w:line="240" w:lineRule="auto" w:after="20"/>
              <w:jc w:val="right"/>
            </w:pPr>
            <w:r>
              <w:rPr>
                <w:sz w:val="20"/>
              </w:rPr>
              <w:t xml:space="preserve">0.645</w:t>
            </w:r>
          </w:p>
        </w:tc>
        <w:tc>
          <w:tcPr>
            <w:tcW w:type="dxa" w:w="1146"/>
          </w:tcPr>
          <w:p>
            <w:pPr>
              <w:pStyle w:val="Compact"/>
              <w:spacing w:line="240" w:lineRule="auto" w:after="20"/>
              <w:jc w:val="right"/>
            </w:pPr>
            <w:r>
              <w:rPr>
                <w:sz w:val="20"/>
              </w:rPr>
              <w:t xml:space="preserve">0.482</w:t>
            </w:r>
          </w:p>
        </w:tc>
      </w:tr>
      <w:tr>
        <w:trPr>
          <w:cantSplit/>
        </w:trPr>
        <w:tc>
          <w:tcPr>
            <w:tcW w:type="dxa" w:w="1719"/>
          </w:tcPr>
          <w:p>
            <w:pPr>
              <w:pStyle w:val="Compact"/>
              <w:spacing w:line="240" w:lineRule="auto" w:after="20"/>
            </w:pPr>
            <w:r>
              <w:rPr>
                <w:sz w:val="20"/>
              </w:rPr>
              <w:t xml:space="preserve">evia 2021 extended</w:t>
            </w:r>
          </w:p>
        </w:tc>
        <w:tc>
          <w:tcPr>
            <w:tcW w:type="dxa" w:w="1050"/>
          </w:tcPr>
          <w:p>
            <w:pPr>
              <w:pStyle w:val="Compact"/>
              <w:spacing w:line="240" w:lineRule="auto" w:after="20"/>
            </w:pPr>
            <w:r>
              <w:rPr>
                <w:sz w:val="20"/>
              </w:rPr>
              <w:t xml:space="preserve">north-south</w:t>
            </w:r>
          </w:p>
        </w:tc>
        <w:tc>
          <w:tcPr>
            <w:tcW w:type="dxa" w:w="1050"/>
          </w:tcPr>
          <w:p>
            <w:pPr>
              <w:pStyle w:val="Compact"/>
              <w:spacing w:line="240" w:lineRule="auto" w:after="20"/>
            </w:pPr>
            <w:r>
              <w:rPr>
                <w:sz w:val="20"/>
              </w:rPr>
              <w:t xml:space="preserve">low to high</w:t>
            </w:r>
          </w:p>
        </w:tc>
        <w:tc>
          <w:tcPr>
            <w:tcW w:type="dxa" w:w="1528"/>
          </w:tcPr>
          <w:p>
            <w:pPr>
              <w:pStyle w:val="Compact"/>
              <w:spacing w:line="240" w:lineRule="auto" w:after="20"/>
              <w:jc w:val="right"/>
            </w:pPr>
            <w:r>
              <w:rPr>
                <w:sz w:val="20"/>
              </w:rPr>
              <w:t xml:space="preserve">2,564</w:t>
            </w:r>
          </w:p>
        </w:tc>
        <w:tc>
          <w:tcPr>
            <w:tcW w:type="dxa" w:w="1528"/>
          </w:tcPr>
          <w:p>
            <w:pPr>
              <w:pStyle w:val="Compact"/>
              <w:spacing w:line="240" w:lineRule="auto" w:after="20"/>
              <w:jc w:val="right"/>
            </w:pPr>
            <w:r>
              <w:rPr>
                <w:sz w:val="20"/>
              </w:rPr>
              <w:t xml:space="preserve">100</w:t>
            </w:r>
          </w:p>
        </w:tc>
        <w:tc>
          <w:tcPr>
            <w:tcW w:type="dxa" w:w="1050"/>
          </w:tcPr>
          <w:p>
            <w:pPr>
              <w:pStyle w:val="Compact"/>
              <w:spacing w:line="240" w:lineRule="auto" w:after="20"/>
              <w:jc w:val="right"/>
            </w:pPr>
            <w:r>
              <w:rPr>
                <w:sz w:val="20"/>
              </w:rPr>
              <w:t xml:space="preserve">0.649</w:t>
            </w:r>
          </w:p>
        </w:tc>
        <w:tc>
          <w:tcPr>
            <w:tcW w:type="dxa" w:w="1146"/>
          </w:tcPr>
          <w:p>
            <w:pPr>
              <w:pStyle w:val="Compact"/>
              <w:spacing w:line="240" w:lineRule="auto" w:after="20"/>
              <w:jc w:val="right"/>
            </w:pPr>
            <w:r>
              <w:rPr>
                <w:sz w:val="20"/>
              </w:rPr>
              <w:t xml:space="preserve">0.513</w:t>
            </w:r>
          </w:p>
        </w:tc>
      </w:tr>
      <w:tr>
        <w:trPr>
          <w:cantSplit/>
        </w:trPr>
        <w:tc>
          <w:tcPr>
            <w:tcW w:type="dxa" w:w="1719"/>
          </w:tcPr>
          <w:p>
            <w:pPr>
              <w:pStyle w:val="Compact"/>
              <w:spacing w:line="240" w:lineRule="auto" w:after="20"/>
            </w:pPr>
            <w:r>
              <w:rPr>
                <w:sz w:val="20"/>
              </w:rPr>
              <w:t xml:space="preserve">evia 2021 extended</w:t>
            </w:r>
          </w:p>
        </w:tc>
        <w:tc>
          <w:tcPr>
            <w:tcW w:type="dxa" w:w="1050"/>
          </w:tcPr>
          <w:p>
            <w:pPr>
              <w:pStyle w:val="Compact"/>
              <w:spacing w:line="240" w:lineRule="auto" w:after="20"/>
            </w:pPr>
            <w:r>
              <w:rPr>
                <w:sz w:val="20"/>
              </w:rPr>
              <w:t xml:space="preserve">north-south</w:t>
            </w:r>
          </w:p>
        </w:tc>
        <w:tc>
          <w:tcPr>
            <w:tcW w:type="dxa" w:w="1050"/>
          </w:tcPr>
          <w:p>
            <w:pPr>
              <w:pStyle w:val="Compact"/>
              <w:spacing w:line="240" w:lineRule="auto" w:after="20"/>
            </w:pPr>
            <w:r>
              <w:rPr>
                <w:sz w:val="20"/>
              </w:rPr>
              <w:t xml:space="preserve">high to low</w:t>
            </w:r>
          </w:p>
        </w:tc>
        <w:tc>
          <w:tcPr>
            <w:tcW w:type="dxa" w:w="1528"/>
          </w:tcPr>
          <w:p>
            <w:pPr>
              <w:pStyle w:val="Compact"/>
              <w:spacing w:line="240" w:lineRule="auto" w:after="20"/>
              <w:jc w:val="right"/>
            </w:pPr>
            <w:r>
              <w:rPr>
                <w:sz w:val="20"/>
              </w:rPr>
              <w:t xml:space="preserve">100</w:t>
            </w:r>
          </w:p>
        </w:tc>
        <w:tc>
          <w:tcPr>
            <w:tcW w:type="dxa" w:w="1528"/>
          </w:tcPr>
          <w:p>
            <w:pPr>
              <w:pStyle w:val="Compact"/>
              <w:spacing w:line="240" w:lineRule="auto" w:after="20"/>
              <w:jc w:val="right"/>
            </w:pPr>
            <w:r>
              <w:rPr>
                <w:sz w:val="20"/>
              </w:rPr>
              <w:t xml:space="preserve">2,564</w:t>
            </w:r>
          </w:p>
        </w:tc>
        <w:tc>
          <w:tcPr>
            <w:tcW w:type="dxa" w:w="1050"/>
          </w:tcPr>
          <w:p>
            <w:pPr>
              <w:pStyle w:val="Compact"/>
              <w:spacing w:line="240" w:lineRule="auto" w:after="20"/>
              <w:jc w:val="right"/>
            </w:pPr>
            <w:r>
              <w:rPr>
                <w:sz w:val="20"/>
              </w:rPr>
              <w:t xml:space="preserve">0.533</w:t>
            </w:r>
          </w:p>
        </w:tc>
        <w:tc>
          <w:tcPr>
            <w:tcW w:type="dxa" w:w="1146"/>
          </w:tcPr>
          <w:p>
            <w:pPr>
              <w:pStyle w:val="Compact"/>
              <w:spacing w:line="240" w:lineRule="auto" w:after="20"/>
              <w:jc w:val="right"/>
            </w:pPr>
            <w:r>
              <w:rPr>
                <w:sz w:val="20"/>
              </w:rPr>
              <w:t xml:space="preserve">0.495</w:t>
            </w:r>
          </w:p>
        </w:tc>
      </w:tr>
      <w:tr>
        <w:trPr>
          <w:cantSplit/>
        </w:trPr>
        <w:tc>
          <w:tcPr>
            <w:tcW w:type="dxa" w:w="1719"/>
          </w:tcPr>
          <w:p>
            <w:pPr>
              <w:pStyle w:val="Compact"/>
              <w:spacing w:line="240" w:lineRule="auto" w:after="20"/>
            </w:pPr>
            <w:r>
              <w:rPr>
                <w:sz w:val="20"/>
              </w:rPr>
              <w:t xml:space="preserve">montiferru 2021</w:t>
            </w:r>
          </w:p>
        </w:tc>
        <w:tc>
          <w:tcPr>
            <w:tcW w:type="dxa" w:w="1050"/>
          </w:tcPr>
          <w:p>
            <w:pPr>
              <w:pStyle w:val="Compact"/>
              <w:spacing w:line="240" w:lineRule="auto" w:after="20"/>
            </w:pPr>
            <w:r>
              <w:rPr>
                <w:sz w:val="20"/>
              </w:rPr>
              <w:t xml:space="preserve">east-west</w:t>
            </w:r>
          </w:p>
        </w:tc>
        <w:tc>
          <w:tcPr>
            <w:tcW w:type="dxa" w:w="1050"/>
          </w:tcPr>
          <w:p>
            <w:pPr>
              <w:pStyle w:val="Compact"/>
              <w:spacing w:line="240" w:lineRule="auto" w:after="20"/>
            </w:pPr>
            <w:r>
              <w:rPr>
                <w:sz w:val="20"/>
              </w:rPr>
              <w:t xml:space="preserve">low to high</w:t>
            </w:r>
          </w:p>
        </w:tc>
        <w:tc>
          <w:tcPr>
            <w:tcW w:type="dxa" w:w="1528"/>
          </w:tcPr>
          <w:p>
            <w:pPr>
              <w:pStyle w:val="Compact"/>
              <w:spacing w:line="240" w:lineRule="auto" w:after="20"/>
              <w:jc w:val="right"/>
            </w:pPr>
            <w:r>
              <w:rPr>
                <w:sz w:val="20"/>
              </w:rPr>
              <w:t xml:space="preserve">410</w:t>
            </w:r>
          </w:p>
        </w:tc>
        <w:tc>
          <w:tcPr>
            <w:tcW w:type="dxa" w:w="1528"/>
          </w:tcPr>
          <w:p>
            <w:pPr>
              <w:pStyle w:val="Compact"/>
              <w:spacing w:line="240" w:lineRule="auto" w:after="20"/>
              <w:jc w:val="right"/>
            </w:pPr>
            <w:r>
              <w:rPr>
                <w:sz w:val="20"/>
              </w:rPr>
              <w:t xml:space="preserve">129</w:t>
            </w:r>
          </w:p>
        </w:tc>
        <w:tc>
          <w:tcPr>
            <w:tcW w:type="dxa" w:w="1050"/>
          </w:tcPr>
          <w:p>
            <w:pPr>
              <w:pStyle w:val="Compact"/>
              <w:spacing w:line="240" w:lineRule="auto" w:after="20"/>
              <w:jc w:val="right"/>
            </w:pPr>
            <w:r>
              <w:rPr>
                <w:sz w:val="20"/>
              </w:rPr>
              <w:t xml:space="preserve">0.475</w:t>
            </w:r>
          </w:p>
        </w:tc>
        <w:tc>
          <w:tcPr>
            <w:tcW w:type="dxa" w:w="1146"/>
          </w:tcPr>
          <w:p>
            <w:pPr>
              <w:pStyle w:val="Compact"/>
              <w:spacing w:line="240" w:lineRule="auto" w:after="20"/>
              <w:jc w:val="right"/>
            </w:pPr>
            <w:r>
              <w:rPr>
                <w:sz w:val="20"/>
              </w:rPr>
              <w:t xml:space="preserve">0.461</w:t>
            </w:r>
          </w:p>
        </w:tc>
      </w:tr>
      <w:tr>
        <w:trPr>
          <w:cantSplit/>
        </w:trPr>
        <w:tc>
          <w:tcPr>
            <w:tcW w:type="dxa" w:w="1719"/>
          </w:tcPr>
          <w:p>
            <w:pPr>
              <w:pStyle w:val="Compact"/>
              <w:spacing w:line="240" w:lineRule="auto" w:after="20"/>
            </w:pPr>
            <w:r>
              <w:rPr>
                <w:sz w:val="20"/>
              </w:rPr>
              <w:t xml:space="preserve">montiferru 2021</w:t>
            </w:r>
          </w:p>
        </w:tc>
        <w:tc>
          <w:tcPr>
            <w:tcW w:type="dxa" w:w="1050"/>
          </w:tcPr>
          <w:p>
            <w:pPr>
              <w:pStyle w:val="Compact"/>
              <w:spacing w:line="240" w:lineRule="auto" w:after="20"/>
            </w:pPr>
            <w:r>
              <w:rPr>
                <w:sz w:val="20"/>
              </w:rPr>
              <w:t xml:space="preserve">east-west</w:t>
            </w:r>
          </w:p>
        </w:tc>
        <w:tc>
          <w:tcPr>
            <w:tcW w:type="dxa" w:w="1050"/>
          </w:tcPr>
          <w:p>
            <w:pPr>
              <w:pStyle w:val="Compact"/>
              <w:spacing w:line="240" w:lineRule="auto" w:after="20"/>
            </w:pPr>
            <w:r>
              <w:rPr>
                <w:sz w:val="20"/>
              </w:rPr>
              <w:t xml:space="preserve">high to low</w:t>
            </w:r>
          </w:p>
        </w:tc>
        <w:tc>
          <w:tcPr>
            <w:tcW w:type="dxa" w:w="1528"/>
          </w:tcPr>
          <w:p>
            <w:pPr>
              <w:pStyle w:val="Compact"/>
              <w:spacing w:line="240" w:lineRule="auto" w:after="20"/>
              <w:jc w:val="right"/>
            </w:pPr>
            <w:r>
              <w:rPr>
                <w:sz w:val="20"/>
              </w:rPr>
              <w:t xml:space="preserve">129</w:t>
            </w:r>
          </w:p>
        </w:tc>
        <w:tc>
          <w:tcPr>
            <w:tcW w:type="dxa" w:w="1528"/>
          </w:tcPr>
          <w:p>
            <w:pPr>
              <w:pStyle w:val="Compact"/>
              <w:spacing w:line="240" w:lineRule="auto" w:after="20"/>
              <w:jc w:val="right"/>
            </w:pPr>
            <w:r>
              <w:rPr>
                <w:sz w:val="20"/>
              </w:rPr>
              <w:t xml:space="preserve">410</w:t>
            </w:r>
          </w:p>
        </w:tc>
        <w:tc>
          <w:tcPr>
            <w:tcW w:type="dxa" w:w="1050"/>
          </w:tcPr>
          <w:p>
            <w:pPr>
              <w:pStyle w:val="Compact"/>
              <w:spacing w:line="240" w:lineRule="auto" w:after="20"/>
              <w:jc w:val="right"/>
            </w:pPr>
            <w:r>
              <w:rPr>
                <w:sz w:val="20"/>
              </w:rPr>
              <w:t xml:space="preserve">0.507</w:t>
            </w:r>
          </w:p>
        </w:tc>
        <w:tc>
          <w:tcPr>
            <w:tcW w:type="dxa" w:w="1146"/>
          </w:tcPr>
          <w:p>
            <w:pPr>
              <w:pStyle w:val="Compact"/>
              <w:spacing w:line="240" w:lineRule="auto" w:after="20"/>
              <w:jc w:val="right"/>
            </w:pPr>
            <w:r>
              <w:rPr>
                <w:sz w:val="20"/>
              </w:rPr>
              <w:t xml:space="preserve">0.513</w:t>
            </w:r>
          </w:p>
        </w:tc>
      </w:tr>
      <w:tr>
        <w:trPr>
          <w:cantSplit/>
        </w:trPr>
        <w:tc>
          <w:tcPr>
            <w:tcW w:type="dxa" w:w="1719"/>
          </w:tcPr>
          <w:p>
            <w:pPr>
              <w:pStyle w:val="Compact"/>
              <w:spacing w:line="240" w:lineRule="auto" w:after="20"/>
            </w:pPr>
            <w:r>
              <w:rPr>
                <w:sz w:val="20"/>
              </w:rPr>
              <w:t xml:space="preserve">montiferru 2021</w:t>
            </w:r>
          </w:p>
        </w:tc>
        <w:tc>
          <w:tcPr>
            <w:tcW w:type="dxa" w:w="1050"/>
          </w:tcPr>
          <w:p>
            <w:pPr>
              <w:pStyle w:val="Compact"/>
              <w:spacing w:line="240" w:lineRule="auto" w:after="20"/>
            </w:pPr>
            <w:r>
              <w:rPr>
                <w:sz w:val="20"/>
              </w:rPr>
              <w:t xml:space="preserve">north-south</w:t>
            </w:r>
          </w:p>
        </w:tc>
        <w:tc>
          <w:tcPr>
            <w:tcW w:type="dxa" w:w="1050"/>
          </w:tcPr>
          <w:p>
            <w:pPr>
              <w:pStyle w:val="Compact"/>
              <w:spacing w:line="240" w:lineRule="auto" w:after="20"/>
            </w:pPr>
            <w:r>
              <w:rPr>
                <w:sz w:val="20"/>
              </w:rPr>
              <w:t xml:space="preserve">low to high</w:t>
            </w:r>
          </w:p>
        </w:tc>
        <w:tc>
          <w:tcPr>
            <w:tcW w:type="dxa" w:w="1528"/>
          </w:tcPr>
          <w:p>
            <w:pPr>
              <w:pStyle w:val="Compact"/>
              <w:spacing w:line="240" w:lineRule="auto" w:after="20"/>
              <w:jc w:val="right"/>
            </w:pPr>
            <w:r>
              <w:rPr>
                <w:sz w:val="20"/>
              </w:rPr>
              <w:t xml:space="preserve">438</w:t>
            </w:r>
          </w:p>
        </w:tc>
        <w:tc>
          <w:tcPr>
            <w:tcW w:type="dxa" w:w="1528"/>
          </w:tcPr>
          <w:p>
            <w:pPr>
              <w:pStyle w:val="Compact"/>
              <w:spacing w:line="240" w:lineRule="auto" w:after="20"/>
              <w:jc w:val="right"/>
            </w:pPr>
            <w:r>
              <w:rPr>
                <w:sz w:val="20"/>
              </w:rPr>
              <w:t xml:space="preserve">101</w:t>
            </w:r>
          </w:p>
        </w:tc>
        <w:tc>
          <w:tcPr>
            <w:tcW w:type="dxa" w:w="1050"/>
          </w:tcPr>
          <w:p>
            <w:pPr>
              <w:pStyle w:val="Compact"/>
              <w:spacing w:line="240" w:lineRule="auto" w:after="20"/>
              <w:jc w:val="right"/>
            </w:pPr>
            <w:r>
              <w:rPr>
                <w:sz w:val="20"/>
              </w:rPr>
              <w:t xml:space="preserve">0.583</w:t>
            </w:r>
          </w:p>
        </w:tc>
        <w:tc>
          <w:tcPr>
            <w:tcW w:type="dxa" w:w="1146"/>
          </w:tcPr>
          <w:p>
            <w:pPr>
              <w:pStyle w:val="Compact"/>
              <w:spacing w:line="240" w:lineRule="auto" w:after="20"/>
              <w:jc w:val="right"/>
            </w:pPr>
            <w:r>
              <w:rPr>
                <w:sz w:val="20"/>
              </w:rPr>
              <w:t xml:space="preserve">0.511</w:t>
            </w:r>
          </w:p>
        </w:tc>
      </w:tr>
      <w:tr>
        <w:trPr>
          <w:cantSplit/>
        </w:trPr>
        <w:tc>
          <w:tcPr>
            <w:tcW w:type="dxa" w:w="1719"/>
          </w:tcPr>
          <w:p>
            <w:pPr>
              <w:pStyle w:val="Compact"/>
              <w:spacing w:line="240" w:lineRule="auto" w:after="20"/>
            </w:pPr>
            <w:r>
              <w:rPr>
                <w:sz w:val="20"/>
              </w:rPr>
              <w:t xml:space="preserve">montiferru 2021</w:t>
            </w:r>
          </w:p>
        </w:tc>
        <w:tc>
          <w:tcPr>
            <w:tcW w:type="dxa" w:w="1050"/>
          </w:tcPr>
          <w:p>
            <w:pPr>
              <w:pStyle w:val="Compact"/>
              <w:spacing w:line="240" w:lineRule="auto" w:after="20"/>
            </w:pPr>
            <w:r>
              <w:rPr>
                <w:sz w:val="20"/>
              </w:rPr>
              <w:t xml:space="preserve">north-south</w:t>
            </w:r>
          </w:p>
        </w:tc>
        <w:tc>
          <w:tcPr>
            <w:tcW w:type="dxa" w:w="1050"/>
          </w:tcPr>
          <w:p>
            <w:pPr>
              <w:pStyle w:val="Compact"/>
              <w:spacing w:line="240" w:lineRule="auto" w:after="20"/>
            </w:pPr>
            <w:r>
              <w:rPr>
                <w:sz w:val="20"/>
              </w:rPr>
              <w:t xml:space="preserve">high to low</w:t>
            </w:r>
          </w:p>
        </w:tc>
        <w:tc>
          <w:tcPr>
            <w:tcW w:type="dxa" w:w="1528"/>
          </w:tcPr>
          <w:p>
            <w:pPr>
              <w:pStyle w:val="Compact"/>
              <w:spacing w:line="240" w:lineRule="auto" w:after="20"/>
              <w:jc w:val="right"/>
            </w:pPr>
            <w:r>
              <w:rPr>
                <w:sz w:val="20"/>
              </w:rPr>
              <w:t xml:space="preserve">101</w:t>
            </w:r>
          </w:p>
        </w:tc>
        <w:tc>
          <w:tcPr>
            <w:tcW w:type="dxa" w:w="1528"/>
          </w:tcPr>
          <w:p>
            <w:pPr>
              <w:pStyle w:val="Compact"/>
              <w:spacing w:line="240" w:lineRule="auto" w:after="20"/>
              <w:jc w:val="right"/>
            </w:pPr>
            <w:r>
              <w:rPr>
                <w:sz w:val="20"/>
              </w:rPr>
              <w:t xml:space="preserve">438</w:t>
            </w:r>
          </w:p>
        </w:tc>
        <w:tc>
          <w:tcPr>
            <w:tcW w:type="dxa" w:w="1050"/>
          </w:tcPr>
          <w:p>
            <w:pPr>
              <w:pStyle w:val="Compact"/>
              <w:spacing w:line="240" w:lineRule="auto" w:after="20"/>
              <w:jc w:val="right"/>
            </w:pPr>
            <w:r>
              <w:rPr>
                <w:sz w:val="20"/>
              </w:rPr>
              <w:t xml:space="preserve">0.536</w:t>
            </w:r>
          </w:p>
        </w:tc>
        <w:tc>
          <w:tcPr>
            <w:tcW w:type="dxa" w:w="1146"/>
          </w:tcPr>
          <w:p>
            <w:pPr>
              <w:pStyle w:val="Compact"/>
              <w:spacing w:line="240" w:lineRule="auto" w:after="20"/>
              <w:jc w:val="right"/>
            </w:pPr>
            <w:r>
              <w:rPr>
                <w:sz w:val="20"/>
              </w:rPr>
              <w:t xml:space="preserve">0.447</w:t>
            </w:r>
          </w:p>
        </w:tc>
      </w:tr>
    </w:tbl>
    <w:p>
      <w:pPr>
        <w:pStyle w:val="BodyText"/>
        <w:keepNext/>
      </w:pPr>
      <w:r>
        <w:rPr>
          <w:b/>
          <w:bCs/>
        </w:rPr>
        <w:t xml:space="preserve">Table S3. Leave-one-scar-out at a 2 km buffer, every scar.</w:t>
      </w:r>
      <w:r>
        <w:t xml:space="preserve"> </w:t>
      </w:r>
      <w:r>
        <w:t xml:space="preserve">Only Muğla and Montiferru contain</w:t>
      </w:r>
      <w:r>
        <w:t xml:space="preserve"> </w:t>
      </w:r>
      <w:r>
        <w:t xml:space="preserve">more than one burned area of at least 50 cells. Only in Muğla does every held-out case still leave a</w:t>
      </w:r>
      <w:r>
        <w:t xml:space="preserve"> </w:t>
      </w:r>
      <w:r>
        <w:t xml:space="preserve">well-trained source model. The two Montiferru areas are very unequal, so one case keeps 472 burned</w:t>
      </w:r>
      <w:r>
        <w:t xml:space="preserve"> </w:t>
      </w:r>
      <w:r>
        <w:t xml:space="preserve">source cells and the other 97. The mean is 0.579 for the four Muğla cases and 0.502 for the three</w:t>
      </w:r>
      <w:r>
        <w:t xml:space="preserve"> </w:t>
      </w:r>
      <w:r>
        <w:t xml:space="preserve">others. The pooled mean, 0.546, is row C of Table 2. Source</w:t>
      </w:r>
      <w:r>
        <w:t xml:space="preserve"> </w:t>
      </w:r>
      <w:r>
        <w:rPr>
          <w:rStyle w:val="VerbatimChar"/>
        </w:rPr>
        <w:t xml:space="preserve">paper/labelfix_rerun/code/scar_control.json</w:t>
      </w:r>
      <w:r>
        <w:t xml:space="preserve">; checked row by row by</w:t>
      </w:r>
      <w:r>
        <w:t xml:space="preserve"> </w:t>
      </w:r>
      <w:r>
        <w:rPr>
          <w:rStyle w:val="VerbatimChar"/>
        </w:rPr>
        <w:t xml:space="preserve">paper/code/appendix_tables.py</w:t>
      </w:r>
      <w:r>
        <w:t xml:space="preserve">.</w:t>
      </w:r>
    </w:p>
    <w:tbl>
      <w:tblPr>
        <w:tblStyle w:val="Table"/>
        <w:tblW w:type="auto" w:w="0"/>
        <w:tblLook w:firstRow="1" w:lastRow="0" w:firstColumn="0" w:lastColumn="0" w:noHBand="0" w:noVBand="0" w:val="0020"/>
      </w:tblPr>
      <w:tblGrid>
        <w:gridCol w:w="2016"/>
        <w:gridCol w:w="1008"/>
        <w:gridCol w:w="2351"/>
        <w:gridCol w:w="1792"/>
        <w:gridCol w:w="1344"/>
        <w:gridCol w:w="560"/>
      </w:tblGrid>
      <w:tr>
        <w:trPr>
          <w:tblHeader w:val="on"/>
          <w:cantSplit/>
        </w:trPr>
        <w:tc>
          <w:tcPr>
            <w:tcW w:type="dxa" w:w="2016"/>
          </w:tcPr>
          <w:p>
            <w:pPr>
              <w:pStyle w:val="Compact"/>
              <w:spacing w:line="240" w:lineRule="auto" w:after="20"/>
            </w:pPr>
            <w:r>
              <w:rPr>
                <w:sz w:val="20"/>
              </w:rPr>
              <w:t xml:space="preserve">Region</w:t>
            </w:r>
          </w:p>
        </w:tc>
        <w:tc>
          <w:tcPr>
            <w:tcW w:type="dxa" w:w="1008"/>
          </w:tcPr>
          <w:p>
            <w:pPr>
              <w:pStyle w:val="Compact"/>
              <w:spacing w:line="240" w:lineRule="auto" w:after="20"/>
              <w:jc w:val="right"/>
            </w:pPr>
            <w:r>
              <w:rPr>
                <w:sz w:val="20"/>
              </w:rPr>
              <w:t xml:space="preserve">Component</w:t>
            </w:r>
          </w:p>
        </w:tc>
        <w:tc>
          <w:tcPr>
            <w:tcW w:type="dxa" w:w="2351"/>
          </w:tcPr>
          <w:p>
            <w:pPr>
              <w:pStyle w:val="Compact"/>
              <w:spacing w:line="240" w:lineRule="auto" w:after="20"/>
              <w:jc w:val="right"/>
            </w:pPr>
            <w:r>
              <w:rPr>
                <w:sz w:val="20"/>
              </w:rPr>
              <w:t xml:space="preserve">Source positives left</w:t>
            </w:r>
          </w:p>
        </w:tc>
        <w:tc>
          <w:tcPr>
            <w:tcW w:type="dxa" w:w="1792"/>
          </w:tcPr>
          <w:p>
            <w:pPr>
              <w:pStyle w:val="Compact"/>
              <w:spacing w:line="240" w:lineRule="auto" w:after="20"/>
              <w:jc w:val="right"/>
            </w:pPr>
            <w:r>
              <w:rPr>
                <w:sz w:val="20"/>
              </w:rPr>
              <w:t xml:space="preserve">Target positives</w:t>
            </w:r>
          </w:p>
        </w:tc>
        <w:tc>
          <w:tcPr>
            <w:tcW w:type="dxa" w:w="1344"/>
          </w:tcPr>
          <w:p>
            <w:pPr>
              <w:pStyle w:val="Compact"/>
              <w:spacing w:line="240" w:lineRule="auto" w:after="20"/>
              <w:jc w:val="right"/>
            </w:pPr>
            <w:r>
              <w:rPr>
                <w:sz w:val="20"/>
              </w:rPr>
              <w:t xml:space="preserve">Target cells</w:t>
            </w:r>
          </w:p>
        </w:tc>
        <w:tc>
          <w:tcPr>
            <w:tcW w:type="dxa" w:w="560"/>
          </w:tcPr>
          <w:p>
            <w:pPr>
              <w:pStyle w:val="Compact"/>
              <w:spacing w:line="240" w:lineRule="auto" w:after="20"/>
              <w:jc w:val="right"/>
            </w:pPr>
            <w:r>
              <w:rPr>
                <w:sz w:val="20"/>
              </w:rPr>
              <w:t xml:space="preserve">AUC</w:t>
            </w:r>
          </w:p>
        </w:tc>
      </w:tr>
      <w:tr>
        <w:trPr>
          <w:cantSplit/>
        </w:trPr>
        <w:tc>
          <w:tcPr>
            <w:tcW w:type="dxa" w:w="2016"/>
          </w:tcPr>
          <w:p>
            <w:pPr>
              <w:pStyle w:val="Compact"/>
              <w:spacing w:line="240" w:lineRule="auto" w:after="20"/>
            </w:pPr>
            <w:r>
              <w:rPr>
                <w:sz w:val="20"/>
              </w:rPr>
              <w:t xml:space="preserve">evia 2021 extended</w:t>
            </w:r>
          </w:p>
        </w:tc>
        <w:tc>
          <w:tcPr>
            <w:tcW w:type="dxa" w:w="1008"/>
          </w:tcPr>
          <w:p>
            <w:pPr>
              <w:pStyle w:val="Compact"/>
              <w:spacing w:line="240" w:lineRule="auto" w:after="20"/>
              <w:jc w:val="right"/>
            </w:pPr>
            <w:r>
              <w:rPr>
                <w:sz w:val="20"/>
              </w:rPr>
              <w:t xml:space="preserve">1</w:t>
            </w:r>
          </w:p>
        </w:tc>
        <w:tc>
          <w:tcPr>
            <w:tcW w:type="dxa" w:w="2351"/>
          </w:tcPr>
          <w:p>
            <w:pPr>
              <w:pStyle w:val="Compact"/>
              <w:spacing w:line="240" w:lineRule="auto" w:after="20"/>
              <w:jc w:val="right"/>
            </w:pPr>
            <w:r>
              <w:rPr>
                <w:sz w:val="20"/>
              </w:rPr>
              <w:t xml:space="preserve">11</w:t>
            </w:r>
          </w:p>
        </w:tc>
        <w:tc>
          <w:tcPr>
            <w:tcW w:type="dxa" w:w="1792"/>
          </w:tcPr>
          <w:p>
            <w:pPr>
              <w:pStyle w:val="Compact"/>
              <w:spacing w:line="240" w:lineRule="auto" w:after="20"/>
              <w:jc w:val="right"/>
            </w:pPr>
            <w:r>
              <w:rPr>
                <w:sz w:val="20"/>
              </w:rPr>
              <w:t xml:space="preserve">2,653</w:t>
            </w:r>
          </w:p>
        </w:tc>
        <w:tc>
          <w:tcPr>
            <w:tcW w:type="dxa" w:w="1344"/>
          </w:tcPr>
          <w:p>
            <w:pPr>
              <w:pStyle w:val="Compact"/>
              <w:spacing w:line="240" w:lineRule="auto" w:after="20"/>
              <w:jc w:val="right"/>
            </w:pPr>
            <w:r>
              <w:rPr>
                <w:sz w:val="20"/>
              </w:rPr>
              <w:t xml:space="preserve">3,059</w:t>
            </w:r>
          </w:p>
        </w:tc>
        <w:tc>
          <w:tcPr>
            <w:tcW w:type="dxa" w:w="560"/>
          </w:tcPr>
          <w:p>
            <w:pPr>
              <w:pStyle w:val="Compact"/>
              <w:spacing w:line="240" w:lineRule="auto" w:after="20"/>
              <w:jc w:val="right"/>
            </w:pPr>
            <w:r>
              <w:rPr>
                <w:sz w:val="20"/>
              </w:rPr>
              <w:t xml:space="preserve">0.465</w:t>
            </w:r>
          </w:p>
        </w:tc>
      </w:tr>
      <w:tr>
        <w:trPr>
          <w:cantSplit/>
        </w:trPr>
        <w:tc>
          <w:tcPr>
            <w:tcW w:type="dxa" w:w="2016"/>
          </w:tcPr>
          <w:p>
            <w:pPr>
              <w:pStyle w:val="Compact"/>
              <w:spacing w:line="240" w:lineRule="auto" w:after="20"/>
            </w:pPr>
            <w:r>
              <w:rPr>
                <w:sz w:val="20"/>
              </w:rPr>
              <w:t xml:space="preserve">montiferru 2021</w:t>
            </w:r>
          </w:p>
        </w:tc>
        <w:tc>
          <w:tcPr>
            <w:tcW w:type="dxa" w:w="1008"/>
          </w:tcPr>
          <w:p>
            <w:pPr>
              <w:pStyle w:val="Compact"/>
              <w:spacing w:line="240" w:lineRule="auto" w:after="20"/>
              <w:jc w:val="right"/>
            </w:pPr>
            <w:r>
              <w:rPr>
                <w:sz w:val="20"/>
              </w:rPr>
              <w:t xml:space="preserve">1</w:t>
            </w:r>
          </w:p>
        </w:tc>
        <w:tc>
          <w:tcPr>
            <w:tcW w:type="dxa" w:w="2351"/>
          </w:tcPr>
          <w:p>
            <w:pPr>
              <w:pStyle w:val="Compact"/>
              <w:spacing w:line="240" w:lineRule="auto" w:after="20"/>
              <w:jc w:val="right"/>
            </w:pPr>
            <w:r>
              <w:rPr>
                <w:sz w:val="20"/>
              </w:rPr>
              <w:t xml:space="preserve">97</w:t>
            </w:r>
          </w:p>
        </w:tc>
        <w:tc>
          <w:tcPr>
            <w:tcW w:type="dxa" w:w="1792"/>
          </w:tcPr>
          <w:p>
            <w:pPr>
              <w:pStyle w:val="Compact"/>
              <w:spacing w:line="240" w:lineRule="auto" w:after="20"/>
              <w:jc w:val="right"/>
            </w:pPr>
            <w:r>
              <w:rPr>
                <w:sz w:val="20"/>
              </w:rPr>
              <w:t xml:space="preserve">442</w:t>
            </w:r>
          </w:p>
        </w:tc>
        <w:tc>
          <w:tcPr>
            <w:tcW w:type="dxa" w:w="1344"/>
          </w:tcPr>
          <w:p>
            <w:pPr>
              <w:pStyle w:val="Compact"/>
              <w:spacing w:line="240" w:lineRule="auto" w:after="20"/>
              <w:jc w:val="right"/>
            </w:pPr>
            <w:r>
              <w:rPr>
                <w:sz w:val="20"/>
              </w:rPr>
              <w:t xml:space="preserve">758</w:t>
            </w:r>
          </w:p>
        </w:tc>
        <w:tc>
          <w:tcPr>
            <w:tcW w:type="dxa" w:w="560"/>
          </w:tcPr>
          <w:p>
            <w:pPr>
              <w:pStyle w:val="Compact"/>
              <w:spacing w:line="240" w:lineRule="auto" w:after="20"/>
              <w:jc w:val="right"/>
            </w:pPr>
            <w:r>
              <w:rPr>
                <w:sz w:val="20"/>
              </w:rPr>
              <w:t xml:space="preserve">0.584</w:t>
            </w:r>
          </w:p>
        </w:tc>
      </w:tr>
      <w:tr>
        <w:trPr>
          <w:cantSplit/>
        </w:trPr>
        <w:tc>
          <w:tcPr>
            <w:tcW w:type="dxa" w:w="2016"/>
          </w:tcPr>
          <w:p>
            <w:pPr>
              <w:pStyle w:val="Compact"/>
              <w:spacing w:line="240" w:lineRule="auto" w:after="20"/>
            </w:pPr>
            <w:r>
              <w:rPr>
                <w:sz w:val="20"/>
              </w:rPr>
              <w:t xml:space="preserve">montiferru 2021</w:t>
            </w:r>
          </w:p>
        </w:tc>
        <w:tc>
          <w:tcPr>
            <w:tcW w:type="dxa" w:w="1008"/>
          </w:tcPr>
          <w:p>
            <w:pPr>
              <w:pStyle w:val="Compact"/>
              <w:spacing w:line="240" w:lineRule="auto" w:after="20"/>
              <w:jc w:val="right"/>
            </w:pPr>
            <w:r>
              <w:rPr>
                <w:sz w:val="20"/>
              </w:rPr>
              <w:t xml:space="preserve">5</w:t>
            </w:r>
          </w:p>
        </w:tc>
        <w:tc>
          <w:tcPr>
            <w:tcW w:type="dxa" w:w="2351"/>
          </w:tcPr>
          <w:p>
            <w:pPr>
              <w:pStyle w:val="Compact"/>
              <w:spacing w:line="240" w:lineRule="auto" w:after="20"/>
              <w:jc w:val="right"/>
            </w:pPr>
            <w:r>
              <w:rPr>
                <w:sz w:val="20"/>
              </w:rPr>
              <w:t xml:space="preserve">472</w:t>
            </w:r>
          </w:p>
        </w:tc>
        <w:tc>
          <w:tcPr>
            <w:tcW w:type="dxa" w:w="1792"/>
          </w:tcPr>
          <w:p>
            <w:pPr>
              <w:pStyle w:val="Compact"/>
              <w:spacing w:line="240" w:lineRule="auto" w:after="20"/>
              <w:jc w:val="right"/>
            </w:pPr>
            <w:r>
              <w:rPr>
                <w:sz w:val="20"/>
              </w:rPr>
              <w:t xml:space="preserve">67</w:t>
            </w:r>
          </w:p>
        </w:tc>
        <w:tc>
          <w:tcPr>
            <w:tcW w:type="dxa" w:w="1344"/>
          </w:tcPr>
          <w:p>
            <w:pPr>
              <w:pStyle w:val="Compact"/>
              <w:spacing w:line="240" w:lineRule="auto" w:after="20"/>
              <w:jc w:val="right"/>
            </w:pPr>
            <w:r>
              <w:rPr>
                <w:sz w:val="20"/>
              </w:rPr>
              <w:t xml:space="preserve">195</w:t>
            </w:r>
          </w:p>
        </w:tc>
        <w:tc>
          <w:tcPr>
            <w:tcW w:type="dxa" w:w="560"/>
          </w:tcPr>
          <w:p>
            <w:pPr>
              <w:pStyle w:val="Compact"/>
              <w:spacing w:line="240" w:lineRule="auto" w:after="20"/>
              <w:jc w:val="right"/>
            </w:pPr>
            <w:r>
              <w:rPr>
                <w:sz w:val="20"/>
              </w:rPr>
              <w:t xml:space="preserve">0.458</w:t>
            </w:r>
          </w:p>
        </w:tc>
      </w:tr>
      <w:tr>
        <w:trPr>
          <w:cantSplit/>
        </w:trPr>
        <w:tc>
          <w:tcPr>
            <w:tcW w:type="dxa" w:w="2016"/>
          </w:tcPr>
          <w:p>
            <w:pPr>
              <w:pStyle w:val="Compact"/>
              <w:spacing w:line="240" w:lineRule="auto" w:after="20"/>
            </w:pPr>
            <w:r>
              <w:rPr>
                <w:sz w:val="20"/>
              </w:rPr>
              <w:t xml:space="preserve">mugla 2021</w:t>
            </w:r>
          </w:p>
        </w:tc>
        <w:tc>
          <w:tcPr>
            <w:tcW w:type="dxa" w:w="1008"/>
          </w:tcPr>
          <w:p>
            <w:pPr>
              <w:pStyle w:val="Compact"/>
              <w:spacing w:line="240" w:lineRule="auto" w:after="20"/>
              <w:jc w:val="right"/>
            </w:pPr>
            <w:r>
              <w:rPr>
                <w:sz w:val="20"/>
              </w:rPr>
              <w:t xml:space="preserve">6</w:t>
            </w:r>
          </w:p>
        </w:tc>
        <w:tc>
          <w:tcPr>
            <w:tcW w:type="dxa" w:w="2351"/>
          </w:tcPr>
          <w:p>
            <w:pPr>
              <w:pStyle w:val="Compact"/>
              <w:spacing w:line="240" w:lineRule="auto" w:after="20"/>
              <w:jc w:val="right"/>
            </w:pPr>
            <w:r>
              <w:rPr>
                <w:sz w:val="20"/>
              </w:rPr>
              <w:t xml:space="preserve">1,997</w:t>
            </w:r>
          </w:p>
        </w:tc>
        <w:tc>
          <w:tcPr>
            <w:tcW w:type="dxa" w:w="1792"/>
          </w:tcPr>
          <w:p>
            <w:pPr>
              <w:pStyle w:val="Compact"/>
              <w:spacing w:line="240" w:lineRule="auto" w:after="20"/>
              <w:jc w:val="right"/>
            </w:pPr>
            <w:r>
              <w:rPr>
                <w:sz w:val="20"/>
              </w:rPr>
              <w:t xml:space="preserve">914</w:t>
            </w:r>
          </w:p>
        </w:tc>
        <w:tc>
          <w:tcPr>
            <w:tcW w:type="dxa" w:w="1344"/>
          </w:tcPr>
          <w:p>
            <w:pPr>
              <w:pStyle w:val="Compact"/>
              <w:spacing w:line="240" w:lineRule="auto" w:after="20"/>
              <w:jc w:val="right"/>
            </w:pPr>
            <w:r>
              <w:rPr>
                <w:sz w:val="20"/>
              </w:rPr>
              <w:t xml:space="preserve">1,266</w:t>
            </w:r>
          </w:p>
        </w:tc>
        <w:tc>
          <w:tcPr>
            <w:tcW w:type="dxa" w:w="560"/>
          </w:tcPr>
          <w:p>
            <w:pPr>
              <w:pStyle w:val="Compact"/>
              <w:spacing w:line="240" w:lineRule="auto" w:after="20"/>
              <w:jc w:val="right"/>
            </w:pPr>
            <w:r>
              <w:rPr>
                <w:sz w:val="20"/>
              </w:rPr>
              <w:t xml:space="preserve">0.595</w:t>
            </w:r>
          </w:p>
        </w:tc>
      </w:tr>
      <w:tr>
        <w:trPr>
          <w:cantSplit/>
        </w:trPr>
        <w:tc>
          <w:tcPr>
            <w:tcW w:type="dxa" w:w="2016"/>
          </w:tcPr>
          <w:p>
            <w:pPr>
              <w:pStyle w:val="Compact"/>
              <w:spacing w:line="240" w:lineRule="auto" w:after="20"/>
            </w:pPr>
            <w:r>
              <w:rPr>
                <w:sz w:val="20"/>
              </w:rPr>
              <w:t xml:space="preserve">mugla 2021</w:t>
            </w:r>
          </w:p>
        </w:tc>
        <w:tc>
          <w:tcPr>
            <w:tcW w:type="dxa" w:w="1008"/>
          </w:tcPr>
          <w:p>
            <w:pPr>
              <w:pStyle w:val="Compact"/>
              <w:spacing w:line="240" w:lineRule="auto" w:after="20"/>
              <w:jc w:val="right"/>
            </w:pPr>
            <w:r>
              <w:rPr>
                <w:sz w:val="20"/>
              </w:rPr>
              <w:t xml:space="preserve">1</w:t>
            </w:r>
          </w:p>
        </w:tc>
        <w:tc>
          <w:tcPr>
            <w:tcW w:type="dxa" w:w="2351"/>
          </w:tcPr>
          <w:p>
            <w:pPr>
              <w:pStyle w:val="Compact"/>
              <w:spacing w:line="240" w:lineRule="auto" w:after="20"/>
              <w:jc w:val="right"/>
            </w:pPr>
            <w:r>
              <w:rPr>
                <w:sz w:val="20"/>
              </w:rPr>
              <w:t xml:space="preserve">2,173</w:t>
            </w:r>
          </w:p>
        </w:tc>
        <w:tc>
          <w:tcPr>
            <w:tcW w:type="dxa" w:w="1792"/>
          </w:tcPr>
          <w:p>
            <w:pPr>
              <w:pStyle w:val="Compact"/>
              <w:spacing w:line="240" w:lineRule="auto" w:after="20"/>
              <w:jc w:val="right"/>
            </w:pPr>
            <w:r>
              <w:rPr>
                <w:sz w:val="20"/>
              </w:rPr>
              <w:t xml:space="preserve">738</w:t>
            </w:r>
          </w:p>
        </w:tc>
        <w:tc>
          <w:tcPr>
            <w:tcW w:type="dxa" w:w="1344"/>
          </w:tcPr>
          <w:p>
            <w:pPr>
              <w:pStyle w:val="Compact"/>
              <w:spacing w:line="240" w:lineRule="auto" w:after="20"/>
              <w:jc w:val="right"/>
            </w:pPr>
            <w:r>
              <w:rPr>
                <w:sz w:val="20"/>
              </w:rPr>
              <w:t xml:space="preserve">1,244</w:t>
            </w:r>
          </w:p>
        </w:tc>
        <w:tc>
          <w:tcPr>
            <w:tcW w:type="dxa" w:w="560"/>
          </w:tcPr>
          <w:p>
            <w:pPr>
              <w:pStyle w:val="Compact"/>
              <w:spacing w:line="240" w:lineRule="auto" w:after="20"/>
              <w:jc w:val="right"/>
            </w:pPr>
            <w:r>
              <w:rPr>
                <w:sz w:val="20"/>
              </w:rPr>
              <w:t xml:space="preserve">0.561</w:t>
            </w:r>
          </w:p>
        </w:tc>
      </w:tr>
      <w:tr>
        <w:trPr>
          <w:cantSplit/>
        </w:trPr>
        <w:tc>
          <w:tcPr>
            <w:tcW w:type="dxa" w:w="2016"/>
          </w:tcPr>
          <w:p>
            <w:pPr>
              <w:pStyle w:val="Compact"/>
              <w:spacing w:line="240" w:lineRule="auto" w:after="20"/>
            </w:pPr>
            <w:r>
              <w:rPr>
                <w:sz w:val="20"/>
              </w:rPr>
              <w:t xml:space="preserve">mugla 2021</w:t>
            </w:r>
          </w:p>
        </w:tc>
        <w:tc>
          <w:tcPr>
            <w:tcW w:type="dxa" w:w="1008"/>
          </w:tcPr>
          <w:p>
            <w:pPr>
              <w:pStyle w:val="Compact"/>
              <w:spacing w:line="240" w:lineRule="auto" w:after="20"/>
              <w:jc w:val="right"/>
            </w:pPr>
            <w:r>
              <w:rPr>
                <w:sz w:val="20"/>
              </w:rPr>
              <w:t xml:space="preserve">10</w:t>
            </w:r>
          </w:p>
        </w:tc>
        <w:tc>
          <w:tcPr>
            <w:tcW w:type="dxa" w:w="2351"/>
          </w:tcPr>
          <w:p>
            <w:pPr>
              <w:pStyle w:val="Compact"/>
              <w:spacing w:line="240" w:lineRule="auto" w:after="20"/>
              <w:jc w:val="right"/>
            </w:pPr>
            <w:r>
              <w:rPr>
                <w:sz w:val="20"/>
              </w:rPr>
              <w:t xml:space="preserve">2,272</w:t>
            </w:r>
          </w:p>
        </w:tc>
        <w:tc>
          <w:tcPr>
            <w:tcW w:type="dxa" w:w="1792"/>
          </w:tcPr>
          <w:p>
            <w:pPr>
              <w:pStyle w:val="Compact"/>
              <w:spacing w:line="240" w:lineRule="auto" w:after="20"/>
              <w:jc w:val="right"/>
            </w:pPr>
            <w:r>
              <w:rPr>
                <w:sz w:val="20"/>
              </w:rPr>
              <w:t xml:space="preserve">639</w:t>
            </w:r>
          </w:p>
        </w:tc>
        <w:tc>
          <w:tcPr>
            <w:tcW w:type="dxa" w:w="1344"/>
          </w:tcPr>
          <w:p>
            <w:pPr>
              <w:pStyle w:val="Compact"/>
              <w:spacing w:line="240" w:lineRule="auto" w:after="20"/>
              <w:jc w:val="right"/>
            </w:pPr>
            <w:r>
              <w:rPr>
                <w:sz w:val="20"/>
              </w:rPr>
              <w:t xml:space="preserve">940</w:t>
            </w:r>
          </w:p>
        </w:tc>
        <w:tc>
          <w:tcPr>
            <w:tcW w:type="dxa" w:w="560"/>
          </w:tcPr>
          <w:p>
            <w:pPr>
              <w:pStyle w:val="Compact"/>
              <w:spacing w:line="240" w:lineRule="auto" w:after="20"/>
              <w:jc w:val="right"/>
            </w:pPr>
            <w:r>
              <w:rPr>
                <w:sz w:val="20"/>
              </w:rPr>
              <w:t xml:space="preserve">0.617</w:t>
            </w:r>
          </w:p>
        </w:tc>
      </w:tr>
      <w:tr>
        <w:trPr>
          <w:cantSplit/>
        </w:trPr>
        <w:tc>
          <w:tcPr>
            <w:tcW w:type="dxa" w:w="2016"/>
          </w:tcPr>
          <w:p>
            <w:pPr>
              <w:pStyle w:val="Compact"/>
              <w:spacing w:line="240" w:lineRule="auto" w:after="20"/>
            </w:pPr>
            <w:r>
              <w:rPr>
                <w:sz w:val="20"/>
              </w:rPr>
              <w:t xml:space="preserve">mugla 2021</w:t>
            </w:r>
          </w:p>
        </w:tc>
        <w:tc>
          <w:tcPr>
            <w:tcW w:type="dxa" w:w="1008"/>
          </w:tcPr>
          <w:p>
            <w:pPr>
              <w:pStyle w:val="Compact"/>
              <w:spacing w:line="240" w:lineRule="auto" w:after="20"/>
              <w:jc w:val="right"/>
            </w:pPr>
            <w:r>
              <w:rPr>
                <w:sz w:val="20"/>
              </w:rPr>
              <w:t xml:space="preserve">8</w:t>
            </w:r>
          </w:p>
        </w:tc>
        <w:tc>
          <w:tcPr>
            <w:tcW w:type="dxa" w:w="2351"/>
          </w:tcPr>
          <w:p>
            <w:pPr>
              <w:pStyle w:val="Compact"/>
              <w:spacing w:line="240" w:lineRule="auto" w:after="20"/>
              <w:jc w:val="right"/>
            </w:pPr>
            <w:r>
              <w:rPr>
                <w:sz w:val="20"/>
              </w:rPr>
              <w:t xml:space="preserve">2,363</w:t>
            </w:r>
          </w:p>
        </w:tc>
        <w:tc>
          <w:tcPr>
            <w:tcW w:type="dxa" w:w="1792"/>
          </w:tcPr>
          <w:p>
            <w:pPr>
              <w:pStyle w:val="Compact"/>
              <w:spacing w:line="240" w:lineRule="auto" w:after="20"/>
              <w:jc w:val="right"/>
            </w:pPr>
            <w:r>
              <w:rPr>
                <w:sz w:val="20"/>
              </w:rPr>
              <w:t xml:space="preserve">548</w:t>
            </w:r>
          </w:p>
        </w:tc>
        <w:tc>
          <w:tcPr>
            <w:tcW w:type="dxa" w:w="1344"/>
          </w:tcPr>
          <w:p>
            <w:pPr>
              <w:pStyle w:val="Compact"/>
              <w:spacing w:line="240" w:lineRule="auto" w:after="20"/>
              <w:jc w:val="right"/>
            </w:pPr>
            <w:r>
              <w:rPr>
                <w:sz w:val="20"/>
              </w:rPr>
              <w:t xml:space="preserve">954</w:t>
            </w:r>
          </w:p>
        </w:tc>
        <w:tc>
          <w:tcPr>
            <w:tcW w:type="dxa" w:w="560"/>
          </w:tcPr>
          <w:p>
            <w:pPr>
              <w:pStyle w:val="Compact"/>
              <w:spacing w:line="240" w:lineRule="auto" w:after="20"/>
              <w:jc w:val="right"/>
            </w:pPr>
            <w:r>
              <w:rPr>
                <w:sz w:val="20"/>
              </w:rPr>
              <w:t xml:space="preserve">0.542</w:t>
            </w:r>
          </w:p>
        </w:tc>
      </w:tr>
    </w:tbl>
    <w:p>
      <w:pPr>
        <w:pStyle w:val="BodyText"/>
      </w:pPr>
      <w:r>
        <w:t xml:space="preserve">The evaluation populations of these analyses cannot be compared with each other or with the</w:t>
      </w:r>
      <w:r>
        <w:t xml:space="preserve"> </w:t>
      </w:r>
      <w:r>
        <w:t xml:space="preserve">transfer targets. A held-out scar with its 2 km collar contains only unburned cells next to the fire,</w:t>
      </w:r>
      <w:r>
        <w:t xml:space="preserve"> </w:t>
      </w:r>
      <w:r>
        <w:t xml:space="preserve">while a whole target region also contains easy distant cells. The burned fractions (34 to 87 %,</w:t>
      </w:r>
      <w:r>
        <w:t xml:space="preserve"> </w:t>
      </w:r>
      <w:r>
        <w:t xml:space="preserve">against 7.0 to 28.7 %) are a result of this difference, not its cause.</w:t>
      </w:r>
    </w:p>
    <w:p>
      <w:pPr>
        <w:pStyle w:val="BodyText"/>
        <w:keepNext/>
      </w:pPr>
      <w:r>
        <w:rPr>
          <w:b/>
          <w:bCs/>
        </w:rPr>
        <w:t xml:space="preserve">Table S4. The foreign-region evaluation, by source.</w:t>
      </w:r>
      <w:r>
        <w:t xml:space="preserve"> </w:t>
      </w:r>
      <w:r>
        <w:t xml:space="preserve">Each held-out scar area is scored with a</w:t>
      </w:r>
      <w:r>
        <w:t xml:space="preserve"> </w:t>
      </w:r>
      <w:r>
        <w:t xml:space="preserve">model fitted on each of the other four regions. Row D of Table 2 is the mean over the seven scars</w:t>
      </w:r>
      <w:r>
        <w:t xml:space="preserve"> </w:t>
      </w:r>
      <w:r>
        <w:t xml:space="preserve">that have a row C (28 of the 36 combinations below). Over all nine scars the mean is 0.556. Source</w:t>
      </w:r>
      <w:r>
        <w:t xml:space="preserve"> </w:t>
      </w:r>
      <w:r>
        <w:rPr>
          <w:rStyle w:val="VerbatimChar"/>
        </w:rPr>
        <w:t xml:space="preserve">paper/labelfix_rerun/code/d_per_source.json</w:t>
      </w:r>
      <w:r>
        <w:t xml:space="preserve">; checked row by row by</w:t>
      </w:r>
      <w:r>
        <w:t xml:space="preserve"> </w:t>
      </w:r>
      <w:r>
        <w:rPr>
          <w:rStyle w:val="VerbatimChar"/>
        </w:rPr>
        <w:t xml:space="preserve">paper/code/appendix_tables.py</w:t>
      </w:r>
      <w:r>
        <w:t xml:space="preserve">.</w:t>
      </w:r>
    </w:p>
    <w:tbl>
      <w:tblPr>
        <w:tblStyle w:val="Table"/>
        <w:tblW w:type="auto" w:w="0"/>
        <w:tblLook w:firstRow="1" w:lastRow="0" w:firstColumn="0" w:lastColumn="0" w:noHBand="0" w:noVBand="0" w:val="0020"/>
      </w:tblPr>
      <w:tblGrid>
        <w:gridCol w:w="2616"/>
        <w:gridCol w:w="698"/>
        <w:gridCol w:w="2965"/>
        <w:gridCol w:w="872"/>
        <w:gridCol w:w="872"/>
        <w:gridCol w:w="1047"/>
      </w:tblGrid>
      <w:tr>
        <w:trPr>
          <w:tblHeader w:val="on"/>
          <w:cantSplit/>
        </w:trPr>
        <w:tc>
          <w:tcPr>
            <w:tcW w:type="dxa" w:w="2616"/>
          </w:tcPr>
          <w:p>
            <w:pPr>
              <w:pStyle w:val="Compact"/>
              <w:spacing w:line="240" w:lineRule="auto" w:after="20"/>
            </w:pPr>
            <w:r>
              <w:rPr>
                <w:sz w:val="20"/>
              </w:rPr>
              <w:t xml:space="preserve">Target region</w:t>
            </w:r>
          </w:p>
        </w:tc>
        <w:tc>
          <w:tcPr>
            <w:tcW w:type="dxa" w:w="698"/>
          </w:tcPr>
          <w:p>
            <w:pPr>
              <w:pStyle w:val="Compact"/>
              <w:spacing w:line="240" w:lineRule="auto" w:after="20"/>
              <w:jc w:val="right"/>
            </w:pPr>
            <w:r>
              <w:rPr>
                <w:sz w:val="20"/>
              </w:rPr>
              <w:t xml:space="preserve">Scar</w:t>
            </w:r>
          </w:p>
        </w:tc>
        <w:tc>
          <w:tcPr>
            <w:tcW w:type="dxa" w:w="2965"/>
          </w:tcPr>
          <w:p>
            <w:pPr>
              <w:pStyle w:val="Compact"/>
              <w:spacing w:line="240" w:lineRule="auto" w:after="20"/>
              <w:jc w:val="right"/>
            </w:pPr>
            <w:r>
              <w:rPr>
                <w:sz w:val="20"/>
              </w:rPr>
              <w:t xml:space="preserve">Mean over sources</w:t>
            </w:r>
          </w:p>
        </w:tc>
        <w:tc>
          <w:tcPr>
            <w:tcW w:type="dxa" w:w="872"/>
          </w:tcPr>
          <w:p>
            <w:pPr>
              <w:pStyle w:val="Compact"/>
              <w:spacing w:line="240" w:lineRule="auto" w:after="20"/>
              <w:jc w:val="right"/>
            </w:pPr>
            <w:r>
              <w:rPr>
                <w:sz w:val="20"/>
              </w:rPr>
              <w:t xml:space="preserve">Min</w:t>
            </w:r>
          </w:p>
        </w:tc>
        <w:tc>
          <w:tcPr>
            <w:tcW w:type="dxa" w:w="872"/>
          </w:tcPr>
          <w:p>
            <w:pPr>
              <w:pStyle w:val="Compact"/>
              <w:spacing w:line="240" w:lineRule="auto" w:after="20"/>
              <w:jc w:val="right"/>
            </w:pPr>
            <w:r>
              <w:rPr>
                <w:sz w:val="20"/>
              </w:rPr>
              <w:t xml:space="preserve">Max</w:t>
            </w:r>
          </w:p>
        </w:tc>
        <w:tc>
          <w:tcPr>
            <w:tcW w:type="dxa" w:w="1047"/>
          </w:tcPr>
          <w:p>
            <w:pPr>
              <w:pStyle w:val="Compact"/>
              <w:spacing w:line="240" w:lineRule="auto" w:after="20"/>
              <w:jc w:val="right"/>
            </w:pPr>
            <w:r>
              <w:rPr>
                <w:sz w:val="20"/>
              </w:rPr>
              <w:t xml:space="preserve">Spread</w:t>
            </w:r>
          </w:p>
        </w:tc>
      </w:tr>
      <w:tr>
        <w:trPr>
          <w:cantSplit/>
        </w:trPr>
        <w:tc>
          <w:tcPr>
            <w:tcW w:type="dxa" w:w="2616"/>
          </w:tcPr>
          <w:p>
            <w:pPr>
              <w:pStyle w:val="Compact"/>
              <w:spacing w:line="240" w:lineRule="auto" w:after="20"/>
            </w:pPr>
            <w:r>
              <w:rPr>
                <w:sz w:val="20"/>
              </w:rPr>
              <w:t xml:space="preserve">Bejís 2022</w:t>
            </w:r>
          </w:p>
        </w:tc>
        <w:tc>
          <w:tcPr>
            <w:tcW w:type="dxa" w:w="698"/>
          </w:tcPr>
          <w:p>
            <w:pPr>
              <w:pStyle w:val="Compact"/>
              <w:spacing w:line="240" w:lineRule="auto" w:after="20"/>
              <w:jc w:val="right"/>
            </w:pPr>
            <w:r>
              <w:rPr>
                <w:sz w:val="20"/>
              </w:rPr>
              <w:t xml:space="preserve">1</w:t>
            </w:r>
          </w:p>
        </w:tc>
        <w:tc>
          <w:tcPr>
            <w:tcW w:type="dxa" w:w="2965"/>
          </w:tcPr>
          <w:p>
            <w:pPr>
              <w:pStyle w:val="Compact"/>
              <w:spacing w:line="240" w:lineRule="auto" w:after="20"/>
              <w:jc w:val="right"/>
            </w:pPr>
            <w:r>
              <w:rPr>
                <w:sz w:val="20"/>
              </w:rPr>
              <w:t xml:space="preserve">0.589</w:t>
            </w:r>
          </w:p>
        </w:tc>
        <w:tc>
          <w:tcPr>
            <w:tcW w:type="dxa" w:w="872"/>
          </w:tcPr>
          <w:p>
            <w:pPr>
              <w:pStyle w:val="Compact"/>
              <w:spacing w:line="240" w:lineRule="auto" w:after="20"/>
              <w:jc w:val="right"/>
            </w:pPr>
            <w:r>
              <w:rPr>
                <w:sz w:val="20"/>
              </w:rPr>
              <w:t xml:space="preserve">0.519</w:t>
            </w:r>
          </w:p>
        </w:tc>
        <w:tc>
          <w:tcPr>
            <w:tcW w:type="dxa" w:w="872"/>
          </w:tcPr>
          <w:p>
            <w:pPr>
              <w:pStyle w:val="Compact"/>
              <w:spacing w:line="240" w:lineRule="auto" w:after="20"/>
              <w:jc w:val="right"/>
            </w:pPr>
            <w:r>
              <w:rPr>
                <w:sz w:val="20"/>
              </w:rPr>
              <w:t xml:space="preserve">0.631</w:t>
            </w:r>
          </w:p>
        </w:tc>
        <w:tc>
          <w:tcPr>
            <w:tcW w:type="dxa" w:w="1047"/>
          </w:tcPr>
          <w:p>
            <w:pPr>
              <w:pStyle w:val="Compact"/>
              <w:spacing w:line="240" w:lineRule="auto" w:after="20"/>
              <w:jc w:val="right"/>
            </w:pPr>
            <w:r>
              <w:rPr>
                <w:sz w:val="20"/>
              </w:rPr>
              <w:t xml:space="preserve">0.112</w:t>
            </w:r>
          </w:p>
        </w:tc>
      </w:tr>
      <w:tr>
        <w:trPr>
          <w:cantSplit/>
        </w:trPr>
        <w:tc>
          <w:tcPr>
            <w:tcW w:type="dxa" w:w="2616"/>
          </w:tcPr>
          <w:p>
            <w:pPr>
              <w:pStyle w:val="Compact"/>
              <w:spacing w:line="240" w:lineRule="auto" w:after="20"/>
            </w:pPr>
            <w:r>
              <w:rPr>
                <w:sz w:val="20"/>
              </w:rPr>
              <w:t xml:space="preserve">North Evia 2021</w:t>
            </w:r>
          </w:p>
        </w:tc>
        <w:tc>
          <w:tcPr>
            <w:tcW w:type="dxa" w:w="698"/>
          </w:tcPr>
          <w:p>
            <w:pPr>
              <w:pStyle w:val="Compact"/>
              <w:spacing w:line="240" w:lineRule="auto" w:after="20"/>
              <w:jc w:val="right"/>
            </w:pPr>
            <w:r>
              <w:rPr>
                <w:sz w:val="20"/>
              </w:rPr>
              <w:t xml:space="preserve">1</w:t>
            </w:r>
          </w:p>
        </w:tc>
        <w:tc>
          <w:tcPr>
            <w:tcW w:type="dxa" w:w="2965"/>
          </w:tcPr>
          <w:p>
            <w:pPr>
              <w:pStyle w:val="Compact"/>
              <w:spacing w:line="240" w:lineRule="auto" w:after="20"/>
              <w:jc w:val="right"/>
            </w:pPr>
            <w:r>
              <w:rPr>
                <w:sz w:val="20"/>
              </w:rPr>
              <w:t xml:space="preserve">0.564</w:t>
            </w:r>
          </w:p>
        </w:tc>
        <w:tc>
          <w:tcPr>
            <w:tcW w:type="dxa" w:w="872"/>
          </w:tcPr>
          <w:p>
            <w:pPr>
              <w:pStyle w:val="Compact"/>
              <w:spacing w:line="240" w:lineRule="auto" w:after="20"/>
              <w:jc w:val="right"/>
            </w:pPr>
            <w:r>
              <w:rPr>
                <w:sz w:val="20"/>
              </w:rPr>
              <w:t xml:space="preserve">0.374</w:t>
            </w:r>
          </w:p>
        </w:tc>
        <w:tc>
          <w:tcPr>
            <w:tcW w:type="dxa" w:w="872"/>
          </w:tcPr>
          <w:p>
            <w:pPr>
              <w:pStyle w:val="Compact"/>
              <w:spacing w:line="240" w:lineRule="auto" w:after="20"/>
              <w:jc w:val="right"/>
            </w:pPr>
            <w:r>
              <w:rPr>
                <w:sz w:val="20"/>
              </w:rPr>
              <w:t xml:space="preserve">0.704</w:t>
            </w:r>
          </w:p>
        </w:tc>
        <w:tc>
          <w:tcPr>
            <w:tcW w:type="dxa" w:w="1047"/>
          </w:tcPr>
          <w:p>
            <w:pPr>
              <w:pStyle w:val="Compact"/>
              <w:spacing w:line="240" w:lineRule="auto" w:after="20"/>
              <w:jc w:val="right"/>
            </w:pPr>
            <w:r>
              <w:rPr>
                <w:sz w:val="20"/>
              </w:rPr>
              <w:t xml:space="preserve">0.329</w:t>
            </w:r>
          </w:p>
        </w:tc>
      </w:tr>
      <w:tr>
        <w:trPr>
          <w:cantSplit/>
        </w:trPr>
        <w:tc>
          <w:tcPr>
            <w:tcW w:type="dxa" w:w="2616"/>
          </w:tcPr>
          <w:p>
            <w:pPr>
              <w:pStyle w:val="Compact"/>
              <w:spacing w:line="240" w:lineRule="auto" w:after="20"/>
            </w:pPr>
            <w:r>
              <w:rPr>
                <w:sz w:val="20"/>
              </w:rPr>
              <w:t xml:space="preserve">Manavgat 2021</w:t>
            </w:r>
          </w:p>
        </w:tc>
        <w:tc>
          <w:tcPr>
            <w:tcW w:type="dxa" w:w="698"/>
          </w:tcPr>
          <w:p>
            <w:pPr>
              <w:pStyle w:val="Compact"/>
              <w:spacing w:line="240" w:lineRule="auto" w:after="20"/>
              <w:jc w:val="right"/>
            </w:pPr>
            <w:r>
              <w:rPr>
                <w:sz w:val="20"/>
              </w:rPr>
              <w:t xml:space="preserve">1</w:t>
            </w:r>
          </w:p>
        </w:tc>
        <w:tc>
          <w:tcPr>
            <w:tcW w:type="dxa" w:w="2965"/>
          </w:tcPr>
          <w:p>
            <w:pPr>
              <w:pStyle w:val="Compact"/>
              <w:spacing w:line="240" w:lineRule="auto" w:after="20"/>
              <w:jc w:val="right"/>
            </w:pPr>
            <w:r>
              <w:rPr>
                <w:sz w:val="20"/>
              </w:rPr>
              <w:t xml:space="preserve">0.542</w:t>
            </w:r>
          </w:p>
        </w:tc>
        <w:tc>
          <w:tcPr>
            <w:tcW w:type="dxa" w:w="872"/>
          </w:tcPr>
          <w:p>
            <w:pPr>
              <w:pStyle w:val="Compact"/>
              <w:spacing w:line="240" w:lineRule="auto" w:after="20"/>
              <w:jc w:val="right"/>
            </w:pPr>
            <w:r>
              <w:rPr>
                <w:sz w:val="20"/>
              </w:rPr>
              <w:t xml:space="preserve">0.438</w:t>
            </w:r>
          </w:p>
        </w:tc>
        <w:tc>
          <w:tcPr>
            <w:tcW w:type="dxa" w:w="872"/>
          </w:tcPr>
          <w:p>
            <w:pPr>
              <w:pStyle w:val="Compact"/>
              <w:spacing w:line="240" w:lineRule="auto" w:after="20"/>
              <w:jc w:val="right"/>
            </w:pPr>
            <w:r>
              <w:rPr>
                <w:sz w:val="20"/>
              </w:rPr>
              <w:t xml:space="preserve">0.665</w:t>
            </w:r>
          </w:p>
        </w:tc>
        <w:tc>
          <w:tcPr>
            <w:tcW w:type="dxa" w:w="1047"/>
          </w:tcPr>
          <w:p>
            <w:pPr>
              <w:pStyle w:val="Compact"/>
              <w:spacing w:line="240" w:lineRule="auto" w:after="20"/>
              <w:jc w:val="right"/>
            </w:pPr>
            <w:r>
              <w:rPr>
                <w:sz w:val="20"/>
              </w:rPr>
              <w:t xml:space="preserve">0.227</w:t>
            </w:r>
          </w:p>
        </w:tc>
      </w:tr>
      <w:tr>
        <w:trPr>
          <w:cantSplit/>
        </w:trPr>
        <w:tc>
          <w:tcPr>
            <w:tcW w:type="dxa" w:w="2616"/>
          </w:tcPr>
          <w:p>
            <w:pPr>
              <w:pStyle w:val="Compact"/>
              <w:spacing w:line="240" w:lineRule="auto" w:after="20"/>
            </w:pPr>
            <w:r>
              <w:rPr>
                <w:sz w:val="20"/>
              </w:rPr>
              <w:t xml:space="preserve">Montiferru 2021</w:t>
            </w:r>
          </w:p>
        </w:tc>
        <w:tc>
          <w:tcPr>
            <w:tcW w:type="dxa" w:w="698"/>
          </w:tcPr>
          <w:p>
            <w:pPr>
              <w:pStyle w:val="Compact"/>
              <w:spacing w:line="240" w:lineRule="auto" w:after="20"/>
              <w:jc w:val="right"/>
            </w:pPr>
            <w:r>
              <w:rPr>
                <w:sz w:val="20"/>
              </w:rPr>
              <w:t xml:space="preserve">1</w:t>
            </w:r>
          </w:p>
        </w:tc>
        <w:tc>
          <w:tcPr>
            <w:tcW w:type="dxa" w:w="2965"/>
          </w:tcPr>
          <w:p>
            <w:pPr>
              <w:pStyle w:val="Compact"/>
              <w:spacing w:line="240" w:lineRule="auto" w:after="20"/>
              <w:jc w:val="right"/>
            </w:pPr>
            <w:r>
              <w:rPr>
                <w:sz w:val="20"/>
              </w:rPr>
              <w:t xml:space="preserve">0.489</w:t>
            </w:r>
          </w:p>
        </w:tc>
        <w:tc>
          <w:tcPr>
            <w:tcW w:type="dxa" w:w="872"/>
          </w:tcPr>
          <w:p>
            <w:pPr>
              <w:pStyle w:val="Compact"/>
              <w:spacing w:line="240" w:lineRule="auto" w:after="20"/>
              <w:jc w:val="right"/>
            </w:pPr>
            <w:r>
              <w:rPr>
                <w:sz w:val="20"/>
              </w:rPr>
              <w:t xml:space="preserve">0.457</w:t>
            </w:r>
          </w:p>
        </w:tc>
        <w:tc>
          <w:tcPr>
            <w:tcW w:type="dxa" w:w="872"/>
          </w:tcPr>
          <w:p>
            <w:pPr>
              <w:pStyle w:val="Compact"/>
              <w:spacing w:line="240" w:lineRule="auto" w:after="20"/>
              <w:jc w:val="right"/>
            </w:pPr>
            <w:r>
              <w:rPr>
                <w:sz w:val="20"/>
              </w:rPr>
              <w:t xml:space="preserve">0.513</w:t>
            </w:r>
          </w:p>
        </w:tc>
        <w:tc>
          <w:tcPr>
            <w:tcW w:type="dxa" w:w="1047"/>
          </w:tcPr>
          <w:p>
            <w:pPr>
              <w:pStyle w:val="Compact"/>
              <w:spacing w:line="240" w:lineRule="auto" w:after="20"/>
              <w:jc w:val="right"/>
            </w:pPr>
            <w:r>
              <w:rPr>
                <w:sz w:val="20"/>
              </w:rPr>
              <w:t xml:space="preserve">0.056</w:t>
            </w:r>
          </w:p>
        </w:tc>
      </w:tr>
      <w:tr>
        <w:trPr>
          <w:cantSplit/>
        </w:trPr>
        <w:tc>
          <w:tcPr>
            <w:tcW w:type="dxa" w:w="2616"/>
          </w:tcPr>
          <w:p>
            <w:pPr>
              <w:pStyle w:val="Compact"/>
              <w:spacing w:line="240" w:lineRule="auto" w:after="20"/>
            </w:pPr>
            <w:r>
              <w:rPr>
                <w:sz w:val="20"/>
              </w:rPr>
              <w:t xml:space="preserve">Montiferru 2021</w:t>
            </w:r>
          </w:p>
        </w:tc>
        <w:tc>
          <w:tcPr>
            <w:tcW w:type="dxa" w:w="698"/>
          </w:tcPr>
          <w:p>
            <w:pPr>
              <w:pStyle w:val="Compact"/>
              <w:spacing w:line="240" w:lineRule="auto" w:after="20"/>
              <w:jc w:val="right"/>
            </w:pPr>
            <w:r>
              <w:rPr>
                <w:sz w:val="20"/>
              </w:rPr>
              <w:t xml:space="preserve">5</w:t>
            </w:r>
          </w:p>
        </w:tc>
        <w:tc>
          <w:tcPr>
            <w:tcW w:type="dxa" w:w="2965"/>
          </w:tcPr>
          <w:p>
            <w:pPr>
              <w:pStyle w:val="Compact"/>
              <w:spacing w:line="240" w:lineRule="auto" w:after="20"/>
              <w:jc w:val="right"/>
            </w:pPr>
            <w:r>
              <w:rPr>
                <w:sz w:val="20"/>
              </w:rPr>
              <w:t xml:space="preserve">0.475</w:t>
            </w:r>
          </w:p>
        </w:tc>
        <w:tc>
          <w:tcPr>
            <w:tcW w:type="dxa" w:w="872"/>
          </w:tcPr>
          <w:p>
            <w:pPr>
              <w:pStyle w:val="Compact"/>
              <w:spacing w:line="240" w:lineRule="auto" w:after="20"/>
              <w:jc w:val="right"/>
            </w:pPr>
            <w:r>
              <w:rPr>
                <w:sz w:val="20"/>
              </w:rPr>
              <w:t xml:space="preserve">0.399</w:t>
            </w:r>
          </w:p>
        </w:tc>
        <w:tc>
          <w:tcPr>
            <w:tcW w:type="dxa" w:w="872"/>
          </w:tcPr>
          <w:p>
            <w:pPr>
              <w:pStyle w:val="Compact"/>
              <w:spacing w:line="240" w:lineRule="auto" w:after="20"/>
              <w:jc w:val="right"/>
            </w:pPr>
            <w:r>
              <w:rPr>
                <w:sz w:val="20"/>
              </w:rPr>
              <w:t xml:space="preserve">0.597</w:t>
            </w:r>
          </w:p>
        </w:tc>
        <w:tc>
          <w:tcPr>
            <w:tcW w:type="dxa" w:w="1047"/>
          </w:tcPr>
          <w:p>
            <w:pPr>
              <w:pStyle w:val="Compact"/>
              <w:spacing w:line="240" w:lineRule="auto" w:after="20"/>
              <w:jc w:val="right"/>
            </w:pPr>
            <w:r>
              <w:rPr>
                <w:sz w:val="20"/>
              </w:rPr>
              <w:t xml:space="preserve">0.197</w:t>
            </w:r>
          </w:p>
        </w:tc>
      </w:tr>
      <w:tr>
        <w:trPr>
          <w:cantSplit/>
        </w:trPr>
        <w:tc>
          <w:tcPr>
            <w:tcW w:type="dxa" w:w="2616"/>
          </w:tcPr>
          <w:p>
            <w:pPr>
              <w:pStyle w:val="Compact"/>
              <w:spacing w:line="240" w:lineRule="auto" w:after="20"/>
            </w:pPr>
            <w:r>
              <w:rPr>
                <w:sz w:val="20"/>
              </w:rPr>
              <w:t xml:space="preserve">Muğla 2021</w:t>
            </w:r>
          </w:p>
        </w:tc>
        <w:tc>
          <w:tcPr>
            <w:tcW w:type="dxa" w:w="698"/>
          </w:tcPr>
          <w:p>
            <w:pPr>
              <w:pStyle w:val="Compact"/>
              <w:spacing w:line="240" w:lineRule="auto" w:after="20"/>
              <w:jc w:val="right"/>
            </w:pPr>
            <w:r>
              <w:rPr>
                <w:sz w:val="20"/>
              </w:rPr>
              <w:t xml:space="preserve">1</w:t>
            </w:r>
          </w:p>
        </w:tc>
        <w:tc>
          <w:tcPr>
            <w:tcW w:type="dxa" w:w="2965"/>
          </w:tcPr>
          <w:p>
            <w:pPr>
              <w:pStyle w:val="Compact"/>
              <w:spacing w:line="240" w:lineRule="auto" w:after="20"/>
              <w:jc w:val="right"/>
            </w:pPr>
            <w:r>
              <w:rPr>
                <w:sz w:val="20"/>
              </w:rPr>
              <w:t xml:space="preserve">0.514</w:t>
            </w:r>
          </w:p>
        </w:tc>
        <w:tc>
          <w:tcPr>
            <w:tcW w:type="dxa" w:w="872"/>
          </w:tcPr>
          <w:p>
            <w:pPr>
              <w:pStyle w:val="Compact"/>
              <w:spacing w:line="240" w:lineRule="auto" w:after="20"/>
              <w:jc w:val="right"/>
            </w:pPr>
            <w:r>
              <w:rPr>
                <w:sz w:val="20"/>
              </w:rPr>
              <w:t xml:space="preserve">0.410</w:t>
            </w:r>
          </w:p>
        </w:tc>
        <w:tc>
          <w:tcPr>
            <w:tcW w:type="dxa" w:w="872"/>
          </w:tcPr>
          <w:p>
            <w:pPr>
              <w:pStyle w:val="Compact"/>
              <w:spacing w:line="240" w:lineRule="auto" w:after="20"/>
              <w:jc w:val="right"/>
            </w:pPr>
            <w:r>
              <w:rPr>
                <w:sz w:val="20"/>
              </w:rPr>
              <w:t xml:space="preserve">0.608</w:t>
            </w:r>
          </w:p>
        </w:tc>
        <w:tc>
          <w:tcPr>
            <w:tcW w:type="dxa" w:w="1047"/>
          </w:tcPr>
          <w:p>
            <w:pPr>
              <w:pStyle w:val="Compact"/>
              <w:spacing w:line="240" w:lineRule="auto" w:after="20"/>
              <w:jc w:val="right"/>
            </w:pPr>
            <w:r>
              <w:rPr>
                <w:sz w:val="20"/>
              </w:rPr>
              <w:t xml:space="preserve">0.198</w:t>
            </w:r>
          </w:p>
        </w:tc>
      </w:tr>
      <w:tr>
        <w:trPr>
          <w:cantSplit/>
        </w:trPr>
        <w:tc>
          <w:tcPr>
            <w:tcW w:type="dxa" w:w="2616"/>
          </w:tcPr>
          <w:p>
            <w:pPr>
              <w:pStyle w:val="Compact"/>
              <w:spacing w:line="240" w:lineRule="auto" w:after="20"/>
            </w:pPr>
            <w:r>
              <w:rPr>
                <w:sz w:val="20"/>
              </w:rPr>
              <w:t xml:space="preserve">Muğla 2021</w:t>
            </w:r>
          </w:p>
        </w:tc>
        <w:tc>
          <w:tcPr>
            <w:tcW w:type="dxa" w:w="698"/>
          </w:tcPr>
          <w:p>
            <w:pPr>
              <w:pStyle w:val="Compact"/>
              <w:spacing w:line="240" w:lineRule="auto" w:after="20"/>
              <w:jc w:val="right"/>
            </w:pPr>
            <w:r>
              <w:rPr>
                <w:sz w:val="20"/>
              </w:rPr>
              <w:t xml:space="preserve">6</w:t>
            </w:r>
          </w:p>
        </w:tc>
        <w:tc>
          <w:tcPr>
            <w:tcW w:type="dxa" w:w="2965"/>
          </w:tcPr>
          <w:p>
            <w:pPr>
              <w:pStyle w:val="Compact"/>
              <w:spacing w:line="240" w:lineRule="auto" w:after="20"/>
              <w:jc w:val="right"/>
            </w:pPr>
            <w:r>
              <w:rPr>
                <w:sz w:val="20"/>
              </w:rPr>
              <w:t xml:space="preserve">0.571</w:t>
            </w:r>
          </w:p>
        </w:tc>
        <w:tc>
          <w:tcPr>
            <w:tcW w:type="dxa" w:w="872"/>
          </w:tcPr>
          <w:p>
            <w:pPr>
              <w:pStyle w:val="Compact"/>
              <w:spacing w:line="240" w:lineRule="auto" w:after="20"/>
              <w:jc w:val="right"/>
            </w:pPr>
            <w:r>
              <w:rPr>
                <w:sz w:val="20"/>
              </w:rPr>
              <w:t xml:space="preserve">0.545</w:t>
            </w:r>
          </w:p>
        </w:tc>
        <w:tc>
          <w:tcPr>
            <w:tcW w:type="dxa" w:w="872"/>
          </w:tcPr>
          <w:p>
            <w:pPr>
              <w:pStyle w:val="Compact"/>
              <w:spacing w:line="240" w:lineRule="auto" w:after="20"/>
              <w:jc w:val="right"/>
            </w:pPr>
            <w:r>
              <w:rPr>
                <w:sz w:val="20"/>
              </w:rPr>
              <w:t xml:space="preserve">0.597</w:t>
            </w:r>
          </w:p>
        </w:tc>
        <w:tc>
          <w:tcPr>
            <w:tcW w:type="dxa" w:w="1047"/>
          </w:tcPr>
          <w:p>
            <w:pPr>
              <w:pStyle w:val="Compact"/>
              <w:spacing w:line="240" w:lineRule="auto" w:after="20"/>
              <w:jc w:val="right"/>
            </w:pPr>
            <w:r>
              <w:rPr>
                <w:sz w:val="20"/>
              </w:rPr>
              <w:t xml:space="preserve">0.052</w:t>
            </w:r>
          </w:p>
        </w:tc>
      </w:tr>
      <w:tr>
        <w:trPr>
          <w:cantSplit/>
        </w:trPr>
        <w:tc>
          <w:tcPr>
            <w:tcW w:type="dxa" w:w="2616"/>
          </w:tcPr>
          <w:p>
            <w:pPr>
              <w:pStyle w:val="Compact"/>
              <w:spacing w:line="240" w:lineRule="auto" w:after="20"/>
            </w:pPr>
            <w:r>
              <w:rPr>
                <w:sz w:val="20"/>
              </w:rPr>
              <w:t xml:space="preserve">Muğla 2021</w:t>
            </w:r>
          </w:p>
        </w:tc>
        <w:tc>
          <w:tcPr>
            <w:tcW w:type="dxa" w:w="698"/>
          </w:tcPr>
          <w:p>
            <w:pPr>
              <w:pStyle w:val="Compact"/>
              <w:spacing w:line="240" w:lineRule="auto" w:after="20"/>
              <w:jc w:val="right"/>
            </w:pPr>
            <w:r>
              <w:rPr>
                <w:sz w:val="20"/>
              </w:rPr>
              <w:t xml:space="preserve">8</w:t>
            </w:r>
          </w:p>
        </w:tc>
        <w:tc>
          <w:tcPr>
            <w:tcW w:type="dxa" w:w="2965"/>
          </w:tcPr>
          <w:p>
            <w:pPr>
              <w:pStyle w:val="Compact"/>
              <w:spacing w:line="240" w:lineRule="auto" w:after="20"/>
              <w:jc w:val="right"/>
            </w:pPr>
            <w:r>
              <w:rPr>
                <w:sz w:val="20"/>
              </w:rPr>
              <w:t xml:space="preserve">0.623</w:t>
            </w:r>
          </w:p>
        </w:tc>
        <w:tc>
          <w:tcPr>
            <w:tcW w:type="dxa" w:w="872"/>
          </w:tcPr>
          <w:p>
            <w:pPr>
              <w:pStyle w:val="Compact"/>
              <w:spacing w:line="240" w:lineRule="auto" w:after="20"/>
              <w:jc w:val="right"/>
            </w:pPr>
            <w:r>
              <w:rPr>
                <w:sz w:val="20"/>
              </w:rPr>
              <w:t xml:space="preserve">0.533</w:t>
            </w:r>
          </w:p>
        </w:tc>
        <w:tc>
          <w:tcPr>
            <w:tcW w:type="dxa" w:w="872"/>
          </w:tcPr>
          <w:p>
            <w:pPr>
              <w:pStyle w:val="Compact"/>
              <w:spacing w:line="240" w:lineRule="auto" w:after="20"/>
              <w:jc w:val="right"/>
            </w:pPr>
            <w:r>
              <w:rPr>
                <w:sz w:val="20"/>
              </w:rPr>
              <w:t xml:space="preserve">0.724</w:t>
            </w:r>
          </w:p>
        </w:tc>
        <w:tc>
          <w:tcPr>
            <w:tcW w:type="dxa" w:w="1047"/>
          </w:tcPr>
          <w:p>
            <w:pPr>
              <w:pStyle w:val="Compact"/>
              <w:spacing w:line="240" w:lineRule="auto" w:after="20"/>
              <w:jc w:val="right"/>
            </w:pPr>
            <w:r>
              <w:rPr>
                <w:sz w:val="20"/>
              </w:rPr>
              <w:t xml:space="preserve">0.192</w:t>
            </w:r>
          </w:p>
        </w:tc>
      </w:tr>
      <w:tr>
        <w:trPr>
          <w:cantSplit/>
        </w:trPr>
        <w:tc>
          <w:tcPr>
            <w:tcW w:type="dxa" w:w="2616"/>
          </w:tcPr>
          <w:p>
            <w:pPr>
              <w:pStyle w:val="Compact"/>
              <w:spacing w:line="240" w:lineRule="auto" w:after="20"/>
            </w:pPr>
            <w:r>
              <w:rPr>
                <w:sz w:val="20"/>
              </w:rPr>
              <w:t xml:space="preserve">Muğla 2021</w:t>
            </w:r>
          </w:p>
        </w:tc>
        <w:tc>
          <w:tcPr>
            <w:tcW w:type="dxa" w:w="698"/>
          </w:tcPr>
          <w:p>
            <w:pPr>
              <w:pStyle w:val="Compact"/>
              <w:spacing w:line="240" w:lineRule="auto" w:after="20"/>
              <w:jc w:val="right"/>
            </w:pPr>
            <w:r>
              <w:rPr>
                <w:sz w:val="20"/>
              </w:rPr>
              <w:t xml:space="preserve">10</w:t>
            </w:r>
          </w:p>
        </w:tc>
        <w:tc>
          <w:tcPr>
            <w:tcW w:type="dxa" w:w="2965"/>
          </w:tcPr>
          <w:p>
            <w:pPr>
              <w:pStyle w:val="Compact"/>
              <w:spacing w:line="240" w:lineRule="auto" w:after="20"/>
              <w:jc w:val="right"/>
            </w:pPr>
            <w:r>
              <w:rPr>
                <w:sz w:val="20"/>
              </w:rPr>
              <w:t xml:space="preserve">0.634</w:t>
            </w:r>
          </w:p>
        </w:tc>
        <w:tc>
          <w:tcPr>
            <w:tcW w:type="dxa" w:w="872"/>
          </w:tcPr>
          <w:p>
            <w:pPr>
              <w:pStyle w:val="Compact"/>
              <w:spacing w:line="240" w:lineRule="auto" w:after="20"/>
              <w:jc w:val="right"/>
            </w:pPr>
            <w:r>
              <w:rPr>
                <w:sz w:val="20"/>
              </w:rPr>
              <w:t xml:space="preserve">0.433</w:t>
            </w:r>
          </w:p>
        </w:tc>
        <w:tc>
          <w:tcPr>
            <w:tcW w:type="dxa" w:w="872"/>
          </w:tcPr>
          <w:p>
            <w:pPr>
              <w:pStyle w:val="Compact"/>
              <w:spacing w:line="240" w:lineRule="auto" w:after="20"/>
              <w:jc w:val="right"/>
            </w:pPr>
            <w:r>
              <w:rPr>
                <w:sz w:val="20"/>
              </w:rPr>
              <w:t xml:space="preserve">0.716</w:t>
            </w:r>
          </w:p>
        </w:tc>
        <w:tc>
          <w:tcPr>
            <w:tcW w:type="dxa" w:w="1047"/>
          </w:tcPr>
          <w:p>
            <w:pPr>
              <w:pStyle w:val="Compact"/>
              <w:spacing w:line="240" w:lineRule="auto" w:after="20"/>
              <w:jc w:val="right"/>
            </w:pPr>
            <w:r>
              <w:rPr>
                <w:sz w:val="20"/>
              </w:rPr>
              <w:t xml:space="preserve">0.283</w:t>
            </w:r>
          </w:p>
        </w:tc>
      </w:tr>
    </w:tbl>
    <w:p>
      <w:pPr>
        <w:pStyle w:val="BodyText"/>
      </w:pPr>
      <w:r>
        <w:t xml:space="preserve">Over all 36 combinations the mean is 0.556, the range is 0.374 to 0.724, and ten combinations are</w:t>
      </w:r>
      <w:r>
        <w:t xml:space="preserve"> </w:t>
      </w:r>
      <w:r>
        <w:t xml:space="preserve">below chance. The mean spread across the four sources for one scar is 0.183 over nine scars and 0.187</w:t>
      </w:r>
      <w:r>
        <w:t xml:space="preserve"> </w:t>
      </w:r>
      <w:r>
        <w:t xml:space="preserve">over seven. Row D is averaged over sources so that it can be compared with row C, which is fitted on</w:t>
      </w:r>
      <w:r>
        <w:t xml:space="preserve"> </w:t>
      </w:r>
      <w:r>
        <w:t xml:space="preserve">one region. This does not mean that the choice of foreign source is unimportant.</w:t>
      </w:r>
    </w:p>
    <w:p>
      <w:pPr>
        <w:pStyle w:val="BodyText"/>
        <w:keepNext/>
      </w:pPr>
      <w:r>
        <w:rPr>
          <w:b/>
          <w:bCs/>
        </w:rPr>
        <w:t xml:space="preserve">Table S5. Prevalence is not the cause of the evaluation-area effect.</w:t>
      </w:r>
      <w:r>
        <w:t xml:space="preserve"> </w:t>
      </w:r>
      <w:r>
        <w:t xml:space="preserve">The same fitted model and</w:t>
      </w:r>
      <w:r>
        <w:t xml:space="preserve"> </w:t>
      </w:r>
      <w:r>
        <w:t xml:space="preserve">the same out-of-fold predictions are scored in three ways: on the whole region, on a random sample of</w:t>
      </w:r>
      <w:r>
        <w:t xml:space="preserve"> </w:t>
      </w:r>
      <w:r>
        <w:t xml:space="preserve">region cells with the burned fraction of the scar area, and on the scar area. Twenty draws per scar,</w:t>
      </w:r>
      <w:r>
        <w:t xml:space="preserve"> </w:t>
      </w:r>
      <w:r>
        <w:t xml:space="preserve">seed 42. Nine scars are used, because this control needs no leave-one-scar-out model. Values at 4 dp,</w:t>
      </w:r>
      <w:r>
        <w:t xml:space="preserve"> </w:t>
      </w:r>
      <w:r>
        <w:t xml:space="preserve">as stored in the source</w:t>
      </w:r>
      <w:r>
        <w:t xml:space="preserve"> </w:t>
      </w:r>
      <w:r>
        <w:rPr>
          <w:rStyle w:val="VerbatimChar"/>
        </w:rPr>
        <w:t xml:space="preserve">paper/labelfix_rerun/code/prevalence_control.json</w:t>
      </w:r>
      <w:r>
        <w:t xml:space="preserve">; checked row by row by</w:t>
      </w:r>
      <w:r>
        <w:t xml:space="preserve"> </w:t>
      </w:r>
      <w:r>
        <w:rPr>
          <w:rStyle w:val="VerbatimChar"/>
        </w:rPr>
        <w:t xml:space="preserve">paper/code/appendix_tables.py</w:t>
      </w:r>
      <w:r>
        <w:t xml:space="preserve">.</w:t>
      </w:r>
    </w:p>
    <w:tbl>
      <w:tblPr>
        <w:tblStyle w:val="Table"/>
        <w:tblW w:type="auto" w:w="0"/>
        <w:tblLook w:firstRow="1" w:lastRow="0" w:firstColumn="0" w:lastColumn="0" w:noHBand="0" w:noVBand="0" w:val="0020"/>
      </w:tblPr>
      <w:tblGrid>
        <w:gridCol w:w="1701"/>
        <w:gridCol w:w="454"/>
        <w:gridCol w:w="1701"/>
        <w:gridCol w:w="1587"/>
        <w:gridCol w:w="2381"/>
        <w:gridCol w:w="1247"/>
      </w:tblGrid>
      <w:tr>
        <w:trPr>
          <w:tblHeader w:val="on"/>
          <w:cantSplit/>
        </w:trPr>
        <w:tc>
          <w:tcPr>
            <w:tcW w:type="dxa" w:w="1701"/>
          </w:tcPr>
          <w:p>
            <w:pPr>
              <w:pStyle w:val="Compact"/>
              <w:spacing w:line="240" w:lineRule="auto" w:after="20"/>
            </w:pPr>
            <w:r>
              <w:rPr>
                <w:sz w:val="20"/>
              </w:rPr>
              <w:t xml:space="preserve">Target region</w:t>
            </w:r>
          </w:p>
        </w:tc>
        <w:tc>
          <w:tcPr>
            <w:tcW w:type="dxa" w:w="454"/>
          </w:tcPr>
          <w:p>
            <w:pPr>
              <w:pStyle w:val="Compact"/>
              <w:spacing w:line="240" w:lineRule="auto" w:after="20"/>
              <w:jc w:val="right"/>
            </w:pPr>
            <w:r>
              <w:rPr>
                <w:sz w:val="20"/>
              </w:rPr>
              <w:t xml:space="preserve">Scar</w:t>
            </w:r>
          </w:p>
        </w:tc>
        <w:tc>
          <w:tcPr>
            <w:tcW w:type="dxa" w:w="1701"/>
          </w:tcPr>
          <w:p>
            <w:pPr>
              <w:pStyle w:val="Compact"/>
              <w:spacing w:line="240" w:lineRule="auto" w:after="20"/>
              <w:jc w:val="right"/>
            </w:pPr>
            <w:r>
              <w:rPr>
                <w:sz w:val="20"/>
              </w:rPr>
              <w:t xml:space="preserve">Burned fraction</w:t>
            </w:r>
          </w:p>
        </w:tc>
        <w:tc>
          <w:tcPr>
            <w:tcW w:type="dxa" w:w="1587"/>
          </w:tcPr>
          <w:p>
            <w:pPr>
              <w:pStyle w:val="Compact"/>
              <w:spacing w:line="240" w:lineRule="auto" w:after="20"/>
              <w:jc w:val="right"/>
            </w:pPr>
            <w:r>
              <w:rPr>
                <w:sz w:val="20"/>
              </w:rPr>
              <w:t xml:space="preserve">A whole region</w:t>
            </w:r>
          </w:p>
        </w:tc>
        <w:tc>
          <w:tcPr>
            <w:tcW w:type="dxa" w:w="2381"/>
          </w:tcPr>
          <w:p>
            <w:pPr>
              <w:pStyle w:val="Compact"/>
              <w:spacing w:line="240" w:lineRule="auto" w:after="20"/>
              <w:jc w:val="right"/>
            </w:pPr>
            <w:r>
              <w:rPr>
                <w:sz w:val="20"/>
              </w:rPr>
              <w:t xml:space="preserve">A′ prevalence-matched</w:t>
            </w:r>
          </w:p>
        </w:tc>
        <w:tc>
          <w:tcPr>
            <w:tcW w:type="dxa" w:w="1247"/>
          </w:tcPr>
          <w:p>
            <w:pPr>
              <w:pStyle w:val="Compact"/>
              <w:spacing w:line="240" w:lineRule="auto" w:after="20"/>
              <w:jc w:val="right"/>
            </w:pPr>
            <w:r>
              <w:rPr>
                <w:sz w:val="20"/>
              </w:rPr>
              <w:t xml:space="preserve">B scar area</w:t>
            </w:r>
          </w:p>
        </w:tc>
      </w:tr>
      <w:tr>
        <w:trPr>
          <w:cantSplit/>
        </w:trPr>
        <w:tc>
          <w:tcPr>
            <w:tcW w:type="dxa" w:w="1701"/>
          </w:tcPr>
          <w:p>
            <w:pPr>
              <w:pStyle w:val="Compact"/>
              <w:spacing w:line="240" w:lineRule="auto" w:after="20"/>
            </w:pPr>
            <w:r>
              <w:rPr>
                <w:sz w:val="20"/>
              </w:rPr>
              <w:t xml:space="preserve">Manavgat 2021</w:t>
            </w:r>
          </w:p>
        </w:tc>
        <w:tc>
          <w:tcPr>
            <w:tcW w:type="dxa" w:w="454"/>
          </w:tcPr>
          <w:p>
            <w:pPr>
              <w:pStyle w:val="Compact"/>
              <w:spacing w:line="240" w:lineRule="auto" w:after="20"/>
              <w:jc w:val="right"/>
            </w:pPr>
            <w:r>
              <w:rPr>
                <w:sz w:val="20"/>
              </w:rPr>
              <w:t xml:space="preserve">1</w:t>
            </w:r>
          </w:p>
        </w:tc>
        <w:tc>
          <w:tcPr>
            <w:tcW w:type="dxa" w:w="1701"/>
          </w:tcPr>
          <w:p>
            <w:pPr>
              <w:pStyle w:val="Compact"/>
              <w:spacing w:line="240" w:lineRule="auto" w:after="20"/>
              <w:jc w:val="right"/>
            </w:pPr>
            <w:r>
              <w:rPr>
                <w:sz w:val="20"/>
              </w:rPr>
              <w:t xml:space="preserve">0.74</w:t>
            </w:r>
          </w:p>
        </w:tc>
        <w:tc>
          <w:tcPr>
            <w:tcW w:type="dxa" w:w="1587"/>
          </w:tcPr>
          <w:p>
            <w:pPr>
              <w:pStyle w:val="Compact"/>
              <w:spacing w:line="240" w:lineRule="auto" w:after="20"/>
              <w:jc w:val="right"/>
            </w:pPr>
            <w:r>
              <w:rPr>
                <w:sz w:val="20"/>
              </w:rPr>
              <w:t xml:space="preserve">0.8822</w:t>
            </w:r>
          </w:p>
        </w:tc>
        <w:tc>
          <w:tcPr>
            <w:tcW w:type="dxa" w:w="2381"/>
          </w:tcPr>
          <w:p>
            <w:pPr>
              <w:pStyle w:val="Compact"/>
              <w:spacing w:line="240" w:lineRule="auto" w:after="20"/>
              <w:jc w:val="right"/>
            </w:pPr>
            <w:r>
              <w:rPr>
                <w:sz w:val="20"/>
              </w:rPr>
              <w:t xml:space="preserve">0.8837</w:t>
            </w:r>
          </w:p>
        </w:tc>
        <w:tc>
          <w:tcPr>
            <w:tcW w:type="dxa" w:w="1247"/>
          </w:tcPr>
          <w:p>
            <w:pPr>
              <w:pStyle w:val="Compact"/>
              <w:spacing w:line="240" w:lineRule="auto" w:after="20"/>
              <w:jc w:val="right"/>
            </w:pPr>
            <w:r>
              <w:rPr>
                <w:sz w:val="20"/>
              </w:rPr>
              <w:t xml:space="preserve">0.7434</w:t>
            </w:r>
          </w:p>
        </w:tc>
      </w:tr>
      <w:tr>
        <w:trPr>
          <w:cantSplit/>
        </w:trPr>
        <w:tc>
          <w:tcPr>
            <w:tcW w:type="dxa" w:w="1701"/>
          </w:tcPr>
          <w:p>
            <w:pPr>
              <w:pStyle w:val="Compact"/>
              <w:spacing w:line="240" w:lineRule="auto" w:after="20"/>
            </w:pPr>
            <w:r>
              <w:rPr>
                <w:sz w:val="20"/>
              </w:rPr>
              <w:t xml:space="preserve">Bejís 2022</w:t>
            </w:r>
          </w:p>
        </w:tc>
        <w:tc>
          <w:tcPr>
            <w:tcW w:type="dxa" w:w="454"/>
          </w:tcPr>
          <w:p>
            <w:pPr>
              <w:pStyle w:val="Compact"/>
              <w:spacing w:line="240" w:lineRule="auto" w:after="20"/>
              <w:jc w:val="right"/>
            </w:pPr>
            <w:r>
              <w:rPr>
                <w:sz w:val="20"/>
              </w:rPr>
              <w:t xml:space="preserve">1</w:t>
            </w:r>
          </w:p>
        </w:tc>
        <w:tc>
          <w:tcPr>
            <w:tcW w:type="dxa" w:w="1701"/>
          </w:tcPr>
          <w:p>
            <w:pPr>
              <w:pStyle w:val="Compact"/>
              <w:spacing w:line="240" w:lineRule="auto" w:after="20"/>
              <w:jc w:val="right"/>
            </w:pPr>
            <w:r>
              <w:rPr>
                <w:sz w:val="20"/>
              </w:rPr>
              <w:t xml:space="preserve">0.66</w:t>
            </w:r>
          </w:p>
        </w:tc>
        <w:tc>
          <w:tcPr>
            <w:tcW w:type="dxa" w:w="1587"/>
          </w:tcPr>
          <w:p>
            <w:pPr>
              <w:pStyle w:val="Compact"/>
              <w:spacing w:line="240" w:lineRule="auto" w:after="20"/>
              <w:jc w:val="right"/>
            </w:pPr>
            <w:r>
              <w:rPr>
                <w:sz w:val="20"/>
              </w:rPr>
              <w:t xml:space="preserve">0.8245</w:t>
            </w:r>
          </w:p>
        </w:tc>
        <w:tc>
          <w:tcPr>
            <w:tcW w:type="dxa" w:w="2381"/>
          </w:tcPr>
          <w:p>
            <w:pPr>
              <w:pStyle w:val="Compact"/>
              <w:spacing w:line="240" w:lineRule="auto" w:after="20"/>
              <w:jc w:val="right"/>
            </w:pPr>
            <w:r>
              <w:rPr>
                <w:sz w:val="20"/>
              </w:rPr>
              <w:t xml:space="preserve">0.8251</w:t>
            </w:r>
          </w:p>
        </w:tc>
        <w:tc>
          <w:tcPr>
            <w:tcW w:type="dxa" w:w="1247"/>
          </w:tcPr>
          <w:p>
            <w:pPr>
              <w:pStyle w:val="Compact"/>
              <w:spacing w:line="240" w:lineRule="auto" w:after="20"/>
              <w:jc w:val="right"/>
            </w:pPr>
            <w:r>
              <w:rPr>
                <w:sz w:val="20"/>
              </w:rPr>
              <w:t xml:space="preserve">0.5748</w:t>
            </w:r>
          </w:p>
        </w:tc>
      </w:tr>
      <w:tr>
        <w:trPr>
          <w:cantSplit/>
        </w:trPr>
        <w:tc>
          <w:tcPr>
            <w:tcW w:type="dxa" w:w="1701"/>
          </w:tcPr>
          <w:p>
            <w:pPr>
              <w:pStyle w:val="Compact"/>
              <w:spacing w:line="240" w:lineRule="auto" w:after="20"/>
            </w:pPr>
            <w:r>
              <w:rPr>
                <w:sz w:val="20"/>
              </w:rPr>
              <w:t xml:space="preserve">Muğla 2021</w:t>
            </w:r>
          </w:p>
        </w:tc>
        <w:tc>
          <w:tcPr>
            <w:tcW w:type="dxa" w:w="454"/>
          </w:tcPr>
          <w:p>
            <w:pPr>
              <w:pStyle w:val="Compact"/>
              <w:spacing w:line="240" w:lineRule="auto" w:after="20"/>
              <w:jc w:val="right"/>
            </w:pPr>
            <w:r>
              <w:rPr>
                <w:sz w:val="20"/>
              </w:rPr>
              <w:t xml:space="preserve">6</w:t>
            </w:r>
          </w:p>
        </w:tc>
        <w:tc>
          <w:tcPr>
            <w:tcW w:type="dxa" w:w="1701"/>
          </w:tcPr>
          <w:p>
            <w:pPr>
              <w:pStyle w:val="Compact"/>
              <w:spacing w:line="240" w:lineRule="auto" w:after="20"/>
              <w:jc w:val="right"/>
            </w:pPr>
            <w:r>
              <w:rPr>
                <w:sz w:val="20"/>
              </w:rPr>
              <w:t xml:space="preserve">0.72</w:t>
            </w:r>
          </w:p>
        </w:tc>
        <w:tc>
          <w:tcPr>
            <w:tcW w:type="dxa" w:w="1587"/>
          </w:tcPr>
          <w:p>
            <w:pPr>
              <w:pStyle w:val="Compact"/>
              <w:spacing w:line="240" w:lineRule="auto" w:after="20"/>
              <w:jc w:val="right"/>
            </w:pPr>
            <w:r>
              <w:rPr>
                <w:sz w:val="20"/>
              </w:rPr>
              <w:t xml:space="preserve">0.7773</w:t>
            </w:r>
          </w:p>
        </w:tc>
        <w:tc>
          <w:tcPr>
            <w:tcW w:type="dxa" w:w="2381"/>
          </w:tcPr>
          <w:p>
            <w:pPr>
              <w:pStyle w:val="Compact"/>
              <w:spacing w:line="240" w:lineRule="auto" w:after="20"/>
              <w:jc w:val="right"/>
            </w:pPr>
            <w:r>
              <w:rPr>
                <w:sz w:val="20"/>
              </w:rPr>
              <w:t xml:space="preserve">0.7782</w:t>
            </w:r>
          </w:p>
        </w:tc>
        <w:tc>
          <w:tcPr>
            <w:tcW w:type="dxa" w:w="1247"/>
          </w:tcPr>
          <w:p>
            <w:pPr>
              <w:pStyle w:val="Compact"/>
              <w:spacing w:line="240" w:lineRule="auto" w:after="20"/>
              <w:jc w:val="right"/>
            </w:pPr>
            <w:r>
              <w:rPr>
                <w:sz w:val="20"/>
              </w:rPr>
              <w:t xml:space="preserve">0.5640</w:t>
            </w:r>
          </w:p>
        </w:tc>
      </w:tr>
      <w:tr>
        <w:trPr>
          <w:cantSplit/>
        </w:trPr>
        <w:tc>
          <w:tcPr>
            <w:tcW w:type="dxa" w:w="1701"/>
          </w:tcPr>
          <w:p>
            <w:pPr>
              <w:pStyle w:val="Compact"/>
              <w:spacing w:line="240" w:lineRule="auto" w:after="20"/>
            </w:pPr>
            <w:r>
              <w:rPr>
                <w:sz w:val="20"/>
              </w:rPr>
              <w:t xml:space="preserve">Muğla 2021</w:t>
            </w:r>
          </w:p>
        </w:tc>
        <w:tc>
          <w:tcPr>
            <w:tcW w:type="dxa" w:w="454"/>
          </w:tcPr>
          <w:p>
            <w:pPr>
              <w:pStyle w:val="Compact"/>
              <w:spacing w:line="240" w:lineRule="auto" w:after="20"/>
              <w:jc w:val="right"/>
            </w:pPr>
            <w:r>
              <w:rPr>
                <w:sz w:val="20"/>
              </w:rPr>
              <w:t xml:space="preserve">1</w:t>
            </w:r>
          </w:p>
        </w:tc>
        <w:tc>
          <w:tcPr>
            <w:tcW w:type="dxa" w:w="1701"/>
          </w:tcPr>
          <w:p>
            <w:pPr>
              <w:pStyle w:val="Compact"/>
              <w:spacing w:line="240" w:lineRule="auto" w:after="20"/>
              <w:jc w:val="right"/>
            </w:pPr>
            <w:r>
              <w:rPr>
                <w:sz w:val="20"/>
              </w:rPr>
              <w:t xml:space="preserve">0.59</w:t>
            </w:r>
          </w:p>
        </w:tc>
        <w:tc>
          <w:tcPr>
            <w:tcW w:type="dxa" w:w="1587"/>
          </w:tcPr>
          <w:p>
            <w:pPr>
              <w:pStyle w:val="Compact"/>
              <w:spacing w:line="240" w:lineRule="auto" w:after="20"/>
              <w:jc w:val="right"/>
            </w:pPr>
            <w:r>
              <w:rPr>
                <w:sz w:val="20"/>
              </w:rPr>
              <w:t xml:space="preserve">0.7773</w:t>
            </w:r>
          </w:p>
        </w:tc>
        <w:tc>
          <w:tcPr>
            <w:tcW w:type="dxa" w:w="2381"/>
          </w:tcPr>
          <w:p>
            <w:pPr>
              <w:pStyle w:val="Compact"/>
              <w:spacing w:line="240" w:lineRule="auto" w:after="20"/>
              <w:jc w:val="right"/>
            </w:pPr>
            <w:r>
              <w:rPr>
                <w:sz w:val="20"/>
              </w:rPr>
              <w:t xml:space="preserve">0.7787</w:t>
            </w:r>
          </w:p>
        </w:tc>
        <w:tc>
          <w:tcPr>
            <w:tcW w:type="dxa" w:w="1247"/>
          </w:tcPr>
          <w:p>
            <w:pPr>
              <w:pStyle w:val="Compact"/>
              <w:spacing w:line="240" w:lineRule="auto" w:after="20"/>
              <w:jc w:val="right"/>
            </w:pPr>
            <w:r>
              <w:rPr>
                <w:sz w:val="20"/>
              </w:rPr>
              <w:t xml:space="preserve">0.6540</w:t>
            </w:r>
          </w:p>
        </w:tc>
      </w:tr>
      <w:tr>
        <w:trPr>
          <w:cantSplit/>
        </w:trPr>
        <w:tc>
          <w:tcPr>
            <w:tcW w:type="dxa" w:w="1701"/>
          </w:tcPr>
          <w:p>
            <w:pPr>
              <w:pStyle w:val="Compact"/>
              <w:spacing w:line="240" w:lineRule="auto" w:after="20"/>
            </w:pPr>
            <w:r>
              <w:rPr>
                <w:sz w:val="20"/>
              </w:rPr>
              <w:t xml:space="preserve">Muğla 2021</w:t>
            </w:r>
          </w:p>
        </w:tc>
        <w:tc>
          <w:tcPr>
            <w:tcW w:type="dxa" w:w="454"/>
          </w:tcPr>
          <w:p>
            <w:pPr>
              <w:pStyle w:val="Compact"/>
              <w:spacing w:line="240" w:lineRule="auto" w:after="20"/>
              <w:jc w:val="right"/>
            </w:pPr>
            <w:r>
              <w:rPr>
                <w:sz w:val="20"/>
              </w:rPr>
              <w:t xml:space="preserve">10</w:t>
            </w:r>
          </w:p>
        </w:tc>
        <w:tc>
          <w:tcPr>
            <w:tcW w:type="dxa" w:w="1701"/>
          </w:tcPr>
          <w:p>
            <w:pPr>
              <w:pStyle w:val="Compact"/>
              <w:spacing w:line="240" w:lineRule="auto" w:after="20"/>
              <w:jc w:val="right"/>
            </w:pPr>
            <w:r>
              <w:rPr>
                <w:sz w:val="20"/>
              </w:rPr>
              <w:t xml:space="preserve">0.68</w:t>
            </w:r>
          </w:p>
        </w:tc>
        <w:tc>
          <w:tcPr>
            <w:tcW w:type="dxa" w:w="1587"/>
          </w:tcPr>
          <w:p>
            <w:pPr>
              <w:pStyle w:val="Compact"/>
              <w:spacing w:line="240" w:lineRule="auto" w:after="20"/>
              <w:jc w:val="right"/>
            </w:pPr>
            <w:r>
              <w:rPr>
                <w:sz w:val="20"/>
              </w:rPr>
              <w:t xml:space="preserve">0.7773</w:t>
            </w:r>
          </w:p>
        </w:tc>
        <w:tc>
          <w:tcPr>
            <w:tcW w:type="dxa" w:w="2381"/>
          </w:tcPr>
          <w:p>
            <w:pPr>
              <w:pStyle w:val="Compact"/>
              <w:spacing w:line="240" w:lineRule="auto" w:after="20"/>
              <w:jc w:val="right"/>
            </w:pPr>
            <w:r>
              <w:rPr>
                <w:sz w:val="20"/>
              </w:rPr>
              <w:t xml:space="preserve">0.7835</w:t>
            </w:r>
          </w:p>
        </w:tc>
        <w:tc>
          <w:tcPr>
            <w:tcW w:type="dxa" w:w="1247"/>
          </w:tcPr>
          <w:p>
            <w:pPr>
              <w:pStyle w:val="Compact"/>
              <w:spacing w:line="240" w:lineRule="auto" w:after="20"/>
              <w:jc w:val="right"/>
            </w:pPr>
            <w:r>
              <w:rPr>
                <w:sz w:val="20"/>
              </w:rPr>
              <w:t xml:space="preserve">0.6735</w:t>
            </w:r>
          </w:p>
        </w:tc>
      </w:tr>
      <w:tr>
        <w:trPr>
          <w:cantSplit/>
        </w:trPr>
        <w:tc>
          <w:tcPr>
            <w:tcW w:type="dxa" w:w="1701"/>
          </w:tcPr>
          <w:p>
            <w:pPr>
              <w:pStyle w:val="Compact"/>
              <w:spacing w:line="240" w:lineRule="auto" w:after="20"/>
            </w:pPr>
            <w:r>
              <w:rPr>
                <w:sz w:val="20"/>
              </w:rPr>
              <w:t xml:space="preserve">Muğla 2021</w:t>
            </w:r>
          </w:p>
        </w:tc>
        <w:tc>
          <w:tcPr>
            <w:tcW w:type="dxa" w:w="454"/>
          </w:tcPr>
          <w:p>
            <w:pPr>
              <w:pStyle w:val="Compact"/>
              <w:spacing w:line="240" w:lineRule="auto" w:after="20"/>
              <w:jc w:val="right"/>
            </w:pPr>
            <w:r>
              <w:rPr>
                <w:sz w:val="20"/>
              </w:rPr>
              <w:t xml:space="preserve">8</w:t>
            </w:r>
          </w:p>
        </w:tc>
        <w:tc>
          <w:tcPr>
            <w:tcW w:type="dxa" w:w="1701"/>
          </w:tcPr>
          <w:p>
            <w:pPr>
              <w:pStyle w:val="Compact"/>
              <w:spacing w:line="240" w:lineRule="auto" w:after="20"/>
              <w:jc w:val="right"/>
            </w:pPr>
            <w:r>
              <w:rPr>
                <w:sz w:val="20"/>
              </w:rPr>
              <w:t xml:space="preserve">0.57</w:t>
            </w:r>
          </w:p>
        </w:tc>
        <w:tc>
          <w:tcPr>
            <w:tcW w:type="dxa" w:w="1587"/>
          </w:tcPr>
          <w:p>
            <w:pPr>
              <w:pStyle w:val="Compact"/>
              <w:spacing w:line="240" w:lineRule="auto" w:after="20"/>
              <w:jc w:val="right"/>
            </w:pPr>
            <w:r>
              <w:rPr>
                <w:sz w:val="20"/>
              </w:rPr>
              <w:t xml:space="preserve">0.7773</w:t>
            </w:r>
          </w:p>
        </w:tc>
        <w:tc>
          <w:tcPr>
            <w:tcW w:type="dxa" w:w="2381"/>
          </w:tcPr>
          <w:p>
            <w:pPr>
              <w:pStyle w:val="Compact"/>
              <w:spacing w:line="240" w:lineRule="auto" w:after="20"/>
              <w:jc w:val="right"/>
            </w:pPr>
            <w:r>
              <w:rPr>
                <w:sz w:val="20"/>
              </w:rPr>
              <w:t xml:space="preserve">0.7796</w:t>
            </w:r>
          </w:p>
        </w:tc>
        <w:tc>
          <w:tcPr>
            <w:tcW w:type="dxa" w:w="1247"/>
          </w:tcPr>
          <w:p>
            <w:pPr>
              <w:pStyle w:val="Compact"/>
              <w:spacing w:line="240" w:lineRule="auto" w:after="20"/>
              <w:jc w:val="right"/>
            </w:pPr>
            <w:r>
              <w:rPr>
                <w:sz w:val="20"/>
              </w:rPr>
              <w:t xml:space="preserve">0.7609</w:t>
            </w:r>
          </w:p>
        </w:tc>
      </w:tr>
      <w:tr>
        <w:trPr>
          <w:cantSplit/>
        </w:trPr>
        <w:tc>
          <w:tcPr>
            <w:tcW w:type="dxa" w:w="1701"/>
          </w:tcPr>
          <w:p>
            <w:pPr>
              <w:pStyle w:val="Compact"/>
              <w:spacing w:line="240" w:lineRule="auto" w:after="20"/>
            </w:pPr>
            <w:r>
              <w:rPr>
                <w:sz w:val="20"/>
              </w:rPr>
              <w:t xml:space="preserve">North Evia 2021</w:t>
            </w:r>
          </w:p>
        </w:tc>
        <w:tc>
          <w:tcPr>
            <w:tcW w:type="dxa" w:w="454"/>
          </w:tcPr>
          <w:p>
            <w:pPr>
              <w:pStyle w:val="Compact"/>
              <w:spacing w:line="240" w:lineRule="auto" w:after="20"/>
              <w:jc w:val="right"/>
            </w:pPr>
            <w:r>
              <w:rPr>
                <w:sz w:val="20"/>
              </w:rPr>
              <w:t xml:space="preserve">1</w:t>
            </w:r>
          </w:p>
        </w:tc>
        <w:tc>
          <w:tcPr>
            <w:tcW w:type="dxa" w:w="1701"/>
          </w:tcPr>
          <w:p>
            <w:pPr>
              <w:pStyle w:val="Compact"/>
              <w:spacing w:line="240" w:lineRule="auto" w:after="20"/>
              <w:jc w:val="right"/>
            </w:pPr>
            <w:r>
              <w:rPr>
                <w:sz w:val="20"/>
              </w:rPr>
              <w:t xml:space="preserve">0.87</w:t>
            </w:r>
          </w:p>
        </w:tc>
        <w:tc>
          <w:tcPr>
            <w:tcW w:type="dxa" w:w="1587"/>
          </w:tcPr>
          <w:p>
            <w:pPr>
              <w:pStyle w:val="Compact"/>
              <w:spacing w:line="240" w:lineRule="auto" w:after="20"/>
              <w:jc w:val="right"/>
            </w:pPr>
            <w:r>
              <w:rPr>
                <w:sz w:val="20"/>
              </w:rPr>
              <w:t xml:space="preserve">0.8642</w:t>
            </w:r>
          </w:p>
        </w:tc>
        <w:tc>
          <w:tcPr>
            <w:tcW w:type="dxa" w:w="2381"/>
          </w:tcPr>
          <w:p>
            <w:pPr>
              <w:pStyle w:val="Compact"/>
              <w:spacing w:line="240" w:lineRule="auto" w:after="20"/>
              <w:jc w:val="right"/>
            </w:pPr>
            <w:r>
              <w:rPr>
                <w:sz w:val="20"/>
              </w:rPr>
              <w:t xml:space="preserve">0.8632</w:t>
            </w:r>
          </w:p>
        </w:tc>
        <w:tc>
          <w:tcPr>
            <w:tcW w:type="dxa" w:w="1247"/>
          </w:tcPr>
          <w:p>
            <w:pPr>
              <w:pStyle w:val="Compact"/>
              <w:spacing w:line="240" w:lineRule="auto" w:after="20"/>
              <w:jc w:val="right"/>
            </w:pPr>
            <w:r>
              <w:rPr>
                <w:sz w:val="20"/>
              </w:rPr>
              <w:t xml:space="preserve">0.7451</w:t>
            </w:r>
          </w:p>
        </w:tc>
      </w:tr>
      <w:tr>
        <w:trPr>
          <w:cantSplit/>
        </w:trPr>
        <w:tc>
          <w:tcPr>
            <w:tcW w:type="dxa" w:w="1701"/>
          </w:tcPr>
          <w:p>
            <w:pPr>
              <w:pStyle w:val="Compact"/>
              <w:spacing w:line="240" w:lineRule="auto" w:after="20"/>
            </w:pPr>
            <w:r>
              <w:rPr>
                <w:sz w:val="20"/>
              </w:rPr>
              <w:t xml:space="preserve">Montiferru 2021</w:t>
            </w:r>
          </w:p>
        </w:tc>
        <w:tc>
          <w:tcPr>
            <w:tcW w:type="dxa" w:w="454"/>
          </w:tcPr>
          <w:p>
            <w:pPr>
              <w:pStyle w:val="Compact"/>
              <w:spacing w:line="240" w:lineRule="auto" w:after="20"/>
              <w:jc w:val="right"/>
            </w:pPr>
            <w:r>
              <w:rPr>
                <w:sz w:val="20"/>
              </w:rPr>
              <w:t xml:space="preserve">1</w:t>
            </w:r>
          </w:p>
        </w:tc>
        <w:tc>
          <w:tcPr>
            <w:tcW w:type="dxa" w:w="1701"/>
          </w:tcPr>
          <w:p>
            <w:pPr>
              <w:pStyle w:val="Compact"/>
              <w:spacing w:line="240" w:lineRule="auto" w:after="20"/>
              <w:jc w:val="right"/>
            </w:pPr>
            <w:r>
              <w:rPr>
                <w:sz w:val="20"/>
              </w:rPr>
              <w:t xml:space="preserve">0.58</w:t>
            </w:r>
          </w:p>
        </w:tc>
        <w:tc>
          <w:tcPr>
            <w:tcW w:type="dxa" w:w="1587"/>
          </w:tcPr>
          <w:p>
            <w:pPr>
              <w:pStyle w:val="Compact"/>
              <w:spacing w:line="240" w:lineRule="auto" w:after="20"/>
              <w:jc w:val="right"/>
            </w:pPr>
            <w:r>
              <w:rPr>
                <w:sz w:val="20"/>
              </w:rPr>
              <w:t xml:space="preserve">0.7199</w:t>
            </w:r>
          </w:p>
        </w:tc>
        <w:tc>
          <w:tcPr>
            <w:tcW w:type="dxa" w:w="2381"/>
          </w:tcPr>
          <w:p>
            <w:pPr>
              <w:pStyle w:val="Compact"/>
              <w:spacing w:line="240" w:lineRule="auto" w:after="20"/>
              <w:jc w:val="right"/>
            </w:pPr>
            <w:r>
              <w:rPr>
                <w:sz w:val="20"/>
              </w:rPr>
              <w:t xml:space="preserve">0.7179</w:t>
            </w:r>
          </w:p>
        </w:tc>
        <w:tc>
          <w:tcPr>
            <w:tcW w:type="dxa" w:w="1247"/>
          </w:tcPr>
          <w:p>
            <w:pPr>
              <w:pStyle w:val="Compact"/>
              <w:spacing w:line="240" w:lineRule="auto" w:after="20"/>
              <w:jc w:val="right"/>
            </w:pPr>
            <w:r>
              <w:rPr>
                <w:sz w:val="20"/>
              </w:rPr>
              <w:t xml:space="preserve">0.6215</w:t>
            </w:r>
          </w:p>
        </w:tc>
      </w:tr>
      <w:tr>
        <w:trPr>
          <w:cantSplit/>
        </w:trPr>
        <w:tc>
          <w:tcPr>
            <w:tcW w:type="dxa" w:w="1701"/>
          </w:tcPr>
          <w:p>
            <w:pPr>
              <w:pStyle w:val="Compact"/>
              <w:spacing w:line="240" w:lineRule="auto" w:after="20"/>
            </w:pPr>
            <w:r>
              <w:rPr>
                <w:sz w:val="20"/>
              </w:rPr>
              <w:t xml:space="preserve">Montiferru 2021</w:t>
            </w:r>
          </w:p>
        </w:tc>
        <w:tc>
          <w:tcPr>
            <w:tcW w:type="dxa" w:w="454"/>
          </w:tcPr>
          <w:p>
            <w:pPr>
              <w:pStyle w:val="Compact"/>
              <w:spacing w:line="240" w:lineRule="auto" w:after="20"/>
              <w:jc w:val="right"/>
            </w:pPr>
            <w:r>
              <w:rPr>
                <w:sz w:val="20"/>
              </w:rPr>
              <w:t xml:space="preserve">5</w:t>
            </w:r>
          </w:p>
        </w:tc>
        <w:tc>
          <w:tcPr>
            <w:tcW w:type="dxa" w:w="1701"/>
          </w:tcPr>
          <w:p>
            <w:pPr>
              <w:pStyle w:val="Compact"/>
              <w:spacing w:line="240" w:lineRule="auto" w:after="20"/>
              <w:jc w:val="right"/>
            </w:pPr>
            <w:r>
              <w:rPr>
                <w:sz w:val="20"/>
              </w:rPr>
              <w:t xml:space="preserve">0.34</w:t>
            </w:r>
          </w:p>
        </w:tc>
        <w:tc>
          <w:tcPr>
            <w:tcW w:type="dxa" w:w="1587"/>
          </w:tcPr>
          <w:p>
            <w:pPr>
              <w:pStyle w:val="Compact"/>
              <w:spacing w:line="240" w:lineRule="auto" w:after="20"/>
              <w:jc w:val="right"/>
            </w:pPr>
            <w:r>
              <w:rPr>
                <w:sz w:val="20"/>
              </w:rPr>
              <w:t xml:space="preserve">0.7199</w:t>
            </w:r>
          </w:p>
        </w:tc>
        <w:tc>
          <w:tcPr>
            <w:tcW w:type="dxa" w:w="2381"/>
          </w:tcPr>
          <w:p>
            <w:pPr>
              <w:pStyle w:val="Compact"/>
              <w:spacing w:line="240" w:lineRule="auto" w:after="20"/>
              <w:jc w:val="right"/>
            </w:pPr>
            <w:r>
              <w:rPr>
                <w:sz w:val="20"/>
              </w:rPr>
              <w:t xml:space="preserve">0.7285</w:t>
            </w:r>
          </w:p>
        </w:tc>
        <w:tc>
          <w:tcPr>
            <w:tcW w:type="dxa" w:w="1247"/>
          </w:tcPr>
          <w:p>
            <w:pPr>
              <w:pStyle w:val="Compact"/>
              <w:spacing w:line="240" w:lineRule="auto" w:after="20"/>
              <w:jc w:val="right"/>
            </w:pPr>
            <w:r>
              <w:rPr>
                <w:sz w:val="20"/>
              </w:rPr>
              <w:t xml:space="preserve">0.4611</w:t>
            </w:r>
          </w:p>
        </w:tc>
      </w:tr>
      <w:tr>
        <w:trPr>
          <w:cantSplit/>
        </w:trPr>
        <w:tc>
          <w:tcPr>
            <w:tcW w:type="dxa" w:w="1701"/>
          </w:tcPr>
          <w:p>
            <w:pPr>
              <w:pStyle w:val="Compact"/>
              <w:spacing w:line="240" w:lineRule="auto" w:after="20"/>
            </w:pPr>
            <w:r>
              <w:rPr>
                <w:b/>
                <w:bCs/>
                <w:sz w:val="20"/>
              </w:rPr>
              <w:t xml:space="preserve">Mean</w:t>
            </w:r>
          </w:p>
        </w:tc>
        <w:tc>
          <w:tcPr>
            <w:tcW w:type="dxa" w:w="454"/>
          </w:tcPr>
          <w:p>
            <w:pPr>
              <w:pStyle w:val="Compact"/>
              <w:spacing w:line="240" w:lineRule="auto" w:after="20"/>
            </w:pPr>
          </w:p>
        </w:tc>
        <w:tc>
          <w:tcPr>
            <w:tcW w:type="dxa" w:w="1701"/>
          </w:tcPr>
          <w:p>
            <w:pPr>
              <w:pStyle w:val="Compact"/>
              <w:spacing w:line="240" w:lineRule="auto" w:after="20"/>
            </w:pPr>
          </w:p>
        </w:tc>
        <w:tc>
          <w:tcPr>
            <w:tcW w:type="dxa" w:w="1587"/>
          </w:tcPr>
          <w:p>
            <w:pPr>
              <w:pStyle w:val="Compact"/>
              <w:spacing w:line="240" w:lineRule="auto" w:after="20"/>
              <w:jc w:val="right"/>
            </w:pPr>
            <w:r>
              <w:rPr>
                <w:b/>
                <w:bCs/>
                <w:sz w:val="20"/>
              </w:rPr>
              <w:t xml:space="preserve">0.7911</w:t>
            </w:r>
          </w:p>
        </w:tc>
        <w:tc>
          <w:tcPr>
            <w:tcW w:type="dxa" w:w="2381"/>
          </w:tcPr>
          <w:p>
            <w:pPr>
              <w:pStyle w:val="Compact"/>
              <w:spacing w:line="240" w:lineRule="auto" w:after="20"/>
              <w:jc w:val="right"/>
            </w:pPr>
            <w:r>
              <w:rPr>
                <w:b/>
                <w:bCs/>
                <w:sz w:val="20"/>
              </w:rPr>
              <w:t xml:space="preserve">0.7932</w:t>
            </w:r>
          </w:p>
        </w:tc>
        <w:tc>
          <w:tcPr>
            <w:tcW w:type="dxa" w:w="1247"/>
          </w:tcPr>
          <w:p>
            <w:pPr>
              <w:pStyle w:val="Compact"/>
              <w:spacing w:line="240" w:lineRule="auto" w:after="20"/>
              <w:jc w:val="right"/>
            </w:pPr>
            <w:r>
              <w:rPr>
                <w:b/>
                <w:bCs/>
                <w:sz w:val="20"/>
              </w:rPr>
              <w:t xml:space="preserve">0.6443</w:t>
            </w:r>
          </w:p>
        </w:tc>
      </w:tr>
    </w:tbl>
    <w:p>
      <w:pPr>
        <w:pStyle w:val="BodyText"/>
      </w:pPr>
      <w:r>
        <w:t xml:space="preserve">A minus A′, the effect of prevalence alone, is −0.002 [−0.005, +0.001]. A′ minus B, which replaces</w:t>
      </w:r>
      <w:r>
        <w:t xml:space="preserve"> </w:t>
      </w:r>
      <w:r>
        <w:t xml:space="preserve">both groups of cells, is +0.149 [+0.087, +0.211]. Section S1.9.1 shows that it comes from the unburned</w:t>
      </w:r>
      <w:r>
        <w:t xml:space="preserve"> </w:t>
      </w:r>
      <w:r>
        <w:t xml:space="preserve">cells.</w:t>
      </w:r>
    </w:p>
    <w:bookmarkEnd w:id="30"/>
    <w:bookmarkEnd w:id="31"/>
    <w:bookmarkStart w:id="32" w:name="X6c38c3988d5c8b8862977952c3fc6ac299027e5"/>
    <w:p>
      <w:pPr>
        <w:pStyle w:val="Heading2"/>
      </w:pPr>
      <w:r>
        <w:t xml:space="preserve">S1.10 The transfer-gap decomposition, in full</w:t>
      </w:r>
    </w:p>
    <w:p>
      <w:pPr>
        <w:pStyle w:val="FirstParagraph"/>
      </w:pPr>
      <w:r>
        <w:t xml:space="preserve">Among the directions that started below chance, the recovered fraction of Section 3.10 is at most</w:t>
      </w:r>
      <w:r>
        <w:t xml:space="preserve"> </w:t>
      </w:r>
      <w:r>
        <w:t xml:space="preserve">+0.28 (Bejís to Evia). Seven directions have negative recovery, five of them with intervals fully</w:t>
      </w:r>
      <w:r>
        <w:t xml:space="preserve"> </w:t>
      </w:r>
      <w:r>
        <w:t xml:space="preserve">below zero. Manavgat to Muğla (−0.03 [−0.06, +0.01]) and Muğla to Bejís (−0.07 [−0.16, +0.01]) are</w:t>
      </w:r>
      <w:r>
        <w:t xml:space="preserve"> </w:t>
      </w:r>
      <w:r>
        <w:t xml:space="preserve">negative at the point estimate only. Values are from</w:t>
      </w:r>
      <w:r>
        <w:t xml:space="preserve"> </w:t>
      </w:r>
      <w:r>
        <w:rPr>
          <w:rStyle w:val="VerbatimChar"/>
        </w:rPr>
        <w:t xml:space="preserve">four_aoi_decomposition.csv</w:t>
      </w:r>
      <w:r>
        <w:t xml:space="preserve"> </w:t>
      </w:r>
      <w:r>
        <w:t xml:space="preserve">of the re-frozen</w:t>
      </w:r>
      <w:r>
        <w:t xml:space="preserve"> </w:t>
      </w:r>
      <w:r>
        <w:t xml:space="preserve">outputs (</w:t>
      </w:r>
      <w:r>
        <w:rPr>
          <w:rStyle w:val="VerbatimChar"/>
        </w:rPr>
        <w:t xml:space="preserve">paper/labelfix_rerun/round5/tables/corrected/</w:t>
      </w:r>
      <w:r>
        <w:t xml:space="preserve">). The within-region reference in the</w:t>
      </w:r>
      <w:r>
        <w:t xml:space="preserve"> </w:t>
      </w:r>
      <w:r>
        <w:t xml:space="preserve">denominator is not matched to a transfer evaluation (Section 4.3), and the raw column depends on the</w:t>
      </w:r>
      <w:r>
        <w:t xml:space="preserve"> </w:t>
      </w:r>
      <w:r>
        <w:t xml:space="preserve">study area (Section 4.4). The fractions are therefore only valid within this protocol.</w:t>
      </w:r>
    </w:p>
    <w:p>
      <w:pPr>
        <w:pStyle w:val="BodyText"/>
        <w:keepNext/>
      </w:pPr>
      <w:r>
        <w:rPr>
          <w:b/>
          <w:bCs/>
        </w:rPr>
        <w:t xml:space="preserve">Table S6. Transfer-gap decomposition (four-AOI set, 12 directions).</w:t>
      </w:r>
      <w:r>
        <w:t xml:space="preserve"> </w:t>
      </w:r>
      <w:r>
        <w:t xml:space="preserve">Within = within-region thermal</w:t>
      </w:r>
      <w:r>
        <w:t xml:space="preserve"> </w:t>
      </w:r>
      <w:r>
        <w:t xml:space="preserve">AUC of the target. Best adapted = the better of z-score and CORAL; this choice uses target labels.</w:t>
      </w:r>
      <w:r>
        <w:t xml:space="preserve"> </w:t>
      </w:r>
      <w:r>
        <w:t xml:space="preserve">Recovered fraction = (adapted − raw)/(within − raw), signed and not clipped, with a paired bootstrap</w:t>
      </w:r>
      <w:r>
        <w:t xml:space="preserve"> </w:t>
      </w:r>
      <w:r>
        <w:t xml:space="preserve">CI (1000 replicates, 2-cell blocks). Montiferru directions are not part of this decomposition. The</w:t>
      </w:r>
      <w:r>
        <w:t xml:space="preserve"> </w:t>
      </w:r>
      <w:r>
        <w:t xml:space="preserve">status column shows whether the</w:t>
      </w:r>
      <w:r>
        <w:t xml:space="preserve"> </w:t>
      </w:r>
      <w:r>
        <w:rPr>
          <w:i/>
          <w:iCs/>
        </w:rPr>
        <w:t xml:space="preserve">adapted</w:t>
      </w:r>
      <w:r>
        <w:t xml:space="preserve"> </w:t>
      </w:r>
      <w:r>
        <w:t xml:space="preserve">value is above chance, using the 2-cell adapted intervals of</w:t>
      </w:r>
      <w:r>
        <w:t xml:space="preserve"> </w:t>
      </w:r>
      <w:r>
        <w:t xml:space="preserve">Table S16.</w:t>
      </w:r>
    </w:p>
    <w:tbl>
      <w:tblPr>
        <w:tblStyle w:val="Table"/>
        <w:tblW w:type="auto" w:w="0"/>
        <w:tblLook w:firstRow="1" w:lastRow="0" w:firstColumn="0" w:lastColumn="0" w:noHBand="0" w:noVBand="0" w:val="0020"/>
      </w:tblPr>
      <w:tblGrid>
        <w:gridCol w:w="1309"/>
        <w:gridCol w:w="561"/>
        <w:gridCol w:w="468"/>
        <w:gridCol w:w="1964"/>
        <w:gridCol w:w="2151"/>
        <w:gridCol w:w="2618"/>
      </w:tblGrid>
      <w:tr>
        <w:trPr>
          <w:tblHeader w:val="on"/>
          <w:cantSplit/>
        </w:trPr>
        <w:tc>
          <w:tcPr>
            <w:tcW w:type="dxa" w:w="1309"/>
          </w:tcPr>
          <w:p>
            <w:pPr>
              <w:pStyle w:val="Compact"/>
              <w:spacing w:line="240" w:lineRule="auto" w:after="20"/>
            </w:pPr>
            <w:r>
              <w:rPr>
                <w:sz w:val="20"/>
              </w:rPr>
              <w:t xml:space="preserve">Direction</w:t>
            </w:r>
          </w:p>
        </w:tc>
        <w:tc>
          <w:tcPr>
            <w:tcW w:type="dxa" w:w="561"/>
          </w:tcPr>
          <w:p>
            <w:pPr>
              <w:pStyle w:val="Compact"/>
              <w:spacing w:line="240" w:lineRule="auto" w:after="20"/>
            </w:pPr>
            <w:r>
              <w:rPr>
                <w:sz w:val="20"/>
              </w:rPr>
              <w:t xml:space="preserve">Within</w:t>
            </w:r>
          </w:p>
        </w:tc>
        <w:tc>
          <w:tcPr>
            <w:tcW w:type="dxa" w:w="468"/>
          </w:tcPr>
          <w:p>
            <w:pPr>
              <w:pStyle w:val="Compact"/>
              <w:spacing w:line="240" w:lineRule="auto" w:after="20"/>
            </w:pPr>
            <w:r>
              <w:rPr>
                <w:sz w:val="20"/>
              </w:rPr>
              <w:t xml:space="preserve">Raw</w:t>
            </w:r>
          </w:p>
        </w:tc>
        <w:tc>
          <w:tcPr>
            <w:tcW w:type="dxa" w:w="1964"/>
          </w:tcPr>
          <w:p>
            <w:pPr>
              <w:pStyle w:val="Compact"/>
              <w:spacing w:line="240" w:lineRule="auto" w:after="20"/>
            </w:pPr>
            <w:r>
              <w:rPr>
                <w:sz w:val="20"/>
              </w:rPr>
              <w:t xml:space="preserve">Best adapted (method)</w:t>
            </w:r>
          </w:p>
        </w:tc>
        <w:tc>
          <w:tcPr>
            <w:tcW w:type="dxa" w:w="2151"/>
          </w:tcPr>
          <w:p>
            <w:pPr>
              <w:pStyle w:val="Compact"/>
              <w:spacing w:line="240" w:lineRule="auto" w:after="20"/>
            </w:pPr>
            <w:r>
              <w:rPr>
                <w:sz w:val="20"/>
              </w:rPr>
              <w:t xml:space="preserve">Recovered fraction [CI]</w:t>
            </w:r>
          </w:p>
        </w:tc>
        <w:tc>
          <w:tcPr>
            <w:tcW w:type="dxa" w:w="2618"/>
          </w:tcPr>
          <w:p>
            <w:pPr>
              <w:pStyle w:val="Compact"/>
              <w:spacing w:line="240" w:lineRule="auto" w:after="20"/>
            </w:pPr>
            <w:r>
              <w:rPr>
                <w:sz w:val="20"/>
              </w:rPr>
              <w:t xml:space="preserve">Status</w:t>
            </w:r>
          </w:p>
        </w:tc>
      </w:tr>
      <w:tr>
        <w:trPr>
          <w:cantSplit/>
        </w:trPr>
        <w:tc>
          <w:tcPr>
            <w:tcW w:type="dxa" w:w="1309"/>
          </w:tcPr>
          <w:p>
            <w:pPr>
              <w:pStyle w:val="Compact"/>
              <w:spacing w:line="240" w:lineRule="auto" w:after="20"/>
            </w:pPr>
            <w:r>
              <w:rPr>
                <w:sz w:val="20"/>
              </w:rPr>
              <w:t xml:space="preserve">Bejís→Evia</w:t>
            </w:r>
          </w:p>
        </w:tc>
        <w:tc>
          <w:tcPr>
            <w:tcW w:type="dxa" w:w="561"/>
          </w:tcPr>
          <w:p>
            <w:pPr>
              <w:pStyle w:val="Compact"/>
              <w:spacing w:line="240" w:lineRule="auto" w:after="20"/>
            </w:pPr>
            <w:r>
              <w:rPr>
                <w:sz w:val="20"/>
              </w:rPr>
              <w:t xml:space="preserve">0.912</w:t>
            </w:r>
          </w:p>
        </w:tc>
        <w:tc>
          <w:tcPr>
            <w:tcW w:type="dxa" w:w="468"/>
          </w:tcPr>
          <w:p>
            <w:pPr>
              <w:pStyle w:val="Compact"/>
              <w:spacing w:line="240" w:lineRule="auto" w:after="20"/>
            </w:pPr>
            <w:r>
              <w:rPr>
                <w:sz w:val="20"/>
              </w:rPr>
              <w:t xml:space="preserve">0.383</w:t>
            </w:r>
          </w:p>
        </w:tc>
        <w:tc>
          <w:tcPr>
            <w:tcW w:type="dxa" w:w="1964"/>
          </w:tcPr>
          <w:p>
            <w:pPr>
              <w:pStyle w:val="Compact"/>
              <w:spacing w:line="240" w:lineRule="auto" w:after="20"/>
            </w:pPr>
            <w:r>
              <w:rPr>
                <w:sz w:val="20"/>
              </w:rPr>
              <w:t xml:space="preserve">0.532 (z-score)</w:t>
            </w:r>
          </w:p>
        </w:tc>
        <w:tc>
          <w:tcPr>
            <w:tcW w:type="dxa" w:w="2151"/>
          </w:tcPr>
          <w:p>
            <w:pPr>
              <w:pStyle w:val="Compact"/>
              <w:spacing w:line="240" w:lineRule="auto" w:after="20"/>
            </w:pPr>
            <w:r>
              <w:rPr>
                <w:sz w:val="20"/>
              </w:rPr>
              <w:t xml:space="preserve">+0.28 [+0.23, +0.32]</w:t>
            </w:r>
          </w:p>
        </w:tc>
        <w:tc>
          <w:tcPr>
            <w:tcW w:type="dxa" w:w="2618"/>
          </w:tcPr>
          <w:p>
            <w:pPr>
              <w:pStyle w:val="Compact"/>
              <w:spacing w:line="240" w:lineRule="auto" w:after="20"/>
            </w:pPr>
            <w:r>
              <w:rPr>
                <w:sz w:val="20"/>
              </w:rPr>
              <w:t xml:space="preserve">adapted above chance</w:t>
            </w:r>
          </w:p>
        </w:tc>
      </w:tr>
      <w:tr>
        <w:trPr>
          <w:cantSplit/>
        </w:trPr>
        <w:tc>
          <w:tcPr>
            <w:tcW w:type="dxa" w:w="1309"/>
          </w:tcPr>
          <w:p>
            <w:pPr>
              <w:pStyle w:val="Compact"/>
              <w:spacing w:line="240" w:lineRule="auto" w:after="20"/>
            </w:pPr>
            <w:r>
              <w:rPr>
                <w:sz w:val="20"/>
              </w:rPr>
              <w:t xml:space="preserve">Muğla→Manavgat</w:t>
            </w:r>
          </w:p>
        </w:tc>
        <w:tc>
          <w:tcPr>
            <w:tcW w:type="dxa" w:w="561"/>
          </w:tcPr>
          <w:p>
            <w:pPr>
              <w:pStyle w:val="Compact"/>
              <w:spacing w:line="240" w:lineRule="auto" w:after="20"/>
            </w:pPr>
            <w:r>
              <w:rPr>
                <w:sz w:val="20"/>
              </w:rPr>
              <w:t xml:space="preserve">0.908</w:t>
            </w:r>
          </w:p>
        </w:tc>
        <w:tc>
          <w:tcPr>
            <w:tcW w:type="dxa" w:w="468"/>
          </w:tcPr>
          <w:p>
            <w:pPr>
              <w:pStyle w:val="Compact"/>
              <w:spacing w:line="240" w:lineRule="auto" w:after="20"/>
            </w:pPr>
            <w:r>
              <w:rPr>
                <w:sz w:val="20"/>
              </w:rPr>
              <w:t xml:space="preserve">0.345</w:t>
            </w:r>
          </w:p>
        </w:tc>
        <w:tc>
          <w:tcPr>
            <w:tcW w:type="dxa" w:w="1964"/>
          </w:tcPr>
          <w:p>
            <w:pPr>
              <w:pStyle w:val="Compact"/>
              <w:spacing w:line="240" w:lineRule="auto" w:after="20"/>
            </w:pPr>
            <w:r>
              <w:rPr>
                <w:sz w:val="20"/>
              </w:rPr>
              <w:t xml:space="preserve">0.485 (z-score)</w:t>
            </w:r>
          </w:p>
        </w:tc>
        <w:tc>
          <w:tcPr>
            <w:tcW w:type="dxa" w:w="2151"/>
          </w:tcPr>
          <w:p>
            <w:pPr>
              <w:pStyle w:val="Compact"/>
              <w:spacing w:line="240" w:lineRule="auto" w:after="20"/>
            </w:pPr>
            <w:r>
              <w:rPr>
                <w:sz w:val="20"/>
              </w:rPr>
              <w:t xml:space="preserve">+0.25 [+0.22, +0.28]</w:t>
            </w:r>
          </w:p>
        </w:tc>
        <w:tc>
          <w:tcPr>
            <w:tcW w:type="dxa" w:w="2618"/>
          </w:tcPr>
          <w:p>
            <w:pPr>
              <w:pStyle w:val="Compact"/>
              <w:spacing w:line="240" w:lineRule="auto" w:after="20"/>
            </w:pPr>
            <w:r>
              <w:rPr>
                <w:sz w:val="20"/>
              </w:rPr>
              <w:t xml:space="preserve">adapted, chance not excluded</w:t>
            </w:r>
          </w:p>
        </w:tc>
      </w:tr>
      <w:tr>
        <w:trPr>
          <w:cantSplit/>
        </w:trPr>
        <w:tc>
          <w:tcPr>
            <w:tcW w:type="dxa" w:w="1309"/>
          </w:tcPr>
          <w:p>
            <w:pPr>
              <w:pStyle w:val="Compact"/>
              <w:spacing w:line="240" w:lineRule="auto" w:after="20"/>
            </w:pPr>
            <w:r>
              <w:rPr>
                <w:sz w:val="20"/>
              </w:rPr>
              <w:t xml:space="preserve">Evia→Bejís</w:t>
            </w:r>
          </w:p>
        </w:tc>
        <w:tc>
          <w:tcPr>
            <w:tcW w:type="dxa" w:w="561"/>
          </w:tcPr>
          <w:p>
            <w:pPr>
              <w:pStyle w:val="Compact"/>
              <w:spacing w:line="240" w:lineRule="auto" w:after="20"/>
            </w:pPr>
            <w:r>
              <w:rPr>
                <w:sz w:val="20"/>
              </w:rPr>
              <w:t xml:space="preserve">0.918</w:t>
            </w:r>
          </w:p>
        </w:tc>
        <w:tc>
          <w:tcPr>
            <w:tcW w:type="dxa" w:w="468"/>
          </w:tcPr>
          <w:p>
            <w:pPr>
              <w:pStyle w:val="Compact"/>
              <w:spacing w:line="240" w:lineRule="auto" w:after="20"/>
            </w:pPr>
            <w:r>
              <w:rPr>
                <w:sz w:val="20"/>
              </w:rPr>
              <w:t xml:space="preserve">0.448</w:t>
            </w:r>
          </w:p>
        </w:tc>
        <w:tc>
          <w:tcPr>
            <w:tcW w:type="dxa" w:w="1964"/>
          </w:tcPr>
          <w:p>
            <w:pPr>
              <w:pStyle w:val="Compact"/>
              <w:spacing w:line="240" w:lineRule="auto" w:after="20"/>
            </w:pPr>
            <w:r>
              <w:rPr>
                <w:sz w:val="20"/>
              </w:rPr>
              <w:t xml:space="preserve">0.549 (z-score)</w:t>
            </w:r>
          </w:p>
        </w:tc>
        <w:tc>
          <w:tcPr>
            <w:tcW w:type="dxa" w:w="2151"/>
          </w:tcPr>
          <w:p>
            <w:pPr>
              <w:pStyle w:val="Compact"/>
              <w:spacing w:line="240" w:lineRule="auto" w:after="20"/>
            </w:pPr>
            <w:r>
              <w:rPr>
                <w:sz w:val="20"/>
              </w:rPr>
              <w:t xml:space="preserve">+0.22 [+0.16, +0.27]</w:t>
            </w:r>
          </w:p>
        </w:tc>
        <w:tc>
          <w:tcPr>
            <w:tcW w:type="dxa" w:w="2618"/>
          </w:tcPr>
          <w:p>
            <w:pPr>
              <w:pStyle w:val="Compact"/>
              <w:spacing w:line="240" w:lineRule="auto" w:after="20"/>
            </w:pPr>
            <w:r>
              <w:rPr>
                <w:sz w:val="20"/>
              </w:rPr>
              <w:t xml:space="preserve">adapted above chance</w:t>
            </w:r>
          </w:p>
        </w:tc>
      </w:tr>
      <w:tr>
        <w:trPr>
          <w:cantSplit/>
        </w:trPr>
        <w:tc>
          <w:tcPr>
            <w:tcW w:type="dxa" w:w="1309"/>
          </w:tcPr>
          <w:p>
            <w:pPr>
              <w:pStyle w:val="Compact"/>
              <w:spacing w:line="240" w:lineRule="auto" w:after="20"/>
            </w:pPr>
            <w:r>
              <w:rPr>
                <w:sz w:val="20"/>
              </w:rPr>
              <w:t xml:space="preserve">Bejís→Manavgat</w:t>
            </w:r>
          </w:p>
        </w:tc>
        <w:tc>
          <w:tcPr>
            <w:tcW w:type="dxa" w:w="561"/>
          </w:tcPr>
          <w:p>
            <w:pPr>
              <w:pStyle w:val="Compact"/>
              <w:spacing w:line="240" w:lineRule="auto" w:after="20"/>
            </w:pPr>
            <w:r>
              <w:rPr>
                <w:sz w:val="20"/>
              </w:rPr>
              <w:t xml:space="preserve">0.908</w:t>
            </w:r>
          </w:p>
        </w:tc>
        <w:tc>
          <w:tcPr>
            <w:tcW w:type="dxa" w:w="468"/>
          </w:tcPr>
          <w:p>
            <w:pPr>
              <w:pStyle w:val="Compact"/>
              <w:spacing w:line="240" w:lineRule="auto" w:after="20"/>
            </w:pPr>
            <w:r>
              <w:rPr>
                <w:sz w:val="20"/>
              </w:rPr>
              <w:t xml:space="preserve">0.314</w:t>
            </w:r>
          </w:p>
        </w:tc>
        <w:tc>
          <w:tcPr>
            <w:tcW w:type="dxa" w:w="1964"/>
          </w:tcPr>
          <w:p>
            <w:pPr>
              <w:pStyle w:val="Compact"/>
              <w:spacing w:line="240" w:lineRule="auto" w:after="20"/>
            </w:pPr>
            <w:r>
              <w:rPr>
                <w:sz w:val="20"/>
              </w:rPr>
              <w:t xml:space="preserve">0.406 (CORAL)</w:t>
            </w:r>
          </w:p>
        </w:tc>
        <w:tc>
          <w:tcPr>
            <w:tcW w:type="dxa" w:w="2151"/>
          </w:tcPr>
          <w:p>
            <w:pPr>
              <w:pStyle w:val="Compact"/>
              <w:spacing w:line="240" w:lineRule="auto" w:after="20"/>
            </w:pPr>
            <w:r>
              <w:rPr>
                <w:sz w:val="20"/>
              </w:rPr>
              <w:t xml:space="preserve">+0.15 [+0.13, +0.18]</w:t>
            </w:r>
          </w:p>
        </w:tc>
        <w:tc>
          <w:tcPr>
            <w:tcW w:type="dxa" w:w="2618"/>
          </w:tcPr>
          <w:p>
            <w:pPr>
              <w:pStyle w:val="Compact"/>
              <w:spacing w:line="240" w:lineRule="auto" w:after="20"/>
            </w:pPr>
            <w:r>
              <w:rPr>
                <w:sz w:val="20"/>
              </w:rPr>
              <w:t xml:space="preserve">adapted still below chance</w:t>
            </w:r>
          </w:p>
        </w:tc>
      </w:tr>
      <w:tr>
        <w:trPr>
          <w:cantSplit/>
        </w:trPr>
        <w:tc>
          <w:tcPr>
            <w:tcW w:type="dxa" w:w="1309"/>
          </w:tcPr>
          <w:p>
            <w:pPr>
              <w:pStyle w:val="Compact"/>
              <w:spacing w:line="240" w:lineRule="auto" w:after="20"/>
            </w:pPr>
            <w:r>
              <w:rPr>
                <w:sz w:val="20"/>
              </w:rPr>
              <w:t xml:space="preserve">Manavgat→Bejís</w:t>
            </w:r>
          </w:p>
        </w:tc>
        <w:tc>
          <w:tcPr>
            <w:tcW w:type="dxa" w:w="561"/>
          </w:tcPr>
          <w:p>
            <w:pPr>
              <w:pStyle w:val="Compact"/>
              <w:spacing w:line="240" w:lineRule="auto" w:after="20"/>
            </w:pPr>
            <w:r>
              <w:rPr>
                <w:sz w:val="20"/>
              </w:rPr>
              <w:t xml:space="preserve">0.918</w:t>
            </w:r>
          </w:p>
        </w:tc>
        <w:tc>
          <w:tcPr>
            <w:tcW w:type="dxa" w:w="468"/>
          </w:tcPr>
          <w:p>
            <w:pPr>
              <w:pStyle w:val="Compact"/>
              <w:spacing w:line="240" w:lineRule="auto" w:after="20"/>
            </w:pPr>
            <w:r>
              <w:rPr>
                <w:sz w:val="20"/>
              </w:rPr>
              <w:t xml:space="preserve">0.396</w:t>
            </w:r>
          </w:p>
        </w:tc>
        <w:tc>
          <w:tcPr>
            <w:tcW w:type="dxa" w:w="1964"/>
          </w:tcPr>
          <w:p>
            <w:pPr>
              <w:pStyle w:val="Compact"/>
              <w:spacing w:line="240" w:lineRule="auto" w:after="20"/>
            </w:pPr>
            <w:r>
              <w:rPr>
                <w:sz w:val="20"/>
              </w:rPr>
              <w:t xml:space="preserve">0.467 (CORAL)</w:t>
            </w:r>
          </w:p>
        </w:tc>
        <w:tc>
          <w:tcPr>
            <w:tcW w:type="dxa" w:w="2151"/>
          </w:tcPr>
          <w:p>
            <w:pPr>
              <w:pStyle w:val="Compact"/>
              <w:spacing w:line="240" w:lineRule="auto" w:after="20"/>
            </w:pPr>
            <w:r>
              <w:rPr>
                <w:sz w:val="20"/>
              </w:rPr>
              <w:t xml:space="preserve">+0.14 [+0.09, +0.17]</w:t>
            </w:r>
          </w:p>
        </w:tc>
        <w:tc>
          <w:tcPr>
            <w:tcW w:type="dxa" w:w="2618"/>
          </w:tcPr>
          <w:p>
            <w:pPr>
              <w:pStyle w:val="Compact"/>
              <w:spacing w:line="240" w:lineRule="auto" w:after="20"/>
            </w:pPr>
            <w:r>
              <w:rPr>
                <w:sz w:val="20"/>
              </w:rPr>
              <w:t xml:space="preserve">adapted still below chance</w:t>
            </w:r>
          </w:p>
        </w:tc>
      </w:tr>
      <w:tr>
        <w:trPr>
          <w:cantSplit/>
        </w:trPr>
        <w:tc>
          <w:tcPr>
            <w:tcW w:type="dxa" w:w="1309"/>
          </w:tcPr>
          <w:p>
            <w:pPr>
              <w:pStyle w:val="Compact"/>
              <w:spacing w:line="240" w:lineRule="auto" w:after="20"/>
            </w:pPr>
            <w:r>
              <w:rPr>
                <w:sz w:val="20"/>
              </w:rPr>
              <w:t xml:space="preserve">Manavgat→Muğla</w:t>
            </w:r>
          </w:p>
        </w:tc>
        <w:tc>
          <w:tcPr>
            <w:tcW w:type="dxa" w:w="561"/>
          </w:tcPr>
          <w:p>
            <w:pPr>
              <w:pStyle w:val="Compact"/>
              <w:spacing w:line="240" w:lineRule="auto" w:after="20"/>
            </w:pPr>
            <w:r>
              <w:rPr>
                <w:sz w:val="20"/>
              </w:rPr>
              <w:t xml:space="preserve">0.859</w:t>
            </w:r>
          </w:p>
        </w:tc>
        <w:tc>
          <w:tcPr>
            <w:tcW w:type="dxa" w:w="468"/>
          </w:tcPr>
          <w:p>
            <w:pPr>
              <w:pStyle w:val="Compact"/>
              <w:spacing w:line="240" w:lineRule="auto" w:after="20"/>
            </w:pPr>
            <w:r>
              <w:rPr>
                <w:sz w:val="20"/>
              </w:rPr>
              <w:t xml:space="preserve">0.438</w:t>
            </w:r>
          </w:p>
        </w:tc>
        <w:tc>
          <w:tcPr>
            <w:tcW w:type="dxa" w:w="1964"/>
          </w:tcPr>
          <w:p>
            <w:pPr>
              <w:pStyle w:val="Compact"/>
              <w:spacing w:line="240" w:lineRule="auto" w:after="20"/>
            </w:pPr>
            <w:r>
              <w:rPr>
                <w:sz w:val="20"/>
              </w:rPr>
              <w:t xml:space="preserve">0.427 (z-score)</w:t>
            </w:r>
          </w:p>
        </w:tc>
        <w:tc>
          <w:tcPr>
            <w:tcW w:type="dxa" w:w="2151"/>
          </w:tcPr>
          <w:p>
            <w:pPr>
              <w:pStyle w:val="Compact"/>
              <w:spacing w:line="240" w:lineRule="auto" w:after="20"/>
            </w:pPr>
            <w:r>
              <w:rPr>
                <w:sz w:val="20"/>
              </w:rPr>
              <w:t xml:space="preserve">−0.03 [−0.06, +0.01]</w:t>
            </w:r>
          </w:p>
        </w:tc>
        <w:tc>
          <w:tcPr>
            <w:tcW w:type="dxa" w:w="2618"/>
          </w:tcPr>
          <w:p>
            <w:pPr>
              <w:pStyle w:val="Compact"/>
              <w:spacing w:line="240" w:lineRule="auto" w:after="20"/>
            </w:pPr>
            <w:r>
              <w:rPr>
                <w:b/>
                <w:bCs/>
                <w:sz w:val="20"/>
              </w:rPr>
              <w:t xml:space="preserve">negative recovery</w:t>
            </w:r>
          </w:p>
        </w:tc>
      </w:tr>
      <w:tr>
        <w:trPr>
          <w:cantSplit/>
        </w:trPr>
        <w:tc>
          <w:tcPr>
            <w:tcW w:type="dxa" w:w="1309"/>
          </w:tcPr>
          <w:p>
            <w:pPr>
              <w:pStyle w:val="Compact"/>
              <w:spacing w:line="240" w:lineRule="auto" w:after="20"/>
            </w:pPr>
            <w:r>
              <w:rPr>
                <w:sz w:val="20"/>
              </w:rPr>
              <w:t xml:space="preserve">Muğla→Bejís</w:t>
            </w:r>
          </w:p>
        </w:tc>
        <w:tc>
          <w:tcPr>
            <w:tcW w:type="dxa" w:w="561"/>
          </w:tcPr>
          <w:p>
            <w:pPr>
              <w:pStyle w:val="Compact"/>
              <w:spacing w:line="240" w:lineRule="auto" w:after="20"/>
            </w:pPr>
            <w:r>
              <w:rPr>
                <w:sz w:val="20"/>
              </w:rPr>
              <w:t xml:space="preserve">0.918</w:t>
            </w:r>
          </w:p>
        </w:tc>
        <w:tc>
          <w:tcPr>
            <w:tcW w:type="dxa" w:w="468"/>
          </w:tcPr>
          <w:p>
            <w:pPr>
              <w:pStyle w:val="Compact"/>
              <w:spacing w:line="240" w:lineRule="auto" w:after="20"/>
            </w:pPr>
            <w:r>
              <w:rPr>
                <w:sz w:val="20"/>
              </w:rPr>
              <w:t xml:space="preserve">0.583</w:t>
            </w:r>
          </w:p>
        </w:tc>
        <w:tc>
          <w:tcPr>
            <w:tcW w:type="dxa" w:w="1964"/>
          </w:tcPr>
          <w:p>
            <w:pPr>
              <w:pStyle w:val="Compact"/>
              <w:spacing w:line="240" w:lineRule="auto" w:after="20"/>
            </w:pPr>
            <w:r>
              <w:rPr>
                <w:sz w:val="20"/>
              </w:rPr>
              <w:t xml:space="preserve">0.560 (CORAL)</w:t>
            </w:r>
          </w:p>
        </w:tc>
        <w:tc>
          <w:tcPr>
            <w:tcW w:type="dxa" w:w="2151"/>
          </w:tcPr>
          <w:p>
            <w:pPr>
              <w:pStyle w:val="Compact"/>
              <w:spacing w:line="240" w:lineRule="auto" w:after="20"/>
            </w:pPr>
            <w:r>
              <w:rPr>
                <w:sz w:val="20"/>
              </w:rPr>
              <w:t xml:space="preserve">−0.07 [−0.16, +0.01]</w:t>
            </w:r>
          </w:p>
        </w:tc>
        <w:tc>
          <w:tcPr>
            <w:tcW w:type="dxa" w:w="2618"/>
          </w:tcPr>
          <w:p>
            <w:pPr>
              <w:pStyle w:val="Compact"/>
              <w:spacing w:line="240" w:lineRule="auto" w:after="20"/>
            </w:pPr>
            <w:r>
              <w:rPr>
                <w:b/>
                <w:bCs/>
                <w:sz w:val="20"/>
              </w:rPr>
              <w:t xml:space="preserve">negative recovery</w:t>
            </w:r>
          </w:p>
        </w:tc>
      </w:tr>
      <w:tr>
        <w:trPr>
          <w:cantSplit/>
        </w:trPr>
        <w:tc>
          <w:tcPr>
            <w:tcW w:type="dxa" w:w="1309"/>
          </w:tcPr>
          <w:p>
            <w:pPr>
              <w:pStyle w:val="Compact"/>
              <w:spacing w:line="240" w:lineRule="auto" w:after="20"/>
            </w:pPr>
            <w:r>
              <w:rPr>
                <w:sz w:val="20"/>
              </w:rPr>
              <w:t xml:space="preserve">Evia→Muğla</w:t>
            </w:r>
          </w:p>
        </w:tc>
        <w:tc>
          <w:tcPr>
            <w:tcW w:type="dxa" w:w="561"/>
          </w:tcPr>
          <w:p>
            <w:pPr>
              <w:pStyle w:val="Compact"/>
              <w:spacing w:line="240" w:lineRule="auto" w:after="20"/>
            </w:pPr>
            <w:r>
              <w:rPr>
                <w:sz w:val="20"/>
              </w:rPr>
              <w:t xml:space="preserve">0.859</w:t>
            </w:r>
          </w:p>
        </w:tc>
        <w:tc>
          <w:tcPr>
            <w:tcW w:type="dxa" w:w="468"/>
          </w:tcPr>
          <w:p>
            <w:pPr>
              <w:pStyle w:val="Compact"/>
              <w:spacing w:line="240" w:lineRule="auto" w:after="20"/>
            </w:pPr>
            <w:r>
              <w:rPr>
                <w:sz w:val="20"/>
              </w:rPr>
              <w:t xml:space="preserve">0.577</w:t>
            </w:r>
          </w:p>
        </w:tc>
        <w:tc>
          <w:tcPr>
            <w:tcW w:type="dxa" w:w="1964"/>
          </w:tcPr>
          <w:p>
            <w:pPr>
              <w:pStyle w:val="Compact"/>
              <w:spacing w:line="240" w:lineRule="auto" w:after="20"/>
            </w:pPr>
            <w:r>
              <w:rPr>
                <w:sz w:val="20"/>
              </w:rPr>
              <w:t xml:space="preserve">0.530 (CORAL)</w:t>
            </w:r>
          </w:p>
        </w:tc>
        <w:tc>
          <w:tcPr>
            <w:tcW w:type="dxa" w:w="2151"/>
          </w:tcPr>
          <w:p>
            <w:pPr>
              <w:pStyle w:val="Compact"/>
              <w:spacing w:line="240" w:lineRule="auto" w:after="20"/>
            </w:pPr>
            <w:r>
              <w:rPr>
                <w:sz w:val="20"/>
              </w:rPr>
              <w:t xml:space="preserve">−0.17 [−0.22, −0.11]</w:t>
            </w:r>
          </w:p>
        </w:tc>
        <w:tc>
          <w:tcPr>
            <w:tcW w:type="dxa" w:w="2618"/>
          </w:tcPr>
          <w:p>
            <w:pPr>
              <w:pStyle w:val="Compact"/>
              <w:spacing w:line="240" w:lineRule="auto" w:after="20"/>
            </w:pPr>
            <w:r>
              <w:rPr>
                <w:b/>
                <w:bCs/>
                <w:sz w:val="20"/>
              </w:rPr>
              <w:t xml:space="preserve">negative recovery</w:t>
            </w:r>
          </w:p>
        </w:tc>
      </w:tr>
      <w:tr>
        <w:trPr>
          <w:cantSplit/>
        </w:trPr>
        <w:tc>
          <w:tcPr>
            <w:tcW w:type="dxa" w:w="1309"/>
          </w:tcPr>
          <w:p>
            <w:pPr>
              <w:pStyle w:val="Compact"/>
              <w:spacing w:line="240" w:lineRule="auto" w:after="20"/>
            </w:pPr>
            <w:r>
              <w:rPr>
                <w:sz w:val="20"/>
              </w:rPr>
              <w:t xml:space="preserve">Muğla→Evia</w:t>
            </w:r>
          </w:p>
        </w:tc>
        <w:tc>
          <w:tcPr>
            <w:tcW w:type="dxa" w:w="561"/>
          </w:tcPr>
          <w:p>
            <w:pPr>
              <w:pStyle w:val="Compact"/>
              <w:spacing w:line="240" w:lineRule="auto" w:after="20"/>
            </w:pPr>
            <w:r>
              <w:rPr>
                <w:sz w:val="20"/>
              </w:rPr>
              <w:t xml:space="preserve">0.912</w:t>
            </w:r>
          </w:p>
        </w:tc>
        <w:tc>
          <w:tcPr>
            <w:tcW w:type="dxa" w:w="468"/>
          </w:tcPr>
          <w:p>
            <w:pPr>
              <w:pStyle w:val="Compact"/>
              <w:spacing w:line="240" w:lineRule="auto" w:after="20"/>
            </w:pPr>
            <w:r>
              <w:rPr>
                <w:sz w:val="20"/>
              </w:rPr>
              <w:t xml:space="preserve">0.653</w:t>
            </w:r>
          </w:p>
        </w:tc>
        <w:tc>
          <w:tcPr>
            <w:tcW w:type="dxa" w:w="1964"/>
          </w:tcPr>
          <w:p>
            <w:pPr>
              <w:pStyle w:val="Compact"/>
              <w:spacing w:line="240" w:lineRule="auto" w:after="20"/>
            </w:pPr>
            <w:r>
              <w:rPr>
                <w:sz w:val="20"/>
              </w:rPr>
              <w:t xml:space="preserve">0.563 (CORAL)</w:t>
            </w:r>
          </w:p>
        </w:tc>
        <w:tc>
          <w:tcPr>
            <w:tcW w:type="dxa" w:w="2151"/>
          </w:tcPr>
          <w:p>
            <w:pPr>
              <w:pStyle w:val="Compact"/>
              <w:spacing w:line="240" w:lineRule="auto" w:after="20"/>
            </w:pPr>
            <w:r>
              <w:rPr>
                <w:sz w:val="20"/>
              </w:rPr>
              <w:t xml:space="preserve">−0.35 [−0.43, −0.27]</w:t>
            </w:r>
          </w:p>
        </w:tc>
        <w:tc>
          <w:tcPr>
            <w:tcW w:type="dxa" w:w="2618"/>
          </w:tcPr>
          <w:p>
            <w:pPr>
              <w:pStyle w:val="Compact"/>
              <w:spacing w:line="240" w:lineRule="auto" w:after="20"/>
            </w:pPr>
            <w:r>
              <w:rPr>
                <w:b/>
                <w:bCs/>
                <w:sz w:val="20"/>
              </w:rPr>
              <w:t xml:space="preserve">negative recovery</w:t>
            </w:r>
          </w:p>
        </w:tc>
      </w:tr>
      <w:tr>
        <w:trPr>
          <w:cantSplit/>
        </w:trPr>
        <w:tc>
          <w:tcPr>
            <w:tcW w:type="dxa" w:w="1309"/>
          </w:tcPr>
          <w:p>
            <w:pPr>
              <w:pStyle w:val="Compact"/>
              <w:spacing w:line="240" w:lineRule="auto" w:after="20"/>
            </w:pPr>
            <w:r>
              <w:rPr>
                <w:sz w:val="20"/>
              </w:rPr>
              <w:t xml:space="preserve">Bejís→Muğla</w:t>
            </w:r>
          </w:p>
        </w:tc>
        <w:tc>
          <w:tcPr>
            <w:tcW w:type="dxa" w:w="561"/>
          </w:tcPr>
          <w:p>
            <w:pPr>
              <w:pStyle w:val="Compact"/>
              <w:spacing w:line="240" w:lineRule="auto" w:after="20"/>
            </w:pPr>
            <w:r>
              <w:rPr>
                <w:sz w:val="20"/>
              </w:rPr>
              <w:t xml:space="preserve">0.859</w:t>
            </w:r>
          </w:p>
        </w:tc>
        <w:tc>
          <w:tcPr>
            <w:tcW w:type="dxa" w:w="468"/>
          </w:tcPr>
          <w:p>
            <w:pPr>
              <w:pStyle w:val="Compact"/>
              <w:spacing w:line="240" w:lineRule="auto" w:after="20"/>
            </w:pPr>
            <w:r>
              <w:rPr>
                <w:sz w:val="20"/>
              </w:rPr>
              <w:t xml:space="preserve">0.618</w:t>
            </w:r>
          </w:p>
        </w:tc>
        <w:tc>
          <w:tcPr>
            <w:tcW w:type="dxa" w:w="1964"/>
          </w:tcPr>
          <w:p>
            <w:pPr>
              <w:pStyle w:val="Compact"/>
              <w:spacing w:line="240" w:lineRule="auto" w:after="20"/>
            </w:pPr>
            <w:r>
              <w:rPr>
                <w:sz w:val="20"/>
              </w:rPr>
              <w:t xml:space="preserve">0.518 (z-score)</w:t>
            </w:r>
          </w:p>
        </w:tc>
        <w:tc>
          <w:tcPr>
            <w:tcW w:type="dxa" w:w="2151"/>
          </w:tcPr>
          <w:p>
            <w:pPr>
              <w:pStyle w:val="Compact"/>
              <w:spacing w:line="240" w:lineRule="auto" w:after="20"/>
            </w:pPr>
            <w:r>
              <w:rPr>
                <w:sz w:val="20"/>
              </w:rPr>
              <w:t xml:space="preserve">−0.42 [−0.51, −0.34]</w:t>
            </w:r>
          </w:p>
        </w:tc>
        <w:tc>
          <w:tcPr>
            <w:tcW w:type="dxa" w:w="2618"/>
          </w:tcPr>
          <w:p>
            <w:pPr>
              <w:pStyle w:val="Compact"/>
              <w:spacing w:line="240" w:lineRule="auto" w:after="20"/>
            </w:pPr>
            <w:r>
              <w:rPr>
                <w:b/>
                <w:bCs/>
                <w:sz w:val="20"/>
              </w:rPr>
              <w:t xml:space="preserve">negative recovery</w:t>
            </w:r>
          </w:p>
        </w:tc>
      </w:tr>
      <w:tr>
        <w:trPr>
          <w:cantSplit/>
        </w:trPr>
        <w:tc>
          <w:tcPr>
            <w:tcW w:type="dxa" w:w="1309"/>
          </w:tcPr>
          <w:p>
            <w:pPr>
              <w:pStyle w:val="Compact"/>
              <w:spacing w:line="240" w:lineRule="auto" w:after="20"/>
            </w:pPr>
            <w:r>
              <w:rPr>
                <w:sz w:val="20"/>
              </w:rPr>
              <w:t xml:space="preserve">Manavgat→Evia</w:t>
            </w:r>
          </w:p>
        </w:tc>
        <w:tc>
          <w:tcPr>
            <w:tcW w:type="dxa" w:w="561"/>
          </w:tcPr>
          <w:p>
            <w:pPr>
              <w:pStyle w:val="Compact"/>
              <w:spacing w:line="240" w:lineRule="auto" w:after="20"/>
            </w:pPr>
            <w:r>
              <w:rPr>
                <w:sz w:val="20"/>
              </w:rPr>
              <w:t xml:space="preserve">0.912</w:t>
            </w:r>
          </w:p>
        </w:tc>
        <w:tc>
          <w:tcPr>
            <w:tcW w:type="dxa" w:w="468"/>
          </w:tcPr>
          <w:p>
            <w:pPr>
              <w:pStyle w:val="Compact"/>
              <w:spacing w:line="240" w:lineRule="auto" w:after="20"/>
            </w:pPr>
            <w:r>
              <w:rPr>
                <w:sz w:val="20"/>
              </w:rPr>
              <w:t xml:space="preserve">0.654</w:t>
            </w:r>
          </w:p>
        </w:tc>
        <w:tc>
          <w:tcPr>
            <w:tcW w:type="dxa" w:w="1964"/>
          </w:tcPr>
          <w:p>
            <w:pPr>
              <w:pStyle w:val="Compact"/>
              <w:spacing w:line="240" w:lineRule="auto" w:after="20"/>
            </w:pPr>
            <w:r>
              <w:rPr>
                <w:sz w:val="20"/>
              </w:rPr>
              <w:t xml:space="preserve">0.529 (z-score)</w:t>
            </w:r>
          </w:p>
        </w:tc>
        <w:tc>
          <w:tcPr>
            <w:tcW w:type="dxa" w:w="2151"/>
          </w:tcPr>
          <w:p>
            <w:pPr>
              <w:pStyle w:val="Compact"/>
              <w:spacing w:line="240" w:lineRule="auto" w:after="20"/>
            </w:pPr>
            <w:r>
              <w:rPr>
                <w:sz w:val="20"/>
              </w:rPr>
              <w:t xml:space="preserve">−0.48 [−0.56, −0.42]</w:t>
            </w:r>
          </w:p>
        </w:tc>
        <w:tc>
          <w:tcPr>
            <w:tcW w:type="dxa" w:w="2618"/>
          </w:tcPr>
          <w:p>
            <w:pPr>
              <w:pStyle w:val="Compact"/>
              <w:spacing w:line="240" w:lineRule="auto" w:after="20"/>
            </w:pPr>
            <w:r>
              <w:rPr>
                <w:b/>
                <w:bCs/>
                <w:sz w:val="20"/>
              </w:rPr>
              <w:t xml:space="preserve">negative recovery</w:t>
            </w:r>
          </w:p>
        </w:tc>
      </w:tr>
      <w:tr>
        <w:trPr>
          <w:cantSplit/>
        </w:trPr>
        <w:tc>
          <w:tcPr>
            <w:tcW w:type="dxa" w:w="1309"/>
          </w:tcPr>
          <w:p>
            <w:pPr>
              <w:pStyle w:val="Compact"/>
              <w:spacing w:line="240" w:lineRule="auto" w:after="20"/>
            </w:pPr>
            <w:r>
              <w:rPr>
                <w:sz w:val="20"/>
              </w:rPr>
              <w:t xml:space="preserve">Evia→Manavgat</w:t>
            </w:r>
          </w:p>
        </w:tc>
        <w:tc>
          <w:tcPr>
            <w:tcW w:type="dxa" w:w="561"/>
          </w:tcPr>
          <w:p>
            <w:pPr>
              <w:pStyle w:val="Compact"/>
              <w:spacing w:line="240" w:lineRule="auto" w:after="20"/>
            </w:pPr>
            <w:r>
              <w:rPr>
                <w:sz w:val="20"/>
              </w:rPr>
              <w:t xml:space="preserve">0.908</w:t>
            </w:r>
          </w:p>
        </w:tc>
        <w:tc>
          <w:tcPr>
            <w:tcW w:type="dxa" w:w="468"/>
          </w:tcPr>
          <w:p>
            <w:pPr>
              <w:pStyle w:val="Compact"/>
              <w:spacing w:line="240" w:lineRule="auto" w:after="20"/>
            </w:pPr>
            <w:r>
              <w:rPr>
                <w:sz w:val="20"/>
              </w:rPr>
              <w:t xml:space="preserve">0.677</w:t>
            </w:r>
          </w:p>
        </w:tc>
        <w:tc>
          <w:tcPr>
            <w:tcW w:type="dxa" w:w="1964"/>
          </w:tcPr>
          <w:p>
            <w:pPr>
              <w:pStyle w:val="Compact"/>
              <w:spacing w:line="240" w:lineRule="auto" w:after="20"/>
            </w:pPr>
            <w:r>
              <w:rPr>
                <w:sz w:val="20"/>
              </w:rPr>
              <w:t xml:space="preserve">0.417 (CORAL)</w:t>
            </w:r>
          </w:p>
        </w:tc>
        <w:tc>
          <w:tcPr>
            <w:tcW w:type="dxa" w:w="2151"/>
          </w:tcPr>
          <w:p>
            <w:pPr>
              <w:pStyle w:val="Compact"/>
              <w:spacing w:line="240" w:lineRule="auto" w:after="20"/>
            </w:pPr>
            <w:r>
              <w:rPr>
                <w:sz w:val="20"/>
              </w:rPr>
              <w:t xml:space="preserve">−1.13 [−1.27, −1.00]</w:t>
            </w:r>
          </w:p>
        </w:tc>
        <w:tc>
          <w:tcPr>
            <w:tcW w:type="dxa" w:w="2618"/>
          </w:tcPr>
          <w:p>
            <w:pPr>
              <w:pStyle w:val="Compact"/>
              <w:spacing w:line="240" w:lineRule="auto" w:after="20"/>
            </w:pPr>
            <w:r>
              <w:rPr>
                <w:b/>
                <w:bCs/>
                <w:sz w:val="20"/>
              </w:rPr>
              <w:t xml:space="preserve">negative recovery</w:t>
            </w:r>
          </w:p>
        </w:tc>
      </w:tr>
    </w:tbl>
    <w:bookmarkEnd w:id="32"/>
    <w:bookmarkStart w:id="33" w:name="s1.11-the-thermal-sign-stratified"/>
    <w:p>
      <w:pPr>
        <w:pStyle w:val="Heading2"/>
      </w:pPr>
      <w:r>
        <w:t xml:space="preserve">S1.11 The thermal sign, stratified</w:t>
      </w:r>
    </w:p>
    <w:p>
      <w:pPr>
        <w:pStyle w:val="FirstParagraph"/>
      </w:pPr>
      <w:r>
        <w:t xml:space="preserve">Section 4.4 reports that four of five regions show a negative association between pre-fire surface</w:t>
      </w:r>
      <w:r>
        <w:t xml:space="preserve"> </w:t>
      </w:r>
      <w:r>
        <w:t xml:space="preserve">temperature and burning, and that Manavgat shows the same once elevation is held. The values per</w:t>
      </w:r>
      <w:r>
        <w:t xml:space="preserve"> </w:t>
      </w:r>
      <w:r>
        <w:t xml:space="preserve">region are given here. Signed AUC against</w:t>
      </w:r>
      <w:r>
        <w:t xml:space="preserve"> </w:t>
      </w:r>
      <w:r>
        <w:rPr>
          <w:rStyle w:val="VerbatimChar"/>
        </w:rPr>
        <w:t xml:space="preserve">burned</w:t>
      </w:r>
      <w:r>
        <w:t xml:space="preserve"> </w:t>
      </w:r>
      <w:r>
        <w:t xml:space="preserve">within the 10 km collar. The stratified columns</w:t>
      </w:r>
      <w:r>
        <w:t xml:space="preserve"> </w:t>
      </w:r>
      <w:r>
        <w:t xml:space="preserve">pool the concordance within deciles of the named variable, and each decile is weighted by its number</w:t>
      </w:r>
      <w:r>
        <w:t xml:space="preserve"> </w:t>
      </w:r>
      <w:r>
        <w:t xml:space="preserve">of burned and unburned cell pairs. Sources:</w:t>
      </w:r>
      <w:r>
        <w:t xml:space="preserve"> </w:t>
      </w:r>
      <w:r>
        <w:rPr>
          <w:rStyle w:val="VerbatimChar"/>
        </w:rPr>
        <w:t xml:space="preserve">paper/labelfix_rerun/code/matched_frame_gap.csv</w:t>
      </w:r>
      <w:r>
        <w:t xml:space="preserve"> </w:t>
      </w:r>
      <w:r>
        <w:t xml:space="preserve">(LST</w:t>
      </w:r>
      <w:r>
        <w:t xml:space="preserve"> </w:t>
      </w:r>
      <w:r>
        <w:t xml:space="preserve">raw, within NDVI, within distance; NDVI columns), which can be recomputed by</w:t>
      </w:r>
      <w:r>
        <w:t xml:space="preserve"> </w:t>
      </w:r>
      <w:r>
        <w:rPr>
          <w:rStyle w:val="VerbatimChar"/>
        </w:rPr>
        <w:t xml:space="preserve">paper/code/verify_matched_gap.py</w:t>
      </w:r>
      <w:r>
        <w:t xml:space="preserve">, and</w:t>
      </w:r>
      <w:r>
        <w:t xml:space="preserve"> </w:t>
      </w:r>
      <w:r>
        <w:rPr>
          <w:rStyle w:val="VerbatimChar"/>
        </w:rPr>
        <w:t xml:space="preserve">paper/labelfix_rerun/round7/r7b_lst_given_terrain.csv</w:t>
      </w:r>
      <w:r>
        <w:t xml:space="preserve"> </w:t>
      </w:r>
      <w:r>
        <w:t xml:space="preserve">(LST</w:t>
      </w:r>
      <w:r>
        <w:t xml:space="preserve"> </w:t>
      </w:r>
      <w:r>
        <w:t xml:space="preserve">within elevation, and LST detrended on elevation).</w:t>
      </w:r>
    </w:p>
    <w:p>
      <w:pPr>
        <w:pStyle w:val="BodyText"/>
        <w:keepNext/>
      </w:pPr>
      <w:r>
        <w:rPr>
          <w:b/>
          <w:bCs/>
        </w:rPr>
        <w:t xml:space="preserve">Table S27. The LST association, stratified, 10 km collar.</w:t>
      </w:r>
      <w:r>
        <w:t xml:space="preserve"> </w:t>
      </w:r>
      <w:r>
        <w:t xml:space="preserve">Point estimates; 10-cell block-bootstrap intervals for every cell</w:t>
      </w:r>
      <w:r>
        <w:t xml:space="preserve"> </w:t>
      </w:r>
      <w:r>
        <w:t xml:space="preserve">are in</w:t>
      </w:r>
      <w:r>
        <w:t xml:space="preserve"> </w:t>
      </w:r>
      <w:r>
        <w:rPr>
          <w:rStyle w:val="VerbatimChar"/>
        </w:rPr>
        <w:t xml:space="preserve">paper/labelfix_rerun/round8/r8e_stratified_intervals.csv</w:t>
      </w:r>
      <w:r>
        <w:t xml:space="preserve">, and the Manavgat values are</w:t>
      </w:r>
      <w:r>
        <w:t xml:space="preserve"> </w:t>
      </w:r>
      <w:r>
        <w:t xml:space="preserve">summarised in Table S35.</w:t>
      </w:r>
    </w:p>
    <w:tbl>
      <w:tblPr>
        <w:tblStyle w:val="Table"/>
        <w:tblW w:type="auto" w:w="0"/>
        <w:tblLook w:firstRow="1" w:lastRow="0" w:firstColumn="0" w:lastColumn="0" w:noHBand="0" w:noVBand="0" w:val="0020"/>
      </w:tblPr>
      <w:tblGrid>
        <w:gridCol w:w="756"/>
        <w:gridCol w:w="529"/>
        <w:gridCol w:w="1512"/>
        <w:gridCol w:w="1965"/>
        <w:gridCol w:w="1134"/>
        <w:gridCol w:w="1436"/>
        <w:gridCol w:w="605"/>
        <w:gridCol w:w="1134"/>
      </w:tblGrid>
      <w:tr>
        <w:trPr>
          <w:tblHeader w:val="on"/>
          <w:cantSplit/>
        </w:trPr>
        <w:tc>
          <w:tcPr>
            <w:tcW w:type="dxa" w:w="756"/>
          </w:tcPr>
          <w:p>
            <w:pPr>
              <w:pStyle w:val="Compact"/>
              <w:spacing w:line="240" w:lineRule="auto" w:after="20"/>
            </w:pPr>
            <w:r>
              <w:rPr>
                <w:sz w:val="20"/>
              </w:rPr>
              <w:t xml:space="preserve">Region</w:t>
            </w:r>
          </w:p>
        </w:tc>
        <w:tc>
          <w:tcPr>
            <w:tcW w:type="dxa" w:w="529"/>
          </w:tcPr>
          <w:p>
            <w:pPr>
              <w:pStyle w:val="Compact"/>
              <w:spacing w:line="240" w:lineRule="auto" w:after="20"/>
              <w:jc w:val="right"/>
            </w:pPr>
            <w:r>
              <w:rPr>
                <w:sz w:val="20"/>
              </w:rPr>
              <w:t xml:space="preserve">LST raw</w:t>
            </w:r>
          </w:p>
        </w:tc>
        <w:tc>
          <w:tcPr>
            <w:tcW w:type="dxa" w:w="1512"/>
          </w:tcPr>
          <w:p>
            <w:pPr>
              <w:pStyle w:val="Compact"/>
              <w:spacing w:line="240" w:lineRule="auto" w:after="20"/>
              <w:jc w:val="right"/>
            </w:pPr>
            <w:r>
              <w:rPr>
                <w:sz w:val="20"/>
              </w:rPr>
              <w:t xml:space="preserve">LST within elevation</w:t>
            </w:r>
          </w:p>
        </w:tc>
        <w:tc>
          <w:tcPr>
            <w:tcW w:type="dxa" w:w="1965"/>
          </w:tcPr>
          <w:p>
            <w:pPr>
              <w:pStyle w:val="Compact"/>
              <w:spacing w:line="240" w:lineRule="auto" w:after="20"/>
              <w:jc w:val="right"/>
            </w:pPr>
            <w:r>
              <w:rPr>
                <w:sz w:val="20"/>
              </w:rPr>
              <w:t xml:space="preserve">LST detrended on elevation</w:t>
            </w:r>
          </w:p>
        </w:tc>
        <w:tc>
          <w:tcPr>
            <w:tcW w:type="dxa" w:w="1134"/>
          </w:tcPr>
          <w:p>
            <w:pPr>
              <w:pStyle w:val="Compact"/>
              <w:spacing w:line="240" w:lineRule="auto" w:after="20"/>
              <w:jc w:val="right"/>
            </w:pPr>
            <w:r>
              <w:rPr>
                <w:sz w:val="20"/>
              </w:rPr>
              <w:t xml:space="preserve">LST within NDVI</w:t>
            </w:r>
          </w:p>
        </w:tc>
        <w:tc>
          <w:tcPr>
            <w:tcW w:type="dxa" w:w="1436"/>
          </w:tcPr>
          <w:p>
            <w:pPr>
              <w:pStyle w:val="Compact"/>
              <w:spacing w:line="240" w:lineRule="auto" w:after="20"/>
              <w:jc w:val="right"/>
            </w:pPr>
            <w:r>
              <w:rPr>
                <w:sz w:val="20"/>
              </w:rPr>
              <w:t xml:space="preserve">LST within distance</w:t>
            </w:r>
          </w:p>
        </w:tc>
        <w:tc>
          <w:tcPr>
            <w:tcW w:type="dxa" w:w="605"/>
          </w:tcPr>
          <w:p>
            <w:pPr>
              <w:pStyle w:val="Compact"/>
              <w:spacing w:line="240" w:lineRule="auto" w:after="20"/>
              <w:jc w:val="right"/>
            </w:pPr>
            <w:r>
              <w:rPr>
                <w:sz w:val="20"/>
              </w:rPr>
              <w:t xml:space="preserve">NDVI raw</w:t>
            </w:r>
          </w:p>
        </w:tc>
        <w:tc>
          <w:tcPr>
            <w:tcW w:type="dxa" w:w="1134"/>
          </w:tcPr>
          <w:p>
            <w:pPr>
              <w:pStyle w:val="Compact"/>
              <w:spacing w:line="240" w:lineRule="auto" w:after="20"/>
              <w:jc w:val="right"/>
            </w:pPr>
            <w:r>
              <w:rPr>
                <w:sz w:val="20"/>
              </w:rPr>
              <w:t xml:space="preserve">NDVI within LST</w:t>
            </w:r>
          </w:p>
        </w:tc>
      </w:tr>
      <w:tr>
        <w:trPr>
          <w:cantSplit/>
        </w:trPr>
        <w:tc>
          <w:tcPr>
            <w:tcW w:type="dxa" w:w="756"/>
          </w:tcPr>
          <w:p>
            <w:pPr>
              <w:pStyle w:val="Compact"/>
              <w:spacing w:line="240" w:lineRule="auto" w:after="20"/>
            </w:pPr>
            <w:r>
              <w:rPr>
                <w:sz w:val="20"/>
              </w:rPr>
              <w:t xml:space="preserve">Manavgat</w:t>
            </w:r>
          </w:p>
        </w:tc>
        <w:tc>
          <w:tcPr>
            <w:tcW w:type="dxa" w:w="529"/>
          </w:tcPr>
          <w:p>
            <w:pPr>
              <w:pStyle w:val="Compact"/>
              <w:spacing w:line="240" w:lineRule="auto" w:after="20"/>
              <w:jc w:val="right"/>
            </w:pPr>
            <w:r>
              <w:rPr>
                <w:sz w:val="20"/>
              </w:rPr>
              <w:t xml:space="preserve">0.522</w:t>
            </w:r>
          </w:p>
        </w:tc>
        <w:tc>
          <w:tcPr>
            <w:tcW w:type="dxa" w:w="1512"/>
          </w:tcPr>
          <w:p>
            <w:pPr>
              <w:pStyle w:val="Compact"/>
              <w:spacing w:line="240" w:lineRule="auto" w:after="20"/>
              <w:jc w:val="right"/>
            </w:pPr>
            <w:r>
              <w:rPr>
                <w:b/>
                <w:bCs/>
                <w:sz w:val="20"/>
              </w:rPr>
              <w:t xml:space="preserve">0.403</w:t>
            </w:r>
          </w:p>
        </w:tc>
        <w:tc>
          <w:tcPr>
            <w:tcW w:type="dxa" w:w="1965"/>
          </w:tcPr>
          <w:p>
            <w:pPr>
              <w:pStyle w:val="Compact"/>
              <w:spacing w:line="240" w:lineRule="auto" w:after="20"/>
              <w:jc w:val="right"/>
            </w:pPr>
            <w:r>
              <w:rPr>
                <w:b/>
                <w:bCs/>
                <w:sz w:val="20"/>
              </w:rPr>
              <w:t xml:space="preserve">0.409</w:t>
            </w:r>
          </w:p>
        </w:tc>
        <w:tc>
          <w:tcPr>
            <w:tcW w:type="dxa" w:w="1134"/>
          </w:tcPr>
          <w:p>
            <w:pPr>
              <w:pStyle w:val="Compact"/>
              <w:spacing w:line="240" w:lineRule="auto" w:after="20"/>
              <w:jc w:val="right"/>
            </w:pPr>
            <w:r>
              <w:rPr>
                <w:sz w:val="20"/>
              </w:rPr>
              <w:t xml:space="preserve">0.556</w:t>
            </w:r>
          </w:p>
        </w:tc>
        <w:tc>
          <w:tcPr>
            <w:tcW w:type="dxa" w:w="1436"/>
          </w:tcPr>
          <w:p>
            <w:pPr>
              <w:pStyle w:val="Compact"/>
              <w:spacing w:line="240" w:lineRule="auto" w:after="20"/>
              <w:jc w:val="right"/>
            </w:pPr>
            <w:r>
              <w:rPr>
                <w:sz w:val="20"/>
              </w:rPr>
              <w:t xml:space="preserve">0.454</w:t>
            </w:r>
          </w:p>
        </w:tc>
        <w:tc>
          <w:tcPr>
            <w:tcW w:type="dxa" w:w="605"/>
          </w:tcPr>
          <w:p>
            <w:pPr>
              <w:pStyle w:val="Compact"/>
              <w:spacing w:line="240" w:lineRule="auto" w:after="20"/>
              <w:jc w:val="right"/>
            </w:pPr>
            <w:r>
              <w:rPr>
                <w:sz w:val="20"/>
              </w:rPr>
              <w:t xml:space="preserve">0.551</w:t>
            </w:r>
          </w:p>
        </w:tc>
        <w:tc>
          <w:tcPr>
            <w:tcW w:type="dxa" w:w="1134"/>
          </w:tcPr>
          <w:p>
            <w:pPr>
              <w:pStyle w:val="Compact"/>
              <w:spacing w:line="240" w:lineRule="auto" w:after="20"/>
              <w:jc w:val="right"/>
            </w:pPr>
            <w:r>
              <w:rPr>
                <w:sz w:val="20"/>
              </w:rPr>
              <w:t xml:space="preserve">0.550</w:t>
            </w:r>
          </w:p>
        </w:tc>
      </w:tr>
      <w:tr>
        <w:trPr>
          <w:cantSplit/>
        </w:trPr>
        <w:tc>
          <w:tcPr>
            <w:tcW w:type="dxa" w:w="756"/>
          </w:tcPr>
          <w:p>
            <w:pPr>
              <w:pStyle w:val="Compact"/>
              <w:spacing w:line="240" w:lineRule="auto" w:after="20"/>
            </w:pPr>
            <w:r>
              <w:rPr>
                <w:sz w:val="20"/>
              </w:rPr>
              <w:t xml:space="preserve">Bejís</w:t>
            </w:r>
          </w:p>
        </w:tc>
        <w:tc>
          <w:tcPr>
            <w:tcW w:type="dxa" w:w="529"/>
          </w:tcPr>
          <w:p>
            <w:pPr>
              <w:pStyle w:val="Compact"/>
              <w:spacing w:line="240" w:lineRule="auto" w:after="20"/>
              <w:jc w:val="right"/>
            </w:pPr>
            <w:r>
              <w:rPr>
                <w:sz w:val="20"/>
              </w:rPr>
              <w:t xml:space="preserve">0.405</w:t>
            </w:r>
          </w:p>
        </w:tc>
        <w:tc>
          <w:tcPr>
            <w:tcW w:type="dxa" w:w="1512"/>
          </w:tcPr>
          <w:p>
            <w:pPr>
              <w:pStyle w:val="Compact"/>
              <w:spacing w:line="240" w:lineRule="auto" w:after="20"/>
              <w:jc w:val="right"/>
            </w:pPr>
            <w:r>
              <w:rPr>
                <w:sz w:val="20"/>
              </w:rPr>
              <w:t xml:space="preserve">0.509</w:t>
            </w:r>
          </w:p>
        </w:tc>
        <w:tc>
          <w:tcPr>
            <w:tcW w:type="dxa" w:w="1965"/>
          </w:tcPr>
          <w:p>
            <w:pPr>
              <w:pStyle w:val="Compact"/>
              <w:spacing w:line="240" w:lineRule="auto" w:after="20"/>
              <w:jc w:val="right"/>
            </w:pPr>
            <w:r>
              <w:rPr>
                <w:sz w:val="20"/>
              </w:rPr>
              <w:t xml:space="preserve">0.411</w:t>
            </w:r>
          </w:p>
        </w:tc>
        <w:tc>
          <w:tcPr>
            <w:tcW w:type="dxa" w:w="1134"/>
          </w:tcPr>
          <w:p>
            <w:pPr>
              <w:pStyle w:val="Compact"/>
              <w:spacing w:line="240" w:lineRule="auto" w:after="20"/>
              <w:jc w:val="right"/>
            </w:pPr>
            <w:r>
              <w:rPr>
                <w:sz w:val="20"/>
              </w:rPr>
              <w:t xml:space="preserve">0.486</w:t>
            </w:r>
          </w:p>
        </w:tc>
        <w:tc>
          <w:tcPr>
            <w:tcW w:type="dxa" w:w="1436"/>
          </w:tcPr>
          <w:p>
            <w:pPr>
              <w:pStyle w:val="Compact"/>
              <w:spacing w:line="240" w:lineRule="auto" w:after="20"/>
              <w:jc w:val="right"/>
            </w:pPr>
            <w:r>
              <w:rPr>
                <w:sz w:val="20"/>
              </w:rPr>
              <w:t xml:space="preserve">0.350</w:t>
            </w:r>
          </w:p>
        </w:tc>
        <w:tc>
          <w:tcPr>
            <w:tcW w:type="dxa" w:w="605"/>
          </w:tcPr>
          <w:p>
            <w:pPr>
              <w:pStyle w:val="Compact"/>
              <w:spacing w:line="240" w:lineRule="auto" w:after="20"/>
              <w:jc w:val="right"/>
            </w:pPr>
            <w:r>
              <w:rPr>
                <w:sz w:val="20"/>
              </w:rPr>
              <w:t xml:space="preserve">0.618</w:t>
            </w:r>
          </w:p>
        </w:tc>
        <w:tc>
          <w:tcPr>
            <w:tcW w:type="dxa" w:w="1134"/>
          </w:tcPr>
          <w:p>
            <w:pPr>
              <w:pStyle w:val="Compact"/>
              <w:spacing w:line="240" w:lineRule="auto" w:after="20"/>
              <w:jc w:val="right"/>
            </w:pPr>
            <w:r>
              <w:rPr>
                <w:sz w:val="20"/>
              </w:rPr>
              <w:t xml:space="preserve">0.574</w:t>
            </w:r>
          </w:p>
        </w:tc>
      </w:tr>
      <w:tr>
        <w:trPr>
          <w:cantSplit/>
        </w:trPr>
        <w:tc>
          <w:tcPr>
            <w:tcW w:type="dxa" w:w="756"/>
          </w:tcPr>
          <w:p>
            <w:pPr>
              <w:pStyle w:val="Compact"/>
              <w:spacing w:line="240" w:lineRule="auto" w:after="20"/>
            </w:pPr>
            <w:r>
              <w:rPr>
                <w:sz w:val="20"/>
              </w:rPr>
              <w:t xml:space="preserve">Muğla</w:t>
            </w:r>
          </w:p>
        </w:tc>
        <w:tc>
          <w:tcPr>
            <w:tcW w:type="dxa" w:w="529"/>
          </w:tcPr>
          <w:p>
            <w:pPr>
              <w:pStyle w:val="Compact"/>
              <w:spacing w:line="240" w:lineRule="auto" w:after="20"/>
              <w:jc w:val="right"/>
            </w:pPr>
            <w:r>
              <w:rPr>
                <w:sz w:val="20"/>
              </w:rPr>
              <w:t xml:space="preserve">0.332</w:t>
            </w:r>
          </w:p>
        </w:tc>
        <w:tc>
          <w:tcPr>
            <w:tcW w:type="dxa" w:w="1512"/>
          </w:tcPr>
          <w:p>
            <w:pPr>
              <w:pStyle w:val="Compact"/>
              <w:spacing w:line="240" w:lineRule="auto" w:after="20"/>
              <w:jc w:val="right"/>
            </w:pPr>
            <w:r>
              <w:rPr>
                <w:sz w:val="20"/>
              </w:rPr>
              <w:t xml:space="preserve">0.363</w:t>
            </w:r>
          </w:p>
        </w:tc>
        <w:tc>
          <w:tcPr>
            <w:tcW w:type="dxa" w:w="1965"/>
          </w:tcPr>
          <w:p>
            <w:pPr>
              <w:pStyle w:val="Compact"/>
              <w:spacing w:line="240" w:lineRule="auto" w:after="20"/>
              <w:jc w:val="right"/>
            </w:pPr>
            <w:r>
              <w:rPr>
                <w:sz w:val="20"/>
              </w:rPr>
              <w:t xml:space="preserve">0.365</w:t>
            </w:r>
          </w:p>
        </w:tc>
        <w:tc>
          <w:tcPr>
            <w:tcW w:type="dxa" w:w="1134"/>
          </w:tcPr>
          <w:p>
            <w:pPr>
              <w:pStyle w:val="Compact"/>
              <w:spacing w:line="240" w:lineRule="auto" w:after="20"/>
              <w:jc w:val="right"/>
            </w:pPr>
            <w:r>
              <w:rPr>
                <w:sz w:val="20"/>
              </w:rPr>
              <w:t xml:space="preserve">0.404</w:t>
            </w:r>
          </w:p>
        </w:tc>
        <w:tc>
          <w:tcPr>
            <w:tcW w:type="dxa" w:w="1436"/>
          </w:tcPr>
          <w:p>
            <w:pPr>
              <w:pStyle w:val="Compact"/>
              <w:spacing w:line="240" w:lineRule="auto" w:after="20"/>
              <w:jc w:val="right"/>
            </w:pPr>
            <w:r>
              <w:rPr>
                <w:sz w:val="20"/>
              </w:rPr>
              <w:t xml:space="preserve">0.367</w:t>
            </w:r>
          </w:p>
        </w:tc>
        <w:tc>
          <w:tcPr>
            <w:tcW w:type="dxa" w:w="605"/>
          </w:tcPr>
          <w:p>
            <w:pPr>
              <w:pStyle w:val="Compact"/>
              <w:spacing w:line="240" w:lineRule="auto" w:after="20"/>
              <w:jc w:val="right"/>
            </w:pPr>
            <w:r>
              <w:rPr>
                <w:sz w:val="20"/>
              </w:rPr>
              <w:t xml:space="preserve">0.652</w:t>
            </w:r>
          </w:p>
        </w:tc>
        <w:tc>
          <w:tcPr>
            <w:tcW w:type="dxa" w:w="1134"/>
          </w:tcPr>
          <w:p>
            <w:pPr>
              <w:pStyle w:val="Compact"/>
              <w:spacing w:line="240" w:lineRule="auto" w:after="20"/>
              <w:jc w:val="right"/>
            </w:pPr>
            <w:r>
              <w:rPr>
                <w:sz w:val="20"/>
              </w:rPr>
              <w:t xml:space="preserve">0.547</w:t>
            </w:r>
          </w:p>
        </w:tc>
      </w:tr>
      <w:tr>
        <w:trPr>
          <w:cantSplit/>
        </w:trPr>
        <w:tc>
          <w:tcPr>
            <w:tcW w:type="dxa" w:w="756"/>
          </w:tcPr>
          <w:p>
            <w:pPr>
              <w:pStyle w:val="Compact"/>
              <w:spacing w:line="240" w:lineRule="auto" w:after="20"/>
            </w:pPr>
            <w:r>
              <w:rPr>
                <w:sz w:val="20"/>
              </w:rPr>
              <w:t xml:space="preserve">Evia</w:t>
            </w:r>
          </w:p>
        </w:tc>
        <w:tc>
          <w:tcPr>
            <w:tcW w:type="dxa" w:w="529"/>
          </w:tcPr>
          <w:p>
            <w:pPr>
              <w:pStyle w:val="Compact"/>
              <w:spacing w:line="240" w:lineRule="auto" w:after="20"/>
              <w:jc w:val="right"/>
            </w:pPr>
            <w:r>
              <w:rPr>
                <w:sz w:val="20"/>
              </w:rPr>
              <w:t xml:space="preserve">0.286</w:t>
            </w:r>
          </w:p>
        </w:tc>
        <w:tc>
          <w:tcPr>
            <w:tcW w:type="dxa" w:w="1512"/>
          </w:tcPr>
          <w:p>
            <w:pPr>
              <w:pStyle w:val="Compact"/>
              <w:spacing w:line="240" w:lineRule="auto" w:after="20"/>
              <w:jc w:val="right"/>
            </w:pPr>
            <w:r>
              <w:rPr>
                <w:sz w:val="20"/>
              </w:rPr>
              <w:t xml:space="preserve">0.327</w:t>
            </w:r>
          </w:p>
        </w:tc>
        <w:tc>
          <w:tcPr>
            <w:tcW w:type="dxa" w:w="1965"/>
          </w:tcPr>
          <w:p>
            <w:pPr>
              <w:pStyle w:val="Compact"/>
              <w:spacing w:line="240" w:lineRule="auto" w:after="20"/>
              <w:jc w:val="right"/>
            </w:pPr>
            <w:r>
              <w:rPr>
                <w:sz w:val="20"/>
              </w:rPr>
              <w:t xml:space="preserve">0.312</w:t>
            </w:r>
          </w:p>
        </w:tc>
        <w:tc>
          <w:tcPr>
            <w:tcW w:type="dxa" w:w="1134"/>
          </w:tcPr>
          <w:p>
            <w:pPr>
              <w:pStyle w:val="Compact"/>
              <w:spacing w:line="240" w:lineRule="auto" w:after="20"/>
              <w:jc w:val="right"/>
            </w:pPr>
            <w:r>
              <w:rPr>
                <w:sz w:val="20"/>
              </w:rPr>
              <w:t xml:space="preserve">0.279</w:t>
            </w:r>
          </w:p>
        </w:tc>
        <w:tc>
          <w:tcPr>
            <w:tcW w:type="dxa" w:w="1436"/>
          </w:tcPr>
          <w:p>
            <w:pPr>
              <w:pStyle w:val="Compact"/>
              <w:spacing w:line="240" w:lineRule="auto" w:after="20"/>
              <w:jc w:val="right"/>
            </w:pPr>
            <w:r>
              <w:rPr>
                <w:sz w:val="20"/>
              </w:rPr>
              <w:t xml:space="preserve">0.319</w:t>
            </w:r>
          </w:p>
        </w:tc>
        <w:tc>
          <w:tcPr>
            <w:tcW w:type="dxa" w:w="605"/>
          </w:tcPr>
          <w:p>
            <w:pPr>
              <w:pStyle w:val="Compact"/>
              <w:spacing w:line="240" w:lineRule="auto" w:after="20"/>
              <w:jc w:val="right"/>
            </w:pPr>
            <w:r>
              <w:rPr>
                <w:sz w:val="20"/>
              </w:rPr>
              <w:t xml:space="preserve">0.663</w:t>
            </w:r>
          </w:p>
        </w:tc>
        <w:tc>
          <w:tcPr>
            <w:tcW w:type="dxa" w:w="1134"/>
          </w:tcPr>
          <w:p>
            <w:pPr>
              <w:pStyle w:val="Compact"/>
              <w:spacing w:line="240" w:lineRule="auto" w:after="20"/>
              <w:jc w:val="right"/>
            </w:pPr>
            <w:r>
              <w:rPr>
                <w:b/>
                <w:bCs/>
                <w:sz w:val="20"/>
              </w:rPr>
              <w:t xml:space="preserve">0.380</w:t>
            </w:r>
          </w:p>
        </w:tc>
      </w:tr>
      <w:tr>
        <w:trPr>
          <w:cantSplit/>
        </w:trPr>
        <w:tc>
          <w:tcPr>
            <w:tcW w:type="dxa" w:w="756"/>
          </w:tcPr>
          <w:p>
            <w:pPr>
              <w:pStyle w:val="Compact"/>
              <w:spacing w:line="240" w:lineRule="auto" w:after="20"/>
            </w:pPr>
            <w:r>
              <w:rPr>
                <w:sz w:val="20"/>
              </w:rPr>
              <w:t xml:space="preserve">Montiferru</w:t>
            </w:r>
          </w:p>
        </w:tc>
        <w:tc>
          <w:tcPr>
            <w:tcW w:type="dxa" w:w="529"/>
          </w:tcPr>
          <w:p>
            <w:pPr>
              <w:pStyle w:val="Compact"/>
              <w:spacing w:line="240" w:lineRule="auto" w:after="20"/>
              <w:jc w:val="right"/>
            </w:pPr>
            <w:r>
              <w:rPr>
                <w:sz w:val="20"/>
              </w:rPr>
              <w:t xml:space="preserve">0.376</w:t>
            </w:r>
          </w:p>
        </w:tc>
        <w:tc>
          <w:tcPr>
            <w:tcW w:type="dxa" w:w="1512"/>
          </w:tcPr>
          <w:p>
            <w:pPr>
              <w:pStyle w:val="Compact"/>
              <w:spacing w:line="240" w:lineRule="auto" w:after="20"/>
              <w:jc w:val="right"/>
            </w:pPr>
            <w:r>
              <w:rPr>
                <w:sz w:val="20"/>
              </w:rPr>
              <w:t xml:space="preserve">0.392</w:t>
            </w:r>
          </w:p>
        </w:tc>
        <w:tc>
          <w:tcPr>
            <w:tcW w:type="dxa" w:w="1965"/>
          </w:tcPr>
          <w:p>
            <w:pPr>
              <w:pStyle w:val="Compact"/>
              <w:spacing w:line="240" w:lineRule="auto" w:after="20"/>
              <w:jc w:val="right"/>
            </w:pPr>
            <w:r>
              <w:rPr>
                <w:sz w:val="20"/>
              </w:rPr>
              <w:t xml:space="preserve">0.416</w:t>
            </w:r>
          </w:p>
        </w:tc>
        <w:tc>
          <w:tcPr>
            <w:tcW w:type="dxa" w:w="1134"/>
          </w:tcPr>
          <w:p>
            <w:pPr>
              <w:pStyle w:val="Compact"/>
              <w:spacing w:line="240" w:lineRule="auto" w:after="20"/>
              <w:jc w:val="right"/>
            </w:pPr>
            <w:r>
              <w:rPr>
                <w:sz w:val="20"/>
              </w:rPr>
              <w:t xml:space="preserve">0.368</w:t>
            </w:r>
          </w:p>
        </w:tc>
        <w:tc>
          <w:tcPr>
            <w:tcW w:type="dxa" w:w="1436"/>
          </w:tcPr>
          <w:p>
            <w:pPr>
              <w:pStyle w:val="Compact"/>
              <w:spacing w:line="240" w:lineRule="auto" w:after="20"/>
              <w:jc w:val="right"/>
            </w:pPr>
            <w:r>
              <w:rPr>
                <w:sz w:val="20"/>
              </w:rPr>
              <w:t xml:space="preserve">0.485</w:t>
            </w:r>
          </w:p>
        </w:tc>
        <w:tc>
          <w:tcPr>
            <w:tcW w:type="dxa" w:w="605"/>
          </w:tcPr>
          <w:p>
            <w:pPr>
              <w:pStyle w:val="Compact"/>
              <w:spacing w:line="240" w:lineRule="auto" w:after="20"/>
              <w:jc w:val="right"/>
            </w:pPr>
            <w:r>
              <w:rPr>
                <w:sz w:val="20"/>
              </w:rPr>
              <w:t xml:space="preserve">0.582</w:t>
            </w:r>
          </w:p>
        </w:tc>
        <w:tc>
          <w:tcPr>
            <w:tcW w:type="dxa" w:w="1134"/>
          </w:tcPr>
          <w:p>
            <w:pPr>
              <w:pStyle w:val="Compact"/>
              <w:spacing w:line="240" w:lineRule="auto" w:after="20"/>
              <w:jc w:val="right"/>
            </w:pPr>
            <w:r>
              <w:rPr>
                <w:b/>
                <w:bCs/>
                <w:sz w:val="20"/>
              </w:rPr>
              <w:t xml:space="preserve">0.405</w:t>
            </w:r>
          </w:p>
        </w:tc>
      </w:tr>
    </w:tbl>
    <w:p>
      <w:pPr>
        <w:pStyle w:val="BodyText"/>
      </w:pPr>
      <w:r>
        <w:t xml:space="preserve">Three results follow. First, the raw LST association of Manavgat is above 0.5, and it falls well</w:t>
      </w:r>
      <w:r>
        <w:t xml:space="preserve"> </w:t>
      </w:r>
      <w:r>
        <w:t xml:space="preserve">below 0.5 once elevation is held. This holds both for deciles and for removing the linear dependence</w:t>
      </w:r>
      <w:r>
        <w:t xml:space="preserve"> </w:t>
      </w:r>
      <w:r>
        <w:t xml:space="preserve">of LST on elevation in the region (−5.6 K per km). On the full study area the same holds: 0.665 raw,</w:t>
      </w:r>
      <w:r>
        <w:t xml:space="preserve"> </w:t>
      </w:r>
      <w:r>
        <w:t xml:space="preserve">against 0.455 and 0.446. The positive signal in Manavgat therefore comes from terrain. With elevation held, Manavgat has the</w:t>
      </w:r>
      <w:r>
        <w:t xml:space="preserve"> </w:t>
      </w:r>
      <w:r>
        <w:t xml:space="preserve">same sign as the other four regions at the point estimates; the interval excludes 0.5 on the collar</w:t>
      </w:r>
      <w:r>
        <w:t xml:space="preserve"> </w:t>
      </w:r>
      <w:r>
        <w:t xml:space="preserve">but not on the original study area (Table S35). Second, in the other four regions</w:t>
      </w:r>
      <w:r>
        <w:t xml:space="preserve"> </w:t>
      </w:r>
      <w:r>
        <w:t xml:space="preserve">the sign stays below 0.5 within elevation deciles in three regions and within NDVI deciles in all</w:t>
      </w:r>
      <w:r>
        <w:t xml:space="preserve"> </w:t>
      </w:r>
      <w:r>
        <w:t xml:space="preserve">four. In Bejís it moves to 0.509 within elevation deciles and stays below 0.5 after detrending. Third,</w:t>
      </w:r>
      <w:r>
        <w:t xml:space="preserve"> </w:t>
      </w:r>
      <w:r>
        <w:t xml:space="preserve">NDVI reverses in two regions once LST is held, but LST reverses in none of the four once NDVI is</w:t>
      </w:r>
      <w:r>
        <w:t xml:space="preserve"> </w:t>
      </w:r>
      <w:r>
        <w:t xml:space="preserve">held. Holding northness (the cosine of aspect) through deciles does not change the sign of the LST</w:t>
      </w:r>
      <w:r>
        <w:t xml:space="preserve"> </w:t>
      </w:r>
      <w:r>
        <w:t xml:space="preserve">association in any region (Table S35).</w:t>
      </w:r>
    </w:p>
    <w:bookmarkEnd w:id="33"/>
    <w:bookmarkStart w:id="34" w:name="X6c949bad1ad745231c930c98eb348d985538fe7"/>
    <w:p>
      <w:pPr>
        <w:pStyle w:val="Heading2"/>
      </w:pPr>
      <w:r>
        <w:t xml:space="preserve">S1.12 The LST anomaly under the difference instrument</w:t>
      </w:r>
    </w:p>
    <w:p>
      <w:pPr>
        <w:pStyle w:val="FirstParagraph"/>
      </w:pPr>
      <w:r>
        <w:t xml:space="preserve">Section 4.4 reports two elevation reversals on the collar, both involving Manavgat, that meet the</w:t>
      </w:r>
      <w:r>
        <w:t xml:space="preserve"> </w:t>
      </w:r>
      <w:r>
        <w:t xml:space="preserve">per-comparison criterion. The LST anomaly differs between regions under a weaker test: the two regions</w:t>
      </w:r>
      <w:r>
        <w:t xml:space="preserve"> </w:t>
      </w:r>
      <w:r>
        <w:t xml:space="preserve">are bootstrapped separately and their difference is taken. The three pairs below have point estimates</w:t>
      </w:r>
      <w:r>
        <w:t xml:space="preserve"> </w:t>
      </w:r>
      <w:r>
        <w:t xml:space="preserve">on opposite sides of 0.5 and a difference interval that excludes zero, all for</w:t>
      </w:r>
      <w:r>
        <w:t xml:space="preserve"> </w:t>
      </w:r>
      <w:r>
        <w:rPr>
          <w:rStyle w:val="VerbatimChar"/>
        </w:rPr>
        <w:t xml:space="preserve">lst_anomaly_mean</w:t>
      </w:r>
      <w:r>
        <w:t xml:space="preserve">.</w:t>
      </w:r>
      <w:r>
        <w:t xml:space="preserve"> </w:t>
      </w:r>
      <w:r>
        <w:t xml:space="preserve">Signed AUC within the 10 km collar; the two regions are bootstrapped separately with 10-cell spatial</w:t>
      </w:r>
      <w:r>
        <w:t xml:space="preserve"> </w:t>
      </w:r>
      <w:r>
        <w:t xml:space="preserve">blocks, 1000 replicates, seed 42.</w:t>
      </w:r>
    </w:p>
    <w:p>
      <w:pPr>
        <w:pStyle w:val="BodyText"/>
        <w:keepNext/>
      </w:pPr>
      <w:r>
        <w:rPr>
          <w:b/>
          <w:bCs/>
        </w:rPr>
        <w:t xml:space="preserve">Table S7. Between-region differences in the signed LST-anomaly association, 10 km collar.</w:t>
      </w:r>
      <w:r>
        <w:t xml:space="preserve"> </w:t>
      </w:r>
      <w:r>
        <w:t xml:space="preserve">Pairs</w:t>
      </w:r>
      <w:r>
        <w:t xml:space="preserve"> </w:t>
      </w:r>
      <w:r>
        <w:t xml:space="preserve">with point estimates on opposite sides of 0.5 and a difference interval that excludes zero. Source</w:t>
      </w:r>
      <w:r>
        <w:t xml:space="preserve"> </w:t>
      </w:r>
      <w:r>
        <w:rPr>
          <w:rStyle w:val="VerbatimChar"/>
        </w:rPr>
        <w:t xml:space="preserve">paper/labelfix_rerun/inference/reversal_family_holm.csv</w:t>
      </w:r>
      <w:r>
        <w:t xml:space="preserve"> </w:t>
      </w:r>
      <w:r>
        <w:t xml:space="preserve">(collar frame); checked row by row by</w:t>
      </w:r>
      <w:r>
        <w:t xml:space="preserve"> </w:t>
      </w:r>
      <w:r>
        <w:rPr>
          <w:rStyle w:val="VerbatimChar"/>
        </w:rPr>
        <w:t xml:space="preserve">paper/code/appendix_tables.py</w:t>
      </w:r>
      <w:r>
        <w:t xml:space="preserve">.</w:t>
      </w:r>
    </w:p>
    <w:tbl>
      <w:tblPr>
        <w:tblStyle w:val="Table"/>
        <w:tblW w:type="auto" w:w="0"/>
        <w:tblLook w:firstRow="1" w:lastRow="0" w:firstColumn="0" w:lastColumn="0" w:noHBand="0" w:noVBand="0" w:val="0020"/>
      </w:tblPr>
      <w:tblGrid>
        <w:gridCol w:w="3023"/>
        <w:gridCol w:w="840"/>
        <w:gridCol w:w="840"/>
        <w:gridCol w:w="1680"/>
        <w:gridCol w:w="2687"/>
      </w:tblGrid>
      <w:tr>
        <w:trPr>
          <w:tblHeader w:val="on"/>
          <w:cantSplit/>
        </w:trPr>
        <w:tc>
          <w:tcPr>
            <w:tcW w:type="dxa" w:w="3023"/>
          </w:tcPr>
          <w:p>
            <w:pPr>
              <w:pStyle w:val="Compact"/>
              <w:spacing w:line="240" w:lineRule="auto" w:after="20"/>
            </w:pPr>
            <w:r>
              <w:rPr>
                <w:sz w:val="20"/>
              </w:rPr>
              <w:t xml:space="preserve">Pair</w:t>
            </w:r>
          </w:p>
        </w:tc>
        <w:tc>
          <w:tcPr>
            <w:tcW w:type="dxa" w:w="840"/>
          </w:tcPr>
          <w:p>
            <w:pPr>
              <w:pStyle w:val="Compact"/>
              <w:spacing w:line="240" w:lineRule="auto" w:after="20"/>
              <w:jc w:val="right"/>
            </w:pPr>
            <w:r>
              <w:rPr>
                <w:sz w:val="20"/>
              </w:rPr>
              <w:t xml:space="preserve">AUC A</w:t>
            </w:r>
          </w:p>
        </w:tc>
        <w:tc>
          <w:tcPr>
            <w:tcW w:type="dxa" w:w="840"/>
          </w:tcPr>
          <w:p>
            <w:pPr>
              <w:pStyle w:val="Compact"/>
              <w:spacing w:line="240" w:lineRule="auto" w:after="20"/>
              <w:jc w:val="right"/>
            </w:pPr>
            <w:r>
              <w:rPr>
                <w:sz w:val="20"/>
              </w:rPr>
              <w:t xml:space="preserve">AUC B</w:t>
            </w:r>
          </w:p>
        </w:tc>
        <w:tc>
          <w:tcPr>
            <w:tcW w:type="dxa" w:w="1680"/>
          </w:tcPr>
          <w:p>
            <w:pPr>
              <w:pStyle w:val="Compact"/>
              <w:spacing w:line="240" w:lineRule="auto" w:after="20"/>
              <w:jc w:val="right"/>
            </w:pPr>
            <w:r>
              <w:rPr>
                <w:sz w:val="20"/>
              </w:rPr>
              <w:t xml:space="preserve">Difference</w:t>
            </w:r>
          </w:p>
        </w:tc>
        <w:tc>
          <w:tcPr>
            <w:tcW w:type="dxa" w:w="2687"/>
          </w:tcPr>
          <w:p>
            <w:pPr>
              <w:pStyle w:val="Compact"/>
              <w:spacing w:line="240" w:lineRule="auto" w:after="20"/>
            </w:pPr>
            <w:r>
              <w:rPr>
                <w:sz w:val="20"/>
              </w:rPr>
              <w:t xml:space="preserve">95 % CI</w:t>
            </w:r>
          </w:p>
        </w:tc>
      </w:tr>
      <w:tr>
        <w:trPr>
          <w:cantSplit/>
        </w:trPr>
        <w:tc>
          <w:tcPr>
            <w:tcW w:type="dxa" w:w="3023"/>
          </w:tcPr>
          <w:p>
            <w:pPr>
              <w:pStyle w:val="Compact"/>
              <w:spacing w:line="240" w:lineRule="auto" w:after="20"/>
            </w:pPr>
            <w:r>
              <w:rPr>
                <w:sz w:val="20"/>
              </w:rPr>
              <w:t xml:space="preserve">Bejís vs Evia</w:t>
            </w:r>
          </w:p>
        </w:tc>
        <w:tc>
          <w:tcPr>
            <w:tcW w:type="dxa" w:w="840"/>
          </w:tcPr>
          <w:p>
            <w:pPr>
              <w:pStyle w:val="Compact"/>
              <w:spacing w:line="240" w:lineRule="auto" w:after="20"/>
              <w:jc w:val="right"/>
            </w:pPr>
            <w:r>
              <w:rPr>
                <w:sz w:val="20"/>
              </w:rPr>
              <w:t xml:space="preserve">0.392</w:t>
            </w:r>
          </w:p>
        </w:tc>
        <w:tc>
          <w:tcPr>
            <w:tcW w:type="dxa" w:w="840"/>
          </w:tcPr>
          <w:p>
            <w:pPr>
              <w:pStyle w:val="Compact"/>
              <w:spacing w:line="240" w:lineRule="auto" w:after="20"/>
              <w:jc w:val="right"/>
            </w:pPr>
            <w:r>
              <w:rPr>
                <w:sz w:val="20"/>
              </w:rPr>
              <w:t xml:space="preserve">0.584</w:t>
            </w:r>
          </w:p>
        </w:tc>
        <w:tc>
          <w:tcPr>
            <w:tcW w:type="dxa" w:w="1680"/>
          </w:tcPr>
          <w:p>
            <w:pPr>
              <w:pStyle w:val="Compact"/>
              <w:spacing w:line="240" w:lineRule="auto" w:after="20"/>
              <w:jc w:val="right"/>
            </w:pPr>
            <w:r>
              <w:rPr>
                <w:sz w:val="20"/>
              </w:rPr>
              <w:t xml:space="preserve">−0.191</w:t>
            </w:r>
          </w:p>
        </w:tc>
        <w:tc>
          <w:tcPr>
            <w:tcW w:type="dxa" w:w="2687"/>
          </w:tcPr>
          <w:p>
            <w:pPr>
              <w:pStyle w:val="Compact"/>
              <w:spacing w:line="240" w:lineRule="auto" w:after="20"/>
            </w:pPr>
            <w:r>
              <w:rPr>
                <w:sz w:val="20"/>
              </w:rPr>
              <w:t xml:space="preserve">[−0.295, −0.083]</w:t>
            </w:r>
          </w:p>
        </w:tc>
      </w:tr>
      <w:tr>
        <w:trPr>
          <w:cantSplit/>
        </w:trPr>
        <w:tc>
          <w:tcPr>
            <w:tcW w:type="dxa" w:w="3023"/>
          </w:tcPr>
          <w:p>
            <w:pPr>
              <w:pStyle w:val="Compact"/>
              <w:spacing w:line="240" w:lineRule="auto" w:after="20"/>
            </w:pPr>
            <w:r>
              <w:rPr>
                <w:sz w:val="20"/>
              </w:rPr>
              <w:t xml:space="preserve">Evia vs Montiferru</w:t>
            </w:r>
          </w:p>
        </w:tc>
        <w:tc>
          <w:tcPr>
            <w:tcW w:type="dxa" w:w="840"/>
          </w:tcPr>
          <w:p>
            <w:pPr>
              <w:pStyle w:val="Compact"/>
              <w:spacing w:line="240" w:lineRule="auto" w:after="20"/>
              <w:jc w:val="right"/>
            </w:pPr>
            <w:r>
              <w:rPr>
                <w:sz w:val="20"/>
              </w:rPr>
              <w:t xml:space="preserve">0.584</w:t>
            </w:r>
          </w:p>
        </w:tc>
        <w:tc>
          <w:tcPr>
            <w:tcW w:type="dxa" w:w="840"/>
          </w:tcPr>
          <w:p>
            <w:pPr>
              <w:pStyle w:val="Compact"/>
              <w:spacing w:line="240" w:lineRule="auto" w:after="20"/>
              <w:jc w:val="right"/>
            </w:pPr>
            <w:r>
              <w:rPr>
                <w:sz w:val="20"/>
              </w:rPr>
              <w:t xml:space="preserve">0.400</w:t>
            </w:r>
          </w:p>
        </w:tc>
        <w:tc>
          <w:tcPr>
            <w:tcW w:type="dxa" w:w="1680"/>
          </w:tcPr>
          <w:p>
            <w:pPr>
              <w:pStyle w:val="Compact"/>
              <w:spacing w:line="240" w:lineRule="auto" w:after="20"/>
              <w:jc w:val="right"/>
            </w:pPr>
            <w:r>
              <w:rPr>
                <w:sz w:val="20"/>
              </w:rPr>
              <w:t xml:space="preserve">+0.184</w:t>
            </w:r>
          </w:p>
        </w:tc>
        <w:tc>
          <w:tcPr>
            <w:tcW w:type="dxa" w:w="2687"/>
          </w:tcPr>
          <w:p>
            <w:pPr>
              <w:pStyle w:val="Compact"/>
              <w:spacing w:line="240" w:lineRule="auto" w:after="20"/>
            </w:pPr>
            <w:r>
              <w:rPr>
                <w:sz w:val="20"/>
              </w:rPr>
              <w:t xml:space="preserve">[+0.012, +0.321]</w:t>
            </w:r>
          </w:p>
        </w:tc>
      </w:tr>
      <w:tr>
        <w:trPr>
          <w:cantSplit/>
        </w:trPr>
        <w:tc>
          <w:tcPr>
            <w:tcW w:type="dxa" w:w="3023"/>
          </w:tcPr>
          <w:p>
            <w:pPr>
              <w:pStyle w:val="Compact"/>
              <w:spacing w:line="240" w:lineRule="auto" w:after="20"/>
            </w:pPr>
            <w:r>
              <w:rPr>
                <w:sz w:val="20"/>
              </w:rPr>
              <w:t xml:space="preserve">Bejís vs Muğla</w:t>
            </w:r>
          </w:p>
        </w:tc>
        <w:tc>
          <w:tcPr>
            <w:tcW w:type="dxa" w:w="840"/>
          </w:tcPr>
          <w:p>
            <w:pPr>
              <w:pStyle w:val="Compact"/>
              <w:spacing w:line="240" w:lineRule="auto" w:after="20"/>
              <w:jc w:val="right"/>
            </w:pPr>
            <w:r>
              <w:rPr>
                <w:sz w:val="20"/>
              </w:rPr>
              <w:t xml:space="preserve">0.392</w:t>
            </w:r>
          </w:p>
        </w:tc>
        <w:tc>
          <w:tcPr>
            <w:tcW w:type="dxa" w:w="840"/>
          </w:tcPr>
          <w:p>
            <w:pPr>
              <w:pStyle w:val="Compact"/>
              <w:spacing w:line="240" w:lineRule="auto" w:after="20"/>
              <w:jc w:val="right"/>
            </w:pPr>
            <w:r>
              <w:rPr>
                <w:sz w:val="20"/>
              </w:rPr>
              <w:t xml:space="preserve">0.507</w:t>
            </w:r>
          </w:p>
        </w:tc>
        <w:tc>
          <w:tcPr>
            <w:tcW w:type="dxa" w:w="1680"/>
          </w:tcPr>
          <w:p>
            <w:pPr>
              <w:pStyle w:val="Compact"/>
              <w:spacing w:line="240" w:lineRule="auto" w:after="20"/>
              <w:jc w:val="right"/>
            </w:pPr>
            <w:r>
              <w:rPr>
                <w:sz w:val="20"/>
              </w:rPr>
              <w:t xml:space="preserve">−0.115</w:t>
            </w:r>
          </w:p>
        </w:tc>
        <w:tc>
          <w:tcPr>
            <w:tcW w:type="dxa" w:w="2687"/>
          </w:tcPr>
          <w:p>
            <w:pPr>
              <w:pStyle w:val="Compact"/>
              <w:spacing w:line="240" w:lineRule="auto" w:after="20"/>
            </w:pPr>
            <w:r>
              <w:rPr>
                <w:sz w:val="20"/>
              </w:rPr>
              <w:t xml:space="preserve">[−0.219, −0.002]</w:t>
            </w:r>
          </w:p>
        </w:tc>
      </w:tr>
    </w:tbl>
    <w:p>
      <w:pPr>
        <w:pStyle w:val="BodyText"/>
      </w:pPr>
      <w:r>
        <w:t xml:space="preserve">On the collar, 27 of the 90 feature-by-pair differences have intervals that exclude zero, against</w:t>
      </w:r>
      <w:r>
        <w:t xml:space="preserve"> </w:t>
      </w:r>
      <w:r>
        <w:t xml:space="preserve">about 4.5 expected by chance at 5 %. Four of the 27 are for this feature. Three of these four have</w:t>
      </w:r>
      <w:r>
        <w:t xml:space="preserve"> </w:t>
      </w:r>
      <w:r>
        <w:t xml:space="preserve">point estimates on opposite sides of 0.5, and two of the three involve Evia. With a Holm correction</w:t>
      </w:r>
      <w:r>
        <w:t xml:space="preserve"> </w:t>
      </w:r>
      <w:r>
        <w:t xml:space="preserve">on normal-approximation p-values, 12 of the 90 remain. With the stricter intersection-union form, which</w:t>
      </w:r>
      <w:r>
        <w:t xml:space="preserve"> </w:t>
      </w:r>
      <w:r>
        <w:t xml:space="preserve">also requires the association in each region to be significant, none remains (Section S1.19). The</w:t>
      </w:r>
      <w:r>
        <w:t xml:space="preserve"> </w:t>
      </w:r>
      <w:r>
        <w:t xml:space="preserve">nine features carry about two independent thermal signals (Section 3.4), so the 90 comparisons are</w:t>
      </w:r>
      <w:r>
        <w:t xml:space="preserve"> </w:t>
      </w:r>
      <w:r>
        <w:t xml:space="preserve">not independent. This result is weaker than a reversal.</w:t>
      </w:r>
    </w:p>
    <w:bookmarkEnd w:id="34"/>
    <w:bookmarkStart w:id="35" w:name="s1.13-the-same-geography-event-pair"/>
    <w:p>
      <w:pPr>
        <w:pStyle w:val="Heading2"/>
      </w:pPr>
      <w:r>
        <w:t xml:space="preserve">S1.13 The same-geography event pair</w:t>
      </w:r>
    </w:p>
    <w:p>
      <w:pPr>
        <w:pStyle w:val="FirstParagraph"/>
      </w:pPr>
      <w:r>
        <w:t xml:space="preserve">Section 4.4 gives the result and shows why it does not survive the frame test. The design and two</w:t>
      </w:r>
      <w:r>
        <w:t xml:space="preserve"> </w:t>
      </w:r>
      <w:r>
        <w:t xml:space="preserve">differences from the twenty-direction matrix are given here. The protocol is in Section S3.3.</w:t>
      </w:r>
    </w:p>
    <w:p>
      <w:pPr>
        <w:pStyle w:val="BodyText"/>
      </w:pPr>
      <w:r>
        <w:t xml:space="preserve">This comparison was designed to keep the place fixed and change only the fire. Muğla burned in 2021</w:t>
      </w:r>
      <w:r>
        <w:t xml:space="preserve"> </w:t>
      </w:r>
      <w:r>
        <w:t xml:space="preserve">and again eleven months later, on the same grid and with the same processing. The 2022 population is</w:t>
      </w:r>
      <w:r>
        <w:t xml:space="preserve"> </w:t>
      </w:r>
      <w:r>
        <w:t xml:space="preserve">the 2021 population without the 2021 scar: 41,730 rows with 2,911 burned for 2021, against 38,790</w:t>
      </w:r>
      <w:r>
        <w:t xml:space="preserve"> </w:t>
      </w:r>
      <w:r>
        <w:t xml:space="preserve">rows with 331 burned for 2022.</w:t>
      </w:r>
      <w:r>
        <w:t xml:space="preserve"> </w:t>
      </w:r>
      <w:r>
        <w:rPr>
          <w:b/>
          <w:bCs/>
        </w:rPr>
        <w:t xml:space="preserve">The 2021 population has 70 blocks of 5 km with burned cells, and the</w:t>
      </w:r>
      <w:r>
        <w:rPr>
          <w:b/>
          <w:bCs/>
        </w:rPr>
        <w:t xml:space="preserve"> </w:t>
      </w:r>
      <w:r>
        <w:rPr>
          <w:b/>
          <w:bCs/>
        </w:rPr>
        <w:t xml:space="preserve">2022 population has 11.</w:t>
      </w:r>
      <w:r>
        <w:t xml:space="preserve"> </w:t>
      </w:r>
      <w:r>
        <w:t xml:space="preserve">Eleven is below the minimum of sixteen used in this design, so the 2022</w:t>
      </w:r>
      <w:r>
        <w:t xml:space="preserve"> </w:t>
      </w:r>
      <w:r>
        <w:t xml:space="preserve">intervals are indicative, like the 20-cell row of Table 1. Values for all features are in Table S12.</w:t>
      </w:r>
    </w:p>
    <w:p>
      <w:pPr>
        <w:pStyle w:val="BodyText"/>
      </w:pPr>
      <w:r>
        <w:rPr>
          <w:b/>
          <w:bCs/>
        </w:rPr>
        <w:t xml:space="preserve">On the original study area, elevation reverses with bootstrap support.</w:t>
      </w:r>
      <w:r>
        <w:t xml:space="preserve"> </w:t>
      </w:r>
      <w:r>
        <w:t xml:space="preserve">In 2021, higher ground</w:t>
      </w:r>
      <w:r>
        <w:t xml:space="preserve"> </w:t>
      </w:r>
      <w:r>
        <w:t xml:space="preserve">burned more, at 0.611 [0.532, 0.690]. In 2022, lower ground burned more, at 0.296 [0.230, 0.355]. The</w:t>
      </w:r>
      <w:r>
        <w:t xml:space="preserve"> </w:t>
      </w:r>
      <w:r>
        <w:t xml:space="preserve">intervals do not overlap, and the difference is −0.317 [−0.414, −0.220].</w:t>
      </w:r>
    </w:p>
    <w:p>
      <w:pPr>
        <w:pStyle w:val="BodyText"/>
      </w:pPr>
      <w:r>
        <w:rPr>
          <w:b/>
          <w:bCs/>
        </w:rPr>
        <w:t xml:space="preserve">The collar removes this reversal.</w:t>
      </w:r>
      <w:r>
        <w:t xml:space="preserve"> </w:t>
      </w:r>
      <w:r>
        <w:t xml:space="preserve">The 2022 fire is one compact scar inside the whole Muğla</w:t>
      </w:r>
      <w:r>
        <w:t xml:space="preserve"> </w:t>
      </w:r>
      <w:r>
        <w:t xml:space="preserve">rectangle, so 93.2 % of its cells lie more than 10 km from any burned cell (median 43.6 km), against</w:t>
      </w:r>
      <w:r>
        <w:t xml:space="preserve"> </w:t>
      </w:r>
      <w:r>
        <w:t xml:space="preserve">55.3 % in 2021. This is the largest share of distant cells in the cohort. On the 10 km collar, the</w:t>
      </w:r>
      <w:r>
        <w:t xml:space="preserve"> </w:t>
      </w:r>
      <w:r>
        <w:t xml:space="preserve">2021 value hardly changes (0.611 to 0.606, still supported). The 2022 value moves from 0.297 to</w:t>
      </w:r>
      <w:r>
        <w:t xml:space="preserve"> </w:t>
      </w:r>
      <w:r>
        <w:t xml:space="preserve">0.565, to the same side of 0.5 as in 2021, with an interval that includes chance. Slope does not</w:t>
      </w:r>
      <w:r>
        <w:t xml:space="preserve"> </w:t>
      </w:r>
      <w:r>
        <w:t xml:space="preserve">reverse on either frame.</w:t>
      </w:r>
    </w:p>
    <w:p>
      <w:pPr>
        <w:pStyle w:val="BodyText"/>
        <w:keepNext/>
      </w:pPr>
      <w:r>
        <w:rPr>
          <w:b/>
          <w:bCs/>
        </w:rPr>
        <w:t xml:space="preserve">Only elevation and slope can be evaluated.</w:t>
      </w:r>
      <w:r>
        <w:t xml:space="preserve"> </w:t>
      </w:r>
      <w:r>
        <w:t xml:space="preserve">The modelling export of the 2022 fire is not in this</w:t>
      </w:r>
      <w:r>
        <w:t xml:space="preserve"> </w:t>
      </w:r>
      <w:r>
        <w:t xml:space="preserve">repository. The released script (</w:t>
      </w:r>
      <w:r>
        <w:rPr>
          <w:rStyle w:val="VerbatimChar"/>
        </w:rPr>
        <w:t xml:space="preserve">paper/code/verify_mugla_collar.py</w:t>
      </w:r>
      <w:r>
        <w:t xml:space="preserve">) rebuilds the 2022 population</w:t>
      </w:r>
      <w:r>
        <w:t xml:space="preserve"> </w:t>
      </w:r>
      <w:r>
        <w:t xml:space="preserve">from the 2021 predictor file with the 2022 burned mask. This is valid for elevation, slope and land</w:t>
      </w:r>
      <w:r>
        <w:t xml:space="preserve"> </w:t>
      </w:r>
      <w:r>
        <w:t xml:space="preserve">cover, which are the same in both years, but not for the seasonal channels. Compared with the</w:t>
      </w:r>
      <w:r>
        <w:t xml:space="preserve"> </w:t>
      </w:r>
      <w:r>
        <w:t xml:space="preserve">pipeline’s own 2022 export, the rebuilt data agree on elevation (0.297 against 0.296) and slope</w:t>
      </w:r>
      <w:r>
        <w:t xml:space="preserve"> </w:t>
      </w:r>
      <w:r>
        <w:t xml:space="preserve">(0.559 against 0.558). They differ on every seasonal channel: by +0.136 on</w:t>
      </w:r>
      <w:r>
        <w:t xml:space="preserve"> </w:t>
      </w:r>
      <w:r>
        <w:rPr>
          <w:rStyle w:val="VerbatimChar"/>
        </w:rPr>
        <w:t xml:space="preserve">lst_anomaly_mean</w:t>
      </w:r>
      <w:r>
        <w:t xml:space="preserve">, +0.092</w:t>
      </w:r>
      <w:r>
        <w:t xml:space="preserve"> </w:t>
      </w:r>
      <w:r>
        <w:t xml:space="preserve">on</w:t>
      </w:r>
      <w:r>
        <w:t xml:space="preserve"> </w:t>
      </w:r>
      <w:r>
        <w:rPr>
          <w:rStyle w:val="VerbatimChar"/>
        </w:rPr>
        <w:t xml:space="preserve">tvdi_difference_mean</w:t>
      </w:r>
      <w:r>
        <w:t xml:space="preserve">, −0.078 on</w:t>
      </w:r>
      <w:r>
        <w:t xml:space="preserve"> </w:t>
      </w:r>
      <w:r>
        <w:rPr>
          <w:rStyle w:val="VerbatimChar"/>
        </w:rPr>
        <w:t xml:space="preserve">ndvi_mean</w:t>
      </w:r>
      <w:r>
        <w:t xml:space="preserve"> </w:t>
      </w:r>
      <w:r>
        <w:t xml:space="preserve">and −0.025 on</w:t>
      </w:r>
      <w:r>
        <w:t xml:space="preserve"> </w:t>
      </w:r>
      <w:r>
        <w:rPr>
          <w:rStyle w:val="VerbatimChar"/>
        </w:rPr>
        <w:t xml:space="preserve">current_tvdi_mean</w:t>
      </w:r>
      <w:r>
        <w:t xml:space="preserve">.</w:t>
      </w:r>
      <w:r>
        <w:t xml:space="preserve"> </w:t>
      </w:r>
      <w:r>
        <w:rPr>
          <w:b/>
          <w:bCs/>
        </w:rPr>
        <w:t xml:space="preserve">Only elevation</w:t>
      </w:r>
      <w:r>
        <w:rPr>
          <w:b/>
          <w:bCs/>
        </w:rPr>
        <w:t xml:space="preserve"> </w:t>
      </w:r>
      <w:r>
        <w:rPr>
          <w:b/>
          <w:bCs/>
        </w:rPr>
        <w:t xml:space="preserve">and slope are therefore given a collar result here.</w:t>
      </w:r>
    </w:p>
    <w:tbl>
      <w:tblPr>
        <w:tblStyle w:val="Table"/>
        <w:tblW w:type="auto" w:w="0"/>
        <w:tblLook w:firstRow="1" w:lastRow="0" w:firstColumn="0" w:lastColumn="0" w:noHBand="0" w:noVBand="0" w:val="0020"/>
      </w:tblPr>
      <w:tblGrid>
        <w:gridCol w:w="1764"/>
        <w:gridCol w:w="1260"/>
        <w:gridCol w:w="1260"/>
        <w:gridCol w:w="1134"/>
        <w:gridCol w:w="1260"/>
        <w:gridCol w:w="1260"/>
        <w:gridCol w:w="1134"/>
      </w:tblGrid>
      <w:tr>
        <w:trPr>
          <w:tblHeader w:val="on"/>
          <w:cantSplit/>
        </w:trPr>
        <w:tc>
          <w:tcPr>
            <w:tcW w:type="dxa" w:w="1764"/>
          </w:tcPr>
          <w:p>
            <w:pPr>
              <w:pStyle w:val="Compact"/>
              <w:spacing w:line="240" w:lineRule="auto" w:after="20"/>
            </w:pPr>
            <w:r>
              <w:rPr>
                <w:sz w:val="20"/>
              </w:rPr>
              <w:t xml:space="preserve">Feature</w:t>
            </w:r>
          </w:p>
        </w:tc>
        <w:tc>
          <w:tcPr>
            <w:tcW w:type="dxa" w:w="1260"/>
          </w:tcPr>
          <w:p>
            <w:pPr>
              <w:pStyle w:val="Compact"/>
              <w:spacing w:line="240" w:lineRule="auto" w:after="20"/>
            </w:pPr>
            <w:r>
              <w:rPr>
                <w:sz w:val="20"/>
              </w:rPr>
              <w:t xml:space="preserve">2021, full</w:t>
            </w:r>
          </w:p>
        </w:tc>
        <w:tc>
          <w:tcPr>
            <w:tcW w:type="dxa" w:w="1260"/>
          </w:tcPr>
          <w:p>
            <w:pPr>
              <w:pStyle w:val="Compact"/>
              <w:spacing w:line="240" w:lineRule="auto" w:after="20"/>
            </w:pPr>
            <w:r>
              <w:rPr>
                <w:sz w:val="20"/>
              </w:rPr>
              <w:t xml:space="preserve">2022, full</w:t>
            </w:r>
          </w:p>
        </w:tc>
        <w:tc>
          <w:tcPr>
            <w:tcW w:type="dxa" w:w="1134"/>
          </w:tcPr>
          <w:p>
            <w:pPr>
              <w:pStyle w:val="Compact"/>
              <w:spacing w:line="240" w:lineRule="auto" w:after="20"/>
            </w:pPr>
            <w:r>
              <w:rPr>
                <w:sz w:val="20"/>
              </w:rPr>
              <w:t xml:space="preserve">full verdict</w:t>
            </w:r>
          </w:p>
        </w:tc>
        <w:tc>
          <w:tcPr>
            <w:tcW w:type="dxa" w:w="1260"/>
          </w:tcPr>
          <w:p>
            <w:pPr>
              <w:pStyle w:val="Compact"/>
              <w:spacing w:line="240" w:lineRule="auto" w:after="20"/>
            </w:pPr>
            <w:r>
              <w:rPr>
                <w:sz w:val="20"/>
              </w:rPr>
              <w:t xml:space="preserve">2021, collar</w:t>
            </w:r>
          </w:p>
        </w:tc>
        <w:tc>
          <w:tcPr>
            <w:tcW w:type="dxa" w:w="1260"/>
          </w:tcPr>
          <w:p>
            <w:pPr>
              <w:pStyle w:val="Compact"/>
              <w:spacing w:line="240" w:lineRule="auto" w:after="20"/>
            </w:pPr>
            <w:r>
              <w:rPr>
                <w:sz w:val="20"/>
              </w:rPr>
              <w:t xml:space="preserve">2022, collar</w:t>
            </w:r>
          </w:p>
        </w:tc>
        <w:tc>
          <w:tcPr>
            <w:tcW w:type="dxa" w:w="1134"/>
          </w:tcPr>
          <w:p>
            <w:pPr>
              <w:pStyle w:val="Compact"/>
              <w:spacing w:line="240" w:lineRule="auto" w:after="20"/>
            </w:pPr>
            <w:r>
              <w:rPr>
                <w:sz w:val="20"/>
              </w:rPr>
              <w:t xml:space="preserve">collar verdict</w:t>
            </w:r>
          </w:p>
        </w:tc>
      </w:tr>
      <w:tr>
        <w:trPr>
          <w:cantSplit/>
        </w:trPr>
        <w:tc>
          <w:tcPr>
            <w:tcW w:type="dxa" w:w="1764"/>
          </w:tcPr>
          <w:p>
            <w:pPr>
              <w:pStyle w:val="Compact"/>
              <w:spacing w:line="240" w:lineRule="auto" w:after="20"/>
            </w:pPr>
            <w:r>
              <w:rPr>
                <w:b/>
                <w:bCs/>
                <w:sz w:val="20"/>
              </w:rPr>
              <w:t xml:space="preserve">elevation_mean</w:t>
            </w:r>
          </w:p>
        </w:tc>
        <w:tc>
          <w:tcPr>
            <w:tcW w:type="dxa" w:w="1260"/>
          </w:tcPr>
          <w:p>
            <w:pPr>
              <w:pStyle w:val="Compact"/>
              <w:spacing w:line="240" w:lineRule="auto" w:after="20"/>
            </w:pPr>
            <w:r>
              <w:rPr>
                <w:sz w:val="20"/>
              </w:rPr>
              <w:t xml:space="preserve">0.611 [0.529, 0.692]</w:t>
            </w:r>
          </w:p>
        </w:tc>
        <w:tc>
          <w:tcPr>
            <w:tcW w:type="dxa" w:w="1260"/>
          </w:tcPr>
          <w:p>
            <w:pPr>
              <w:pStyle w:val="Compact"/>
              <w:spacing w:line="240" w:lineRule="auto" w:after="20"/>
            </w:pPr>
            <w:r>
              <w:rPr>
                <w:sz w:val="20"/>
              </w:rPr>
              <w:t xml:space="preserve">0.297 [0.229, 0.363]</w:t>
            </w:r>
          </w:p>
        </w:tc>
        <w:tc>
          <w:tcPr>
            <w:tcW w:type="dxa" w:w="1134"/>
          </w:tcPr>
          <w:p>
            <w:pPr>
              <w:pStyle w:val="Compact"/>
              <w:spacing w:line="240" w:lineRule="auto" w:after="20"/>
            </w:pPr>
            <w:r>
              <w:rPr>
                <w:b/>
                <w:bCs/>
                <w:sz w:val="20"/>
              </w:rPr>
              <w:t xml:space="preserve">supported reversal</w:t>
            </w:r>
          </w:p>
        </w:tc>
        <w:tc>
          <w:tcPr>
            <w:tcW w:type="dxa" w:w="1260"/>
          </w:tcPr>
          <w:p>
            <w:pPr>
              <w:pStyle w:val="Compact"/>
              <w:spacing w:line="240" w:lineRule="auto" w:after="20"/>
            </w:pPr>
            <w:r>
              <w:rPr>
                <w:sz w:val="20"/>
              </w:rPr>
              <w:t xml:space="preserve">0.606 [0.525, 0.685]</w:t>
            </w:r>
          </w:p>
        </w:tc>
        <w:tc>
          <w:tcPr>
            <w:tcW w:type="dxa" w:w="1260"/>
          </w:tcPr>
          <w:p>
            <w:pPr>
              <w:pStyle w:val="Compact"/>
              <w:spacing w:line="240" w:lineRule="auto" w:after="20"/>
            </w:pPr>
            <w:r>
              <w:rPr>
                <w:sz w:val="20"/>
              </w:rPr>
              <w:t xml:space="preserve">0.565 [0.450, 0.677]</w:t>
            </w:r>
          </w:p>
        </w:tc>
        <w:tc>
          <w:tcPr>
            <w:tcW w:type="dxa" w:w="1134"/>
          </w:tcPr>
          <w:p>
            <w:pPr>
              <w:pStyle w:val="Compact"/>
              <w:spacing w:line="240" w:lineRule="auto" w:after="20"/>
            </w:pPr>
            <w:r>
              <w:rPr>
                <w:sz w:val="20"/>
              </w:rPr>
              <w:t xml:space="preserve">none</w:t>
            </w:r>
          </w:p>
        </w:tc>
      </w:tr>
      <w:tr>
        <w:trPr>
          <w:cantSplit/>
        </w:trPr>
        <w:tc>
          <w:tcPr>
            <w:tcW w:type="dxa" w:w="1764"/>
          </w:tcPr>
          <w:p>
            <w:pPr>
              <w:pStyle w:val="Compact"/>
              <w:spacing w:line="240" w:lineRule="auto" w:after="20"/>
            </w:pPr>
            <w:r>
              <w:rPr>
                <w:sz w:val="20"/>
              </w:rPr>
              <w:t xml:space="preserve">slope_mean</w:t>
            </w:r>
          </w:p>
        </w:tc>
        <w:tc>
          <w:tcPr>
            <w:tcW w:type="dxa" w:w="1260"/>
          </w:tcPr>
          <w:p>
            <w:pPr>
              <w:pStyle w:val="Compact"/>
              <w:spacing w:line="240" w:lineRule="auto" w:after="20"/>
            </w:pPr>
            <w:r>
              <w:rPr>
                <w:sz w:val="20"/>
              </w:rPr>
              <w:t xml:space="preserve">0.637 [0.584, 0.689]</w:t>
            </w:r>
          </w:p>
        </w:tc>
        <w:tc>
          <w:tcPr>
            <w:tcW w:type="dxa" w:w="1260"/>
          </w:tcPr>
          <w:p>
            <w:pPr>
              <w:pStyle w:val="Compact"/>
              <w:spacing w:line="240" w:lineRule="auto" w:after="20"/>
            </w:pPr>
            <w:r>
              <w:rPr>
                <w:sz w:val="20"/>
              </w:rPr>
              <w:t xml:space="preserve">0.559 [0.463, 0.643]</w:t>
            </w:r>
          </w:p>
        </w:tc>
        <w:tc>
          <w:tcPr>
            <w:tcW w:type="dxa" w:w="1134"/>
          </w:tcPr>
          <w:p>
            <w:pPr>
              <w:pStyle w:val="Compact"/>
              <w:spacing w:line="240" w:lineRule="auto" w:after="20"/>
            </w:pPr>
            <w:r>
              <w:rPr>
                <w:sz w:val="20"/>
              </w:rPr>
              <w:t xml:space="preserve">none</w:t>
            </w:r>
          </w:p>
        </w:tc>
        <w:tc>
          <w:tcPr>
            <w:tcW w:type="dxa" w:w="1260"/>
          </w:tcPr>
          <w:p>
            <w:pPr>
              <w:pStyle w:val="Compact"/>
              <w:spacing w:line="240" w:lineRule="auto" w:after="20"/>
            </w:pPr>
            <w:r>
              <w:rPr>
                <w:sz w:val="20"/>
              </w:rPr>
              <w:t xml:space="preserve">0.635 [0.578, 0.692]</w:t>
            </w:r>
          </w:p>
        </w:tc>
        <w:tc>
          <w:tcPr>
            <w:tcW w:type="dxa" w:w="1260"/>
          </w:tcPr>
          <w:p>
            <w:pPr>
              <w:pStyle w:val="Compact"/>
              <w:spacing w:line="240" w:lineRule="auto" w:after="20"/>
            </w:pPr>
            <w:r>
              <w:rPr>
                <w:sz w:val="20"/>
              </w:rPr>
              <w:t xml:space="preserve">0.457 [0.356, 0.548]</w:t>
            </w:r>
          </w:p>
        </w:tc>
        <w:tc>
          <w:tcPr>
            <w:tcW w:type="dxa" w:w="1134"/>
          </w:tcPr>
          <w:p>
            <w:pPr>
              <w:pStyle w:val="Compact"/>
              <w:spacing w:line="240" w:lineRule="auto" w:after="20"/>
            </w:pPr>
            <w:r>
              <w:rPr>
                <w:sz w:val="20"/>
              </w:rPr>
              <w:t xml:space="preserve">none</w:t>
            </w:r>
          </w:p>
        </w:tc>
      </w:tr>
      <w:tr>
        <w:trPr>
          <w:cantSplit/>
        </w:trPr>
        <w:tc>
          <w:tcPr>
            <w:tcW w:type="dxa" w:w="1764"/>
          </w:tcPr>
          <w:p>
            <w:pPr>
              <w:pStyle w:val="Compact"/>
              <w:spacing w:line="240" w:lineRule="auto" w:after="20"/>
            </w:pPr>
            <w:r>
              <w:rPr>
                <w:sz w:val="20"/>
              </w:rPr>
              <w:t xml:space="preserve">the state-dependent channels</w:t>
            </w:r>
          </w:p>
        </w:tc>
        <w:tc>
          <w:tcPr>
            <w:tcW w:type="dxa" w:w="1260"/>
          </w:tcPr>
          <w:p>
            <w:pPr>
              <w:pStyle w:val="Compact"/>
              <w:spacing w:line="240" w:lineRule="auto" w:after="20"/>
            </w:pPr>
            <w:r>
              <w:rPr>
                <w:sz w:val="20"/>
              </w:rPr>
              <w:t xml:space="preserve">n/a</w:t>
            </w:r>
          </w:p>
        </w:tc>
        <w:tc>
          <w:tcPr>
            <w:tcW w:type="dxa" w:w="1260"/>
          </w:tcPr>
          <w:p>
            <w:pPr>
              <w:pStyle w:val="Compact"/>
              <w:spacing w:line="240" w:lineRule="auto" w:after="20"/>
            </w:pPr>
            <w:r>
              <w:rPr>
                <w:sz w:val="20"/>
              </w:rPr>
              <w:t xml:space="preserve">n/a</w:t>
            </w:r>
          </w:p>
        </w:tc>
        <w:tc>
          <w:tcPr>
            <w:tcW w:type="dxa" w:w="1134"/>
          </w:tcPr>
          <w:p>
            <w:pPr>
              <w:pStyle w:val="Compact"/>
              <w:spacing w:line="240" w:lineRule="auto" w:after="20"/>
            </w:pPr>
            <w:r>
              <w:rPr>
                <w:sz w:val="20"/>
              </w:rPr>
              <w:t xml:space="preserve">n/a</w:t>
            </w:r>
          </w:p>
        </w:tc>
        <w:tc>
          <w:tcPr>
            <w:tcW w:type="dxa" w:w="1260"/>
          </w:tcPr>
          <w:p>
            <w:pPr>
              <w:pStyle w:val="Compact"/>
              <w:spacing w:line="240" w:lineRule="auto" w:after="20"/>
            </w:pPr>
            <w:r>
              <w:rPr>
                <w:sz w:val="20"/>
              </w:rPr>
              <w:t xml:space="preserve">n/a</w:t>
            </w:r>
          </w:p>
        </w:tc>
        <w:tc>
          <w:tcPr>
            <w:tcW w:type="dxa" w:w="1260"/>
          </w:tcPr>
          <w:p>
            <w:pPr>
              <w:pStyle w:val="Compact"/>
              <w:spacing w:line="240" w:lineRule="auto" w:after="20"/>
            </w:pPr>
            <w:r>
              <w:rPr>
                <w:sz w:val="20"/>
              </w:rPr>
              <w:t xml:space="preserve">n/a</w:t>
            </w:r>
          </w:p>
        </w:tc>
        <w:tc>
          <w:tcPr>
            <w:tcW w:type="dxa" w:w="1134"/>
          </w:tcPr>
          <w:p>
            <w:pPr>
              <w:pStyle w:val="Compact"/>
              <w:spacing w:line="240" w:lineRule="auto" w:after="20"/>
            </w:pPr>
            <w:r>
              <w:rPr>
                <w:b/>
                <w:bCs/>
                <w:sz w:val="20"/>
              </w:rPr>
              <w:t xml:space="preserve">not evaluable here</w:t>
            </w:r>
          </w:p>
        </w:tc>
      </w:tr>
    </w:tbl>
    <w:p>
      <w:pPr>
        <w:pStyle w:val="BodyText"/>
      </w:pPr>
      <w:r>
        <w:t xml:space="preserve">Source</w:t>
      </w:r>
      <w:r>
        <w:t xml:space="preserve"> </w:t>
      </w:r>
      <w:r>
        <w:rPr>
          <w:rStyle w:val="VerbatimChar"/>
        </w:rPr>
        <w:t xml:space="preserve">paper/labelfix_rerun/code/mugla_two_event_collar.csv</w:t>
      </w:r>
      <w:r>
        <w:t xml:space="preserve">. The two populations are not separate</w:t>
      </w:r>
      <w:r>
        <w:t xml:space="preserve"> </w:t>
      </w:r>
      <w:r>
        <w:t xml:space="preserve">samples. They share 38,789 of the 38,790 cells of the 2022 population. Elevation, slope and land</w:t>
      </w:r>
      <w:r>
        <w:t xml:space="preserve"> </w:t>
      </w:r>
      <w:r>
        <w:t xml:space="preserve">cover are identical in all 73,098 grid cells, so only NDVI and the six thermal channels differ between</w:t>
      </w:r>
      <w:r>
        <w:t xml:space="preserve"> </w:t>
      </w:r>
      <w:r>
        <w:t xml:space="preserve">them. The 2021 burned cells were also removed from the 2022 population. In the 2022-to-2021 direction,</w:t>
      </w:r>
      <w:r>
        <w:t xml:space="preserve"> </w:t>
      </w:r>
      <w:r>
        <w:t xml:space="preserve">therefore, no burned target cell is in the source training data, while 38,789 of the 38,819 unburned</w:t>
      </w:r>
      <w:r>
        <w:t xml:space="preserve"> </w:t>
      </w:r>
      <w:r>
        <w:t xml:space="preserve">target cells are. Membership of the training data alone separates the two classes of the 2021 target</w:t>
      </w:r>
      <w:r>
        <w:t xml:space="preserve"> </w:t>
      </w:r>
      <w:r>
        <w:t xml:space="preserve">at ROC-AUC 0.9996.</w:t>
      </w:r>
      <w:r>
        <w:t xml:space="preserve"> </w:t>
      </w:r>
      <w:r>
        <w:rPr>
          <w:b/>
          <w:bCs/>
        </w:rPr>
        <w:t xml:space="preserve">The effect of this on a transfer estimate between the two years cannot be</w:t>
      </w:r>
      <w:r>
        <w:rPr>
          <w:b/>
          <w:bCs/>
        </w:rPr>
        <w:t xml:space="preserve"> </w:t>
      </w:r>
      <w:r>
        <w:rPr>
          <w:b/>
          <w:bCs/>
        </w:rPr>
        <w:t xml:space="preserve">bounded.</w:t>
      </w:r>
      <w:r>
        <w:t xml:space="preserve"> </w:t>
      </w:r>
      <w:r>
        <w:t xml:space="preserve">The known part of the bias makes the reversal smaller, not larger: the removed cells are</w:t>
      </w:r>
      <w:r>
        <w:t xml:space="preserve"> </w:t>
      </w:r>
      <w:r>
        <w:t xml:space="preserve">high (median 563 m), so removing them takes high unburned cells out of the 2022 population.</w:t>
      </w:r>
    </w:p>
    <w:bookmarkEnd w:id="35"/>
    <w:bookmarkStart w:id="36" w:name="s1.14-the-two-interventions-in-full"/>
    <w:p>
      <w:pPr>
        <w:pStyle w:val="Heading2"/>
      </w:pPr>
      <w:r>
        <w:t xml:space="preserve">S1.14 The two interventions, in full</w:t>
      </w:r>
    </w:p>
    <w:p>
      <w:pPr>
        <w:pStyle w:val="FirstParagraph"/>
      </w:pPr>
      <w:r>
        <w:rPr>
          <w:b/>
          <w:bCs/>
        </w:rPr>
        <w:t xml:space="preserve">(a) Pooled multi-region training</w:t>
      </w:r>
      <w:r>
        <w:t xml:space="preserve"> </w:t>
      </w:r>
      <w:r>
        <w:t xml:space="preserve">(Fig. 6). A model trained on the pooled populations of the</w:t>
      </w:r>
      <w:r>
        <w:t xml:space="preserve"> </w:t>
      </w:r>
      <w:r>
        <w:t xml:space="preserve">other four regions is better than the mean of the four single-source models for one target of five,</w:t>
      </w:r>
      <w:r>
        <w:t xml:space="preserve"> </w:t>
      </w:r>
      <w:r>
        <w:t xml:space="preserve">Evia, at 0.715 [0.668, 0.757] against a mean of 0.569. For the other four targets it is worse than</w:t>
      </w:r>
      <w:r>
        <w:t xml:space="preserve"> </w:t>
      </w:r>
      <w:r>
        <w:t xml:space="preserve">this mean, by 0.009 to 0.057. It is better than the best single source only for Evia (0.654). The</w:t>
      </w:r>
      <w:r>
        <w:t xml:space="preserve"> </w:t>
      </w:r>
      <w:r>
        <w:t xml:space="preserve">best source can only be chosen with target labels, so it is a reference, not an option. For every</w:t>
      </w:r>
      <w:r>
        <w:t xml:space="preserve"> </w:t>
      </w:r>
      <w:r>
        <w:t xml:space="preserve">target the pooled model stays 0.20 to 0.48 AUC below the within-region ceiling. For Manavgat and</w:t>
      </w:r>
      <w:r>
        <w:t xml:space="preserve"> </w:t>
      </w:r>
      <w:r>
        <w:t xml:space="preserve">Bejís it is below chance, and only for Manavgat with interval support, at 0.426 [0.369, 0.486].</w:t>
      </w:r>
      <w:r>
        <w:t xml:space="preserve"> </w:t>
      </w:r>
      <w:r>
        <w:t xml:space="preserve">Outside Evia, pooling does not recover what single-source transfer loses</w:t>
      </w:r>
      <w:r>
        <w:t xml:space="preserve"> </w:t>
      </w:r>
      <w:r>
        <w:t xml:space="preserve">(</w:t>
      </w:r>
      <w:r>
        <w:rPr>
          <w:rStyle w:val="VerbatimChar"/>
        </w:rPr>
        <w:t xml:space="preserve">paper/labelfix_rerun/code/loro_all.json</w:t>
      </w:r>
      <w:r>
        <w:t xml:space="preserve">,</w:t>
      </w:r>
      <w:r>
        <w:t xml:space="preserve"> </w:t>
      </w:r>
      <w:r>
        <w:rPr>
          <w:rStyle w:val="VerbatimChar"/>
        </w:rPr>
        <w:t xml:space="preserve">paper/labelfix_rerun/round7/r7d_pooled_vs_single.csv</w:t>
      </w:r>
      <w:r>
        <w:t xml:space="preserve">).</w:t>
      </w:r>
    </w:p>
    <w:p>
      <w:pPr>
        <w:pStyle w:val="BodyText"/>
      </w:pPr>
      <w:r>
        <w:rPr>
          <w:b/>
          <w:bCs/>
        </w:rPr>
        <w:t xml:space="preserve">(b) Removing the direction-reversing features.</w:t>
      </w:r>
      <w:r>
        <w:t xml:space="preserve"> </w:t>
      </w:r>
      <w:r>
        <w:t xml:space="preserve">Under the original label, two predictors</w:t>
      </w:r>
      <w:r>
        <w:t xml:space="preserve"> </w:t>
      </w:r>
      <w:r>
        <w:t xml:space="preserve">reversed between regions with bootstrap support on the original study areas:</w:t>
      </w:r>
      <w:r>
        <w:t xml:space="preserve"> </w:t>
      </w:r>
      <w:r>
        <w:rPr>
          <w:rStyle w:val="VerbatimChar"/>
          <w:b/>
          <w:bCs/>
        </w:rPr>
        <w:t xml:space="preserve">elevation_mean</w:t>
      </w:r>
      <w:r>
        <w:rPr>
          <w:b/>
          <w:bCs/>
        </w:rPr>
        <w:t xml:space="preserve"> </w:t>
      </w:r>
      <w:r>
        <w:rPr>
          <w:b/>
          <w:bCs/>
        </w:rPr>
        <w:t xml:space="preserve">and</w:t>
      </w:r>
      <w:r>
        <w:rPr>
          <w:b/>
          <w:bCs/>
        </w:rPr>
        <w:t xml:space="preserve"> </w:t>
      </w:r>
      <w:r>
        <w:rPr>
          <w:rStyle w:val="VerbatimChar"/>
          <w:b/>
          <w:bCs/>
        </w:rPr>
        <w:t xml:space="preserve">lst_anomaly_mean</w:t>
      </w:r>
      <w:r>
        <w:t xml:space="preserve">. This analysis keeps these two and does not re-select</w:t>
      </w:r>
      <w:r>
        <w:t xml:space="preserve"> </w:t>
      </w:r>
      <w:r>
        <w:t xml:space="preserve">under the corrected label (Table S10). Section 4.4 shows that the study area decides much of the</w:t>
      </w:r>
      <w:r>
        <w:t xml:space="preserve"> </w:t>
      </w:r>
      <w:r>
        <w:t xml:space="preserve">support, so this analysis measures the cost of removal under the original protocol. Without the two</w:t>
      </w:r>
      <w:r>
        <w:t xml:space="preserve"> </w:t>
      </w:r>
      <w:r>
        <w:t xml:space="preserve">predictors, mean within-region AUC falls by</w:t>
      </w:r>
      <w:r>
        <w:t xml:space="preserve"> </w:t>
      </w:r>
      <w:r>
        <w:rPr>
          <w:b/>
          <w:bCs/>
        </w:rPr>
        <w:t xml:space="preserve">0.076</w:t>
      </w:r>
      <w:r>
        <w:t xml:space="preserve">, with support in every region (−0.035, −0.130,</w:t>
      </w:r>
      <w:r>
        <w:t xml:space="preserve"> </w:t>
      </w:r>
      <w:r>
        <w:t xml:space="preserve">−0.073, −0.063 and −0.079 for Manavgat, Bejís, Muğla, Evia and Montiferru; every interval fully below</w:t>
      </w:r>
      <w:r>
        <w:t xml:space="preserve"> </w:t>
      </w:r>
      <w:r>
        <w:t xml:space="preserve">zero). Mean transfer changes by</w:t>
      </w:r>
      <w:r>
        <w:t xml:space="preserve"> </w:t>
      </w:r>
      <w:r>
        <w:rPr>
          <w:b/>
          <w:bCs/>
        </w:rPr>
        <w:t xml:space="preserve">+0.014 [−0.028, +0.056]</w:t>
      </w:r>
      <w:r>
        <w:t xml:space="preserve"> </w:t>
      </w:r>
      <w:r>
        <w:t xml:space="preserve">(Student</w:t>
      </w:r>
      <w:r>
        <w:t xml:space="preserve"> </w:t>
      </w:r>
      <w:r>
        <w:rPr>
          <w:i/>
          <w:iCs/>
        </w:rPr>
        <w:t xml:space="preserve">t</w:t>
      </w:r>
      <w:r>
        <w:t xml:space="preserve"> </w:t>
      </w:r>
      <w:r>
        <w:t xml:space="preserve">over the ten region pairs, as</w:t>
      </w:r>
      <w:r>
        <w:t xml:space="preserve"> </w:t>
      </w:r>
      <w:r>
        <w:t xml:space="preserve">plotted in Fig. 7), which includes zero; the primary pair-cluster bootstrap gives [−0.018, +0.049]</w:t>
      </w:r>
      <w:r>
        <w:t xml:space="preserve"> </w:t>
      </w:r>
      <w:r>
        <w:t xml:space="preserve">(</w:t>
      </w:r>
      <w:r>
        <w:rPr>
          <w:rStyle w:val="VerbatimChar"/>
        </w:rPr>
        <w:t xml:space="preserve">paper/labelfix_rerun/round8/r8q_summary.json</w:t>
      </w:r>
      <w:r>
        <w:t xml:space="preserve">) (source</w:t>
      </w:r>
      <w:r>
        <w:t xml:space="preserve"> </w:t>
      </w:r>
      <w:r>
        <w:rPr>
          <w:rStyle w:val="VerbatimChar"/>
        </w:rPr>
        <w:t xml:space="preserve">paper/labelfix_rerun/round3/feature_drop_transfer.json</w:t>
      </w:r>
      <w:r>
        <w:t xml:space="preserve">, summarised by</w:t>
      </w:r>
      <w:r>
        <w:t xml:space="preserve"> </w:t>
      </w:r>
      <w:r>
        <w:rPr>
          <w:rStyle w:val="VerbatimChar"/>
        </w:rPr>
        <w:t xml:space="preserve">paper/labelfix_rerun/round7/r7e_supplement_tables.py</w:t>
      </w:r>
      <w:r>
        <w:t xml:space="preserve">).</w:t>
      </w:r>
    </w:p>
    <w:p>
      <w:pPr>
        <w:pStyle w:val="BodyText"/>
      </w:pPr>
      <w:r>
        <w:t xml:space="preserve">Two points should be noted. First, most of the cost does not come from the thermal set. Removing elevation alone lowers AUC by 0.056 (0.896 to 0.840). Removing the LST anomaly alone lowers</w:t>
      </w:r>
      <w:r>
        <w:t xml:space="preserve"> </w:t>
      </w:r>
      <w:r>
        <w:t xml:space="preserve">it by 0.013 (0.896 to 0.883). About three quarters of the cost therefore comes from removing a baseline terrain variable.</w:t>
      </w:r>
      <w:r>
        <w:t xml:space="preserve"> </w:t>
      </w:r>
      <w:r>
        <w:t xml:space="preserve">Second, both predictors were chosen because they reverse, on the same data on which the costs are</w:t>
      </w:r>
      <w:r>
        <w:t xml:space="preserve"> </w:t>
      </w:r>
      <w:r>
        <w:t xml:space="preserve">estimated, and no correction is applied.</w:t>
      </w:r>
    </w:p>
    <w:p>
      <w:pPr>
        <w:pStyle w:val="BodyText"/>
        <w:keepNext/>
      </w:pPr>
      <w:r>
        <w:rPr>
          <w:b/>
          <w:bCs/>
        </w:rPr>
        <w:t xml:space="preserve">Table S28. Feature-removal configurations.</w:t>
      </w:r>
    </w:p>
    <w:tbl>
      <w:tblPr>
        <w:tblStyle w:val="Table"/>
        <w:tblW w:type="auto" w:w="0"/>
        <w:tblLook w:firstRow="1" w:lastRow="0" w:firstColumn="0" w:lastColumn="0" w:noHBand="0" w:noVBand="0" w:val="0020"/>
      </w:tblPr>
      <w:tblGrid>
        <w:gridCol w:w="3174"/>
        <w:gridCol w:w="3326"/>
        <w:gridCol w:w="2570"/>
      </w:tblGrid>
      <w:tr>
        <w:trPr>
          <w:tblHeader w:val="on"/>
          <w:cantSplit/>
        </w:trPr>
        <w:tc>
          <w:tcPr>
            <w:tcW w:type="dxa" w:w="3174"/>
          </w:tcPr>
          <w:p>
            <w:pPr>
              <w:pStyle w:val="Compact"/>
              <w:spacing w:line="240" w:lineRule="auto" w:after="20"/>
            </w:pPr>
            <w:r>
              <w:rPr>
                <w:sz w:val="20"/>
              </w:rPr>
              <w:t xml:space="preserve">Configuration</w:t>
            </w:r>
          </w:p>
        </w:tc>
        <w:tc>
          <w:tcPr>
            <w:tcW w:type="dxa" w:w="3326"/>
          </w:tcPr>
          <w:p>
            <w:pPr>
              <w:pStyle w:val="Compact"/>
              <w:spacing w:line="240" w:lineRule="auto" w:after="20"/>
              <w:jc w:val="right"/>
            </w:pPr>
            <w:r>
              <w:rPr>
                <w:sz w:val="20"/>
              </w:rPr>
              <w:t xml:space="preserve">Mean within-region AUC</w:t>
            </w:r>
          </w:p>
        </w:tc>
        <w:tc>
          <w:tcPr>
            <w:tcW w:type="dxa" w:w="2570"/>
          </w:tcPr>
          <w:p>
            <w:pPr>
              <w:pStyle w:val="Compact"/>
              <w:spacing w:line="240" w:lineRule="auto" w:after="20"/>
              <w:jc w:val="right"/>
            </w:pPr>
            <w:r>
              <w:rPr>
                <w:sz w:val="20"/>
              </w:rPr>
              <w:t xml:space="preserve">Mean transfer AUC</w:t>
            </w:r>
          </w:p>
        </w:tc>
      </w:tr>
      <w:tr>
        <w:trPr>
          <w:cantSplit/>
        </w:trPr>
        <w:tc>
          <w:tcPr>
            <w:tcW w:type="dxa" w:w="3174"/>
          </w:tcPr>
          <w:p>
            <w:pPr>
              <w:pStyle w:val="Compact"/>
              <w:spacing w:line="240" w:lineRule="auto" w:after="20"/>
            </w:pPr>
            <w:r>
              <w:rPr>
                <w:sz w:val="20"/>
              </w:rPr>
              <w:t xml:space="preserve">full</w:t>
            </w:r>
          </w:p>
        </w:tc>
        <w:tc>
          <w:tcPr>
            <w:tcW w:type="dxa" w:w="3326"/>
          </w:tcPr>
          <w:p>
            <w:pPr>
              <w:pStyle w:val="Compact"/>
              <w:spacing w:line="240" w:lineRule="auto" w:after="20"/>
              <w:jc w:val="right"/>
            </w:pPr>
            <w:r>
              <w:rPr>
                <w:sz w:val="20"/>
              </w:rPr>
              <w:t xml:space="preserve">0.896</w:t>
            </w:r>
          </w:p>
        </w:tc>
        <w:tc>
          <w:tcPr>
            <w:tcW w:type="dxa" w:w="2570"/>
          </w:tcPr>
          <w:p>
            <w:pPr>
              <w:pStyle w:val="Compact"/>
              <w:spacing w:line="240" w:lineRule="auto" w:after="20"/>
              <w:jc w:val="right"/>
            </w:pPr>
            <w:r>
              <w:rPr>
                <w:sz w:val="20"/>
              </w:rPr>
              <w:t xml:space="preserve">0.527</w:t>
            </w:r>
          </w:p>
        </w:tc>
      </w:tr>
      <w:tr>
        <w:trPr>
          <w:cantSplit/>
        </w:trPr>
        <w:tc>
          <w:tcPr>
            <w:tcW w:type="dxa" w:w="3174"/>
          </w:tcPr>
          <w:p>
            <w:pPr>
              <w:pStyle w:val="Compact"/>
              <w:spacing w:line="240" w:lineRule="auto" w:after="20"/>
            </w:pPr>
            <w:r>
              <w:rPr>
                <w:sz w:val="20"/>
              </w:rPr>
              <w:t xml:space="preserve">drop</w:t>
            </w:r>
            <w:r>
              <w:rPr>
                <w:sz w:val="20"/>
              </w:rPr>
              <w:t xml:space="preserve"> </w:t>
            </w:r>
            <w:r>
              <w:rPr>
                <w:rStyle w:val="VerbatimChar"/>
                <w:sz w:val="20"/>
              </w:rPr>
              <w:t xml:space="preserve">elevation_mean</w:t>
            </w:r>
          </w:p>
        </w:tc>
        <w:tc>
          <w:tcPr>
            <w:tcW w:type="dxa" w:w="3326"/>
          </w:tcPr>
          <w:p>
            <w:pPr>
              <w:pStyle w:val="Compact"/>
              <w:spacing w:line="240" w:lineRule="auto" w:after="20"/>
              <w:jc w:val="right"/>
            </w:pPr>
            <w:r>
              <w:rPr>
                <w:sz w:val="20"/>
              </w:rPr>
              <w:t xml:space="preserve">0.840</w:t>
            </w:r>
          </w:p>
        </w:tc>
        <w:tc>
          <w:tcPr>
            <w:tcW w:type="dxa" w:w="2570"/>
          </w:tcPr>
          <w:p>
            <w:pPr>
              <w:pStyle w:val="Compact"/>
              <w:spacing w:line="240" w:lineRule="auto" w:after="20"/>
              <w:jc w:val="right"/>
            </w:pPr>
            <w:r>
              <w:rPr>
                <w:sz w:val="20"/>
              </w:rPr>
              <w:t xml:space="preserve">0.533</w:t>
            </w:r>
          </w:p>
        </w:tc>
      </w:tr>
      <w:tr>
        <w:trPr>
          <w:cantSplit/>
        </w:trPr>
        <w:tc>
          <w:tcPr>
            <w:tcW w:type="dxa" w:w="3174"/>
          </w:tcPr>
          <w:p>
            <w:pPr>
              <w:pStyle w:val="Compact"/>
              <w:spacing w:line="240" w:lineRule="auto" w:after="20"/>
            </w:pPr>
            <w:r>
              <w:rPr>
                <w:sz w:val="20"/>
              </w:rPr>
              <w:t xml:space="preserve">drop</w:t>
            </w:r>
            <w:r>
              <w:rPr>
                <w:sz w:val="20"/>
              </w:rPr>
              <w:t xml:space="preserve"> </w:t>
            </w:r>
            <w:r>
              <w:rPr>
                <w:rStyle w:val="VerbatimChar"/>
                <w:sz w:val="20"/>
              </w:rPr>
              <w:t xml:space="preserve">lst_anomaly_mean</w:t>
            </w:r>
          </w:p>
        </w:tc>
        <w:tc>
          <w:tcPr>
            <w:tcW w:type="dxa" w:w="3326"/>
          </w:tcPr>
          <w:p>
            <w:pPr>
              <w:pStyle w:val="Compact"/>
              <w:spacing w:line="240" w:lineRule="auto" w:after="20"/>
              <w:jc w:val="right"/>
            </w:pPr>
            <w:r>
              <w:rPr>
                <w:sz w:val="20"/>
              </w:rPr>
              <w:t xml:space="preserve">0.883</w:t>
            </w:r>
          </w:p>
        </w:tc>
        <w:tc>
          <w:tcPr>
            <w:tcW w:type="dxa" w:w="2570"/>
          </w:tcPr>
          <w:p>
            <w:pPr>
              <w:pStyle w:val="Compact"/>
              <w:spacing w:line="240" w:lineRule="auto" w:after="20"/>
              <w:jc w:val="right"/>
            </w:pPr>
            <w:r>
              <w:rPr>
                <w:sz w:val="20"/>
              </w:rPr>
              <w:t xml:space="preserve">0.529</w:t>
            </w:r>
          </w:p>
        </w:tc>
      </w:tr>
      <w:tr>
        <w:trPr>
          <w:cantSplit/>
        </w:trPr>
        <w:tc>
          <w:tcPr>
            <w:tcW w:type="dxa" w:w="3174"/>
          </w:tcPr>
          <w:p>
            <w:pPr>
              <w:pStyle w:val="Compact"/>
              <w:spacing w:line="240" w:lineRule="auto" w:after="20"/>
            </w:pPr>
            <w:r>
              <w:rPr>
                <w:sz w:val="20"/>
              </w:rPr>
              <w:t xml:space="preserve">drop both</w:t>
            </w:r>
          </w:p>
        </w:tc>
        <w:tc>
          <w:tcPr>
            <w:tcW w:type="dxa" w:w="3326"/>
          </w:tcPr>
          <w:p>
            <w:pPr>
              <w:pStyle w:val="Compact"/>
              <w:spacing w:line="240" w:lineRule="auto" w:after="20"/>
              <w:jc w:val="right"/>
            </w:pPr>
            <w:r>
              <w:rPr>
                <w:sz w:val="20"/>
              </w:rPr>
              <w:t xml:space="preserve">0.820</w:t>
            </w:r>
          </w:p>
        </w:tc>
        <w:tc>
          <w:tcPr>
            <w:tcW w:type="dxa" w:w="2570"/>
          </w:tcPr>
          <w:p>
            <w:pPr>
              <w:pStyle w:val="Compact"/>
              <w:spacing w:line="240" w:lineRule="auto" w:after="20"/>
              <w:jc w:val="right"/>
            </w:pPr>
            <w:r>
              <w:rPr>
                <w:sz w:val="20"/>
              </w:rPr>
              <w:t xml:space="preserve">0.541</w:t>
            </w:r>
          </w:p>
        </w:tc>
      </w:tr>
    </w:tbl>
    <w:p>
      <w:pPr>
        <w:pStyle w:val="BodyText"/>
      </w:pPr>
      <w:r>
        <w:t xml:space="preserve">Fig. 7 shows the four configurations together. A local cost is measured, but no transfer gain. This</w:t>
      </w:r>
      <w:r>
        <w:t xml:space="preserve"> </w:t>
      </w:r>
      <w:r>
        <w:t xml:space="preserve">is not an exchange, because neither transfer effect is established: the thermal contribution to</w:t>
      </w:r>
      <w:r>
        <w:t xml:space="preserve"> </w:t>
      </w:r>
      <w:r>
        <w:t xml:space="preserve">transfer is +0.007 and removing the reversing predictors gives +0.014, and both intervals include</w:t>
      </w:r>
      <w:r>
        <w:t xml:space="preserve"> </w:t>
      </w:r>
      <w:r>
        <w:t xml:space="preserve">zero.</w:t>
      </w:r>
    </w:p>
    <w:bookmarkEnd w:id="36"/>
    <w:bookmarkStart w:id="37" w:name="X0bca91d5c67796c86c5b93cce0259614be8d6a1"/>
    <w:p>
      <w:pPr>
        <w:pStyle w:val="Heading2"/>
      </w:pPr>
      <w:r>
        <w:t xml:space="preserve">S1.15 The paired thermal contribution to transfer</w:t>
      </w:r>
    </w:p>
    <w:p>
      <w:pPr>
        <w:pStyle w:val="FirstParagraph"/>
      </w:pPr>
      <w:r>
        <w:t xml:space="preserve">The signed associations on both frames are given in Tables S9, S10 and S14, and their stratified</w:t>
      </w:r>
      <w:r>
        <w:t xml:space="preserve"> </w:t>
      </w:r>
      <w:r>
        <w:t xml:space="preserve">values in Section S1.11; Section 4.4 summarises them. This section gives the uncertainty of the</w:t>
      </w:r>
      <w:r>
        <w:t xml:space="preserve"> </w:t>
      </w:r>
      <w:r>
        <w:t xml:space="preserve">paired thermal contribution to transfer.</w:t>
      </w:r>
    </w:p>
    <w:p>
      <w:pPr>
        <w:pStyle w:val="BodyText"/>
      </w:pPr>
      <w:r>
        <w:rPr>
          <w:b/>
          <w:bCs/>
        </w:rPr>
        <w:t xml:space="preserve">The paired thermal contribution to transfer.</w:t>
      </w:r>
      <w:r>
        <w:t xml:space="preserve"> </w:t>
      </w:r>
      <w:r>
        <w:t xml:space="preserve">The thermal and baseline matrices were</w:t>
      </w:r>
      <w:r>
        <w:t xml:space="preserve"> </w:t>
      </w:r>
      <w:r>
        <w:t xml:space="preserve">differenced direction by direction. The mean is</w:t>
      </w:r>
      <w:r>
        <w:t xml:space="preserve"> </w:t>
      </w:r>
      <w:r>
        <w:rPr>
          <w:b/>
          <w:bCs/>
        </w:rPr>
        <w:t xml:space="preserve">+0.007</w:t>
      </w:r>
      <w:r>
        <w:t xml:space="preserve">. The single contributions range from</w:t>
      </w:r>
      <w:r>
        <w:t xml:space="preserve"> </w:t>
      </w:r>
      <w:r>
        <w:rPr>
          <w:b/>
          <w:bCs/>
        </w:rPr>
        <w:t xml:space="preserve">−0.148 to +0.132</w:t>
      </w:r>
      <w:r>
        <w:t xml:space="preserve">, with</w:t>
      </w:r>
      <w:r>
        <w:t xml:space="preserve"> </w:t>
      </w:r>
      <w:r>
        <w:rPr>
          <w:b/>
          <w:bCs/>
        </w:rPr>
        <w:t xml:space="preserve">twelve positive and eight negative</w:t>
      </w:r>
      <w:r>
        <w:t xml:space="preserve">. A mean near zero therefore comes</w:t>
      </w:r>
      <w:r>
        <w:t xml:space="preserve"> </w:t>
      </w:r>
      <w:r>
        <w:t xml:space="preserve">from positive and negative values that cancel, not from a consistent absence of effect. The</w:t>
      </w:r>
      <w:r>
        <w:t xml:space="preserve"> </w:t>
      </w:r>
      <w:r>
        <w:t xml:space="preserve">directions are not independent, because each region appears in eight of the twenty. The interval</w:t>
      </w:r>
      <w:r>
        <w:t xml:space="preserve"> </w:t>
      </w:r>
      <w:r>
        <w:t xml:space="preserve">therefore depends on the resampling unit. All four units that the design allows give intervals that</w:t>
      </w:r>
      <w:r>
        <w:t xml:space="preserve"> </w:t>
      </w:r>
      <w:r>
        <w:t xml:space="preserve">include zero (1000 replicates where resampled; source</w:t>
      </w:r>
      <w:r>
        <w:t xml:space="preserve"> </w:t>
      </w:r>
      <w:r>
        <w:rPr>
          <w:rStyle w:val="VerbatimChar"/>
        </w:rPr>
        <w:t xml:space="preserve">paper/labelfix_rerun/code/transfer_delta_ci.json</w:t>
      </w:r>
      <w:r>
        <w:t xml:space="preserve">):</w:t>
      </w:r>
    </w:p>
    <w:p>
      <w:pPr>
        <w:pStyle w:val="BodyText"/>
        <w:keepNext/>
      </w:pPr>
      <w:r>
        <w:rPr>
          <w:b/>
          <w:bCs/>
        </w:rPr>
        <w:t xml:space="preserve">Table S29. The mean paired thermal contribution to transfer, by resampling unit.</w:t>
      </w:r>
    </w:p>
    <w:tbl>
      <w:tblPr>
        <w:tblStyle w:val="Table"/>
        <w:tblW w:type="auto" w:w="0"/>
        <w:tblLook w:firstRow="1" w:lastRow="0" w:firstColumn="0" w:lastColumn="0" w:noHBand="0" w:noVBand="0" w:val="0020"/>
      </w:tblPr>
      <w:tblGrid>
        <w:gridCol w:w="4291"/>
        <w:gridCol w:w="390"/>
        <w:gridCol w:w="4389"/>
      </w:tblGrid>
      <w:tr>
        <w:trPr>
          <w:tblHeader w:val="on"/>
          <w:cantSplit/>
        </w:trPr>
        <w:tc>
          <w:tcPr>
            <w:tcW w:type="dxa" w:w="4291"/>
          </w:tcPr>
          <w:p>
            <w:pPr>
              <w:pStyle w:val="Compact"/>
              <w:spacing w:line="240" w:lineRule="auto" w:after="20"/>
            </w:pPr>
            <w:r>
              <w:rPr>
                <w:sz w:val="20"/>
              </w:rPr>
              <w:t xml:space="preserve">Resampling unit</w:t>
            </w:r>
          </w:p>
        </w:tc>
        <w:tc>
          <w:tcPr>
            <w:tcW w:type="dxa" w:w="390"/>
          </w:tcPr>
          <w:p>
            <w:pPr>
              <w:pStyle w:val="Compact"/>
              <w:spacing w:line="240" w:lineRule="auto" w:after="20"/>
              <w:jc w:val="right"/>
            </w:pPr>
            <w:r>
              <w:rPr>
                <w:sz w:val="20"/>
              </w:rPr>
              <w:t xml:space="preserve">n</w:t>
            </w:r>
          </w:p>
        </w:tc>
        <w:tc>
          <w:tcPr>
            <w:tcW w:type="dxa" w:w="4389"/>
          </w:tcPr>
          <w:p>
            <w:pPr>
              <w:pStyle w:val="Compact"/>
              <w:spacing w:line="240" w:lineRule="auto" w:after="20"/>
            </w:pPr>
            <w:r>
              <w:rPr>
                <w:sz w:val="20"/>
              </w:rPr>
              <w:t xml:space="preserve">95 % interval on the mean paired contribution</w:t>
            </w:r>
          </w:p>
        </w:tc>
      </w:tr>
      <w:tr>
        <w:trPr>
          <w:cantSplit/>
        </w:trPr>
        <w:tc>
          <w:tcPr>
            <w:tcW w:type="dxa" w:w="4291"/>
          </w:tcPr>
          <w:p>
            <w:pPr>
              <w:pStyle w:val="Compact"/>
              <w:spacing w:line="240" w:lineRule="auto" w:after="20"/>
            </w:pPr>
            <w:r>
              <w:rPr>
                <w:sz w:val="20"/>
              </w:rPr>
              <w:t xml:space="preserve">Directions, naive bootstrap</w:t>
            </w:r>
          </w:p>
        </w:tc>
        <w:tc>
          <w:tcPr>
            <w:tcW w:type="dxa" w:w="390"/>
          </w:tcPr>
          <w:p>
            <w:pPr>
              <w:pStyle w:val="Compact"/>
              <w:spacing w:line="240" w:lineRule="auto" w:after="20"/>
              <w:jc w:val="right"/>
            </w:pPr>
            <w:r>
              <w:rPr>
                <w:sz w:val="20"/>
              </w:rPr>
              <w:t xml:space="preserve">20</w:t>
            </w:r>
          </w:p>
        </w:tc>
        <w:tc>
          <w:tcPr>
            <w:tcW w:type="dxa" w:w="4389"/>
          </w:tcPr>
          <w:p>
            <w:pPr>
              <w:pStyle w:val="Compact"/>
              <w:spacing w:line="240" w:lineRule="auto" w:after="20"/>
            </w:pPr>
            <w:r>
              <w:rPr>
                <w:sz w:val="20"/>
              </w:rPr>
              <w:t xml:space="preserve">[−0.023, +0.037]</w:t>
            </w:r>
          </w:p>
        </w:tc>
      </w:tr>
      <w:tr>
        <w:trPr>
          <w:cantSplit/>
        </w:trPr>
        <w:tc>
          <w:tcPr>
            <w:tcW w:type="dxa" w:w="4291"/>
          </w:tcPr>
          <w:p>
            <w:pPr>
              <w:pStyle w:val="Compact"/>
              <w:spacing w:line="240" w:lineRule="auto" w:after="20"/>
            </w:pPr>
            <w:r>
              <w:rPr>
                <w:sz w:val="20"/>
              </w:rPr>
              <w:t xml:space="preserve">Unordered pairs, cluster bootstrap (primary)</w:t>
            </w:r>
          </w:p>
        </w:tc>
        <w:tc>
          <w:tcPr>
            <w:tcW w:type="dxa" w:w="390"/>
          </w:tcPr>
          <w:p>
            <w:pPr>
              <w:pStyle w:val="Compact"/>
              <w:spacing w:line="240" w:lineRule="auto" w:after="20"/>
              <w:jc w:val="right"/>
            </w:pPr>
            <w:r>
              <w:rPr>
                <w:sz w:val="20"/>
              </w:rPr>
              <w:t xml:space="preserve">10</w:t>
            </w:r>
          </w:p>
        </w:tc>
        <w:tc>
          <w:tcPr>
            <w:tcW w:type="dxa" w:w="4389"/>
          </w:tcPr>
          <w:p>
            <w:pPr>
              <w:pStyle w:val="Compact"/>
              <w:spacing w:line="240" w:lineRule="auto" w:after="20"/>
            </w:pPr>
            <w:r>
              <w:rPr>
                <w:sz w:val="20"/>
              </w:rPr>
              <w:t xml:space="preserve">[−0.020, +0.038]</w:t>
            </w:r>
          </w:p>
        </w:tc>
      </w:tr>
      <w:tr>
        <w:trPr>
          <w:cantSplit/>
        </w:trPr>
        <w:tc>
          <w:tcPr>
            <w:tcW w:type="dxa" w:w="4291"/>
          </w:tcPr>
          <w:p>
            <w:pPr>
              <w:pStyle w:val="Compact"/>
              <w:spacing w:line="240" w:lineRule="auto" w:after="20"/>
            </w:pPr>
            <w:r>
              <w:rPr>
                <w:sz w:val="20"/>
              </w:rPr>
              <w:t xml:space="preserve">Unordered pairs, Student</w:t>
            </w:r>
            <w:r>
              <w:rPr>
                <w:sz w:val="20"/>
              </w:rPr>
              <w:t xml:space="preserve"> </w:t>
            </w:r>
            <w:r>
              <w:rPr>
                <w:i/>
                <w:iCs/>
                <w:sz w:val="20"/>
              </w:rPr>
              <w:t xml:space="preserve">t</w:t>
            </w:r>
            <w:r>
              <w:rPr>
                <w:sz w:val="20"/>
              </w:rPr>
              <w:t xml:space="preserve"> </w:t>
            </w:r>
            <w:r>
              <w:rPr>
                <w:sz w:val="20"/>
              </w:rPr>
              <w:t xml:space="preserve">on pair means</w:t>
            </w:r>
          </w:p>
        </w:tc>
        <w:tc>
          <w:tcPr>
            <w:tcW w:type="dxa" w:w="390"/>
          </w:tcPr>
          <w:p>
            <w:pPr>
              <w:pStyle w:val="Compact"/>
              <w:spacing w:line="240" w:lineRule="auto" w:after="20"/>
              <w:jc w:val="right"/>
            </w:pPr>
            <w:r>
              <w:rPr>
                <w:sz w:val="20"/>
              </w:rPr>
              <w:t xml:space="preserve">10</w:t>
            </w:r>
          </w:p>
        </w:tc>
        <w:tc>
          <w:tcPr>
            <w:tcW w:type="dxa" w:w="4389"/>
          </w:tcPr>
          <w:p>
            <w:pPr>
              <w:pStyle w:val="Compact"/>
              <w:spacing w:line="240" w:lineRule="auto" w:after="20"/>
            </w:pPr>
            <w:r>
              <w:rPr>
                <w:sz w:val="20"/>
              </w:rPr>
              <w:t xml:space="preserve">[−0.028, +0.043]</w:t>
            </w:r>
          </w:p>
        </w:tc>
      </w:tr>
      <w:tr>
        <w:trPr>
          <w:cantSplit/>
        </w:trPr>
        <w:tc>
          <w:tcPr>
            <w:tcW w:type="dxa" w:w="4291"/>
          </w:tcPr>
          <w:p>
            <w:pPr>
              <w:pStyle w:val="Compact"/>
              <w:spacing w:line="240" w:lineRule="auto" w:after="20"/>
            </w:pPr>
            <w:r>
              <w:rPr>
                <w:sz w:val="20"/>
              </w:rPr>
              <w:t xml:space="preserve">Regions, leave-one-out jackknife</w:t>
            </w:r>
          </w:p>
        </w:tc>
        <w:tc>
          <w:tcPr>
            <w:tcW w:type="dxa" w:w="390"/>
          </w:tcPr>
          <w:p>
            <w:pPr>
              <w:pStyle w:val="Compact"/>
              <w:spacing w:line="240" w:lineRule="auto" w:after="20"/>
              <w:jc w:val="right"/>
            </w:pPr>
            <w:r>
              <w:rPr>
                <w:sz w:val="20"/>
              </w:rPr>
              <w:t xml:space="preserve">5</w:t>
            </w:r>
          </w:p>
        </w:tc>
        <w:tc>
          <w:tcPr>
            <w:tcW w:type="dxa" w:w="4389"/>
          </w:tcPr>
          <w:p>
            <w:pPr>
              <w:pStyle w:val="Compact"/>
              <w:spacing w:line="240" w:lineRule="auto" w:after="20"/>
            </w:pPr>
            <w:r>
              <w:rPr>
                <w:sz w:val="20"/>
              </w:rPr>
              <w:t xml:space="preserve">[−0.018, +0.033]</w:t>
            </w:r>
          </w:p>
        </w:tc>
      </w:tr>
    </w:tbl>
    <w:p>
      <w:pPr>
        <w:pStyle w:val="BodyText"/>
      </w:pPr>
      <w:r>
        <w:t xml:space="preserve">Two further units can be computed on this frame (20,000 replicates;</w:t>
      </w:r>
      <w:r>
        <w:t xml:space="preserve"> </w:t>
      </w:r>
      <w:r>
        <w:rPr>
          <w:rStyle w:val="VerbatimChar"/>
        </w:rPr>
        <w:t xml:space="preserve">paper/labelfix_rerun/round8/r8d_summary.json</w:t>
      </w:r>
      <w:r>
        <w:t xml:space="preserve">):</w:t>
      </w:r>
      <w:r>
        <w:t xml:space="preserve"> </w:t>
      </w:r>
      <w:r>
        <w:t xml:space="preserve">clustering by target region gives [−0.006, +0.022], clustering by source region [−0.008, +0.026] and the</w:t>
      </w:r>
      <w:r>
        <w:t xml:space="preserve"> </w:t>
      </w:r>
      <w:r>
        <w:t xml:space="preserve">pigeonhole bootstrap [−0.028, +0.045]. All six computable units therefore include zero.</w:t>
      </w:r>
    </w:p>
    <w:p>
      <w:pPr>
        <w:pStyle w:val="BodyText"/>
      </w:pPr>
      <w:r>
        <w:t xml:space="preserve">Leaving out Manavgat, Bejís, Muğla, Evia and Montiferru in turn gives +0.0148, +0.0050, +0.0072,</w:t>
      </w:r>
      <w:r>
        <w:t xml:space="preserve"> </w:t>
      </w:r>
      <w:r>
        <w:t xml:space="preserve">+0.0010 and +0.0087. No single region therefore carries the mean or changes its sign. These units</w:t>
      </w:r>
      <w:r>
        <w:t xml:space="preserve"> </w:t>
      </w:r>
      <w:r>
        <w:t xml:space="preserve">resample only between directions. They do not include the sampling variability within a direction.</w:t>
      </w:r>
    </w:p>
    <w:bookmarkEnd w:id="37"/>
    <w:bookmarkStart w:id="38" w:name="s1.16-the-contrast-pair-in-full"/>
    <w:p>
      <w:pPr>
        <w:pStyle w:val="Heading2"/>
      </w:pPr>
      <w:r>
        <w:t xml:space="preserve">S1.16 The contrast pair, in full</w:t>
      </w:r>
    </w:p>
    <w:p>
      <w:pPr>
        <w:pStyle w:val="FirstParagraph"/>
      </w:pPr>
      <w:r>
        <w:t xml:space="preserve">Manavgat and Muğla are in the same country, burned in the same year, and are 306 km apart. Their</w:t>
      </w:r>
      <w:r>
        <w:t xml:space="preserve"> </w:t>
      </w:r>
      <w:r>
        <w:t xml:space="preserve">burned cells have the most similar environmental range of any pair in the matrix. Bejís and</w:t>
      </w:r>
      <w:r>
        <w:t xml:space="preserve"> </w:t>
      </w:r>
      <w:r>
        <w:t xml:space="preserve">Montiferru have the least similar range (Fig. 8). Values for both pairs, on both frames, are in Table</w:t>
      </w:r>
      <w:r>
        <w:t xml:space="preserve"> </w:t>
      </w:r>
      <w:r>
        <w:t xml:space="preserve">S18.</w:t>
      </w:r>
    </w:p>
    <w:p>
      <w:pPr>
        <w:pStyle w:val="BodyText"/>
      </w:pPr>
      <w:r>
        <w:t xml:space="preserve">For Manavgat and Muğla on the original study areas, seven of nine feature-response directions point</w:t>
      </w:r>
      <w:r>
        <w:t xml:space="preserve"> </w:t>
      </w:r>
      <w:r>
        <w:t xml:space="preserve">opposite ways, and all six features supported in both regions have opposite signs, including</w:t>
      </w:r>
      <w:r>
        <w:t xml:space="preserve"> </w:t>
      </w:r>
      <w:r>
        <w:t xml:space="preserve">elevation. On the collar the elevation reversal remains, at 0.376 [0.300, 0.465] in Manavgat against</w:t>
      </w:r>
      <w:r>
        <w:t xml:space="preserve"> </w:t>
      </w:r>
      <w:r>
        <w:t xml:space="preserve">0.606 [0.525, 0.685] in Muğla. Transfer is below chance in both directions on both frames: 0.438 and</w:t>
      </w:r>
      <w:r>
        <w:t xml:space="preserve"> </w:t>
      </w:r>
      <w:r>
        <w:t xml:space="preserve">0.345 as drawn, 0.493 and 0.433 under the collar. On the collar, the interval of Muğla to Manavgat,</w:t>
      </w:r>
      <w:r>
        <w:t xml:space="preserve"> </w:t>
      </w:r>
      <w:r>
        <w:t xml:space="preserve">[0.381, 0.491], excludes chance. The most similar pair is among the weakest in the matrix, but it is</w:t>
      </w:r>
      <w:r>
        <w:t xml:space="preserve"> </w:t>
      </w:r>
      <w:r>
        <w:t xml:space="preserve">not the weakest. On the collar, the weakest direction is Manavgat to Bejís at 0.407 and the strongest</w:t>
      </w:r>
      <w:r>
        <w:t xml:space="preserve"> </w:t>
      </w:r>
      <w:r>
        <w:t xml:space="preserve">is Muğla to Evia at 0.728. The niche-overlap and applicability measures of Table S18 are computed on</w:t>
      </w:r>
      <w:r>
        <w:t xml:space="preserve"> </w:t>
      </w:r>
      <w:r>
        <w:t xml:space="preserve">the original study areas.</w:t>
      </w:r>
    </w:p>
    <w:p>
      <w:pPr>
        <w:pStyle w:val="BodyText"/>
      </w:pPr>
      <w:r>
        <w:t xml:space="preserve">Bejís and Montiferru are at the other extreme. Their burned ranges hardly overlap, and they have the</w:t>
      </w:r>
      <w:r>
        <w:t xml:space="preserve"> </w:t>
      </w:r>
      <w:r>
        <w:t xml:space="preserve">most different values on every overlap measure. They transfer above chance in both directions, but</w:t>
      </w:r>
      <w:r>
        <w:t xml:space="preserve"> </w:t>
      </w:r>
      <w:r>
        <w:t xml:space="preserve">only at the point estimate: neither direction has interval support at 5 km blocking. The</w:t>
      </w:r>
      <w:r>
        <w:t xml:space="preserve"> </w:t>
      </w:r>
      <w:r>
        <w:t xml:space="preserve">applicability measure was not produced for Montiferru.</w:t>
      </w:r>
      <w:r>
        <w:t xml:space="preserve"> </w:t>
      </w:r>
      <w:r>
        <w:rPr>
          <w:b/>
          <w:bCs/>
        </w:rPr>
        <w:t xml:space="preserve">At the point estimates, high niche overlap</w:t>
      </w:r>
      <w:r>
        <w:rPr>
          <w:b/>
          <w:bCs/>
        </w:rPr>
        <w:t xml:space="preserve"> </w:t>
      </w:r>
      <w:r>
        <w:rPr>
          <w:b/>
          <w:bCs/>
        </w:rPr>
        <w:t xml:space="preserve">did not ensure transfer, and low overlap did not prevent it.</w:t>
      </w:r>
      <w:r>
        <w:t xml:space="preserve"> </w:t>
      </w:r>
      <w:r>
        <w:t xml:space="preserve">This rests on two pairs. It is not a</w:t>
      </w:r>
      <w:r>
        <w:t xml:space="preserve"> </w:t>
      </w:r>
      <w:r>
        <w:t xml:space="preserve">correlation across pairs; that is tested in Section S1.21.</w:t>
      </w:r>
    </w:p>
    <w:bookmarkEnd w:id="38"/>
    <w:bookmarkStart w:id="39" w:name="s1.17-the-sensitivity-arms-summarised"/>
    <w:p>
      <w:pPr>
        <w:pStyle w:val="Heading2"/>
      </w:pPr>
      <w:r>
        <w:t xml:space="preserve">S1.17 The sensitivity arms, summarised</w:t>
      </w:r>
    </w:p>
    <w:p>
      <w:pPr>
        <w:pStyle w:val="FirstParagraph"/>
      </w:pPr>
      <w:r>
        <w:t xml:space="preserve">Eight design choices were changed, one at a time, with everything else kept fixed: the Evia study</w:t>
      </w:r>
      <w:r>
        <w:t xml:space="preserve"> </w:t>
      </w:r>
      <w:r>
        <w:t xml:space="preserve">area and its prevalence, the CORAL regularisation, the block size, the closing date of the predictor</w:t>
      </w:r>
      <w:r>
        <w:t xml:space="preserve"> </w:t>
      </w:r>
      <w:r>
        <w:t xml:space="preserve">window, the quality screening of the coarse thermal input, normalised against absolute dryness</w:t>
      </w:r>
      <w:r>
        <w:t xml:space="preserve"> </w:t>
      </w:r>
      <w:r>
        <w:t xml:space="preserve">channels, the removal of the coordinate-informed channels, and the capacity of the classifier</w:t>
      </w:r>
      <w:r>
        <w:t xml:space="preserve"> </w:t>
      </w:r>
      <w:r>
        <w:t xml:space="preserve">(Sections S1.1 to S1.8). None changes a conclusion of the main text. Two of them affect how the</w:t>
      </w:r>
      <w:r>
        <w:t xml:space="preserve"> </w:t>
      </w:r>
      <w:r>
        <w:t xml:space="preserve">results should be read.</w:t>
      </w:r>
    </w:p>
    <w:p>
      <w:pPr>
        <w:pStyle w:val="BodyText"/>
      </w:pPr>
      <w:r>
        <w:rPr>
          <w:b/>
          <w:bCs/>
        </w:rPr>
        <w:t xml:space="preserve">The secondary population.</w:t>
      </w:r>
      <w:r>
        <w:t xml:space="preserve"> </w:t>
      </w:r>
      <w:r>
        <w:t xml:space="preserve">Section 3.5 defines a secondary population of all valid cells,</w:t>
      </w:r>
      <w:r>
        <w:t xml:space="preserve"> </w:t>
      </w:r>
      <w:r>
        <w:t xml:space="preserve">including cropland. It exists only for the within-region models in Manavgat and Bejís, so it is a</w:t>
      </w:r>
      <w:r>
        <w:t xml:space="preserve"> </w:t>
      </w:r>
      <w:r>
        <w:t xml:space="preserve">two-region sensitivity analysis, and no transfer quantity is defined on it. Across the two regions</w:t>
      </w:r>
      <w:r>
        <w:t xml:space="preserve"> </w:t>
      </w:r>
      <w:r>
        <w:t xml:space="preserve">and three block sizes, the thermal gain is +0.048 to +0.061, with every bootstrap interval above zero,</w:t>
      </w:r>
      <w:r>
        <w:t xml:space="preserve"> </w:t>
      </w:r>
      <w:r>
        <w:t xml:space="preserve">against +0.045 to +0.067 in the primary population. The paired difference between the populations is</w:t>
      </w:r>
      <w:r>
        <w:t xml:space="preserve"> </w:t>
      </w:r>
      <w:r>
        <w:t xml:space="preserve">−0.011 to +0.011, with no consistent sign</w:t>
      </w:r>
      <w:r>
        <w:t xml:space="preserve"> </w:t>
      </w:r>
      <w:r>
        <w:t xml:space="preserve">(</w:t>
      </w:r>
      <w:r>
        <w:rPr>
          <w:rStyle w:val="VerbatimChar"/>
        </w:rPr>
        <w:t xml:space="preserve">paper/labelfix_rerun/pipeline/robustness/step8_large_block_primary_all_valid/</w:t>
      </w:r>
      <w:r>
        <w:t xml:space="preserve">; Table 1). The gain</w:t>
      </w:r>
      <w:r>
        <w:t xml:space="preserve"> </w:t>
      </w:r>
      <w:r>
        <w:t xml:space="preserve">is therefore not caused by excluding cropland. This analysis says nothing about transfer.</w:t>
      </w:r>
    </w:p>
    <w:bookmarkEnd w:id="39"/>
    <w:bookmarkStart w:id="40" w:name="s1.18-distance-within-a-region"/>
    <w:p>
      <w:pPr>
        <w:pStyle w:val="Heading2"/>
      </w:pPr>
      <w:r>
        <w:t xml:space="preserve">S1.18 Distance within a region</w:t>
      </w:r>
    </w:p>
    <w:p>
      <w:pPr>
        <w:pStyle w:val="FirstParagraph"/>
      </w:pPr>
      <w:r>
        <w:t xml:space="preserve">This analysis measures how skill falls with distance inside one region. A model is fitted on one</w:t>
      </w:r>
      <w:r>
        <w:t xml:space="preserve"> </w:t>
      </w:r>
      <w:r>
        <w:t xml:space="preserve">half of a region and applied to the other half. Target cells are grouped by their distance from the</w:t>
      </w:r>
      <w:r>
        <w:t xml:space="preserve"> </w:t>
      </w:r>
      <w:r>
        <w:t xml:space="preserve">training cells (</w:t>
      </w:r>
      <w:r>
        <w:rPr>
          <w:rStyle w:val="VerbatimChar"/>
        </w:rPr>
        <w:t xml:space="preserve">paper/code/distance_curve.py</w:t>
      </w:r>
      <w:r>
        <w:t xml:space="preserve">; corrected output</w:t>
      </w:r>
      <w:r>
        <w:t xml:space="preserve"> </w:t>
      </w:r>
      <w:r>
        <w:rPr>
          <w:rStyle w:val="VerbatimChar"/>
        </w:rPr>
        <w:t xml:space="preserve">paper/labelfix_rerun/round3/distance_curve.json</w:t>
      </w:r>
      <w:r>
        <w:t xml:space="preserve">, summarised in</w:t>
      </w:r>
      <w:r>
        <w:t xml:space="preserve"> </w:t>
      </w:r>
      <w:r>
        <w:rPr>
          <w:rStyle w:val="VerbatimChar"/>
        </w:rPr>
        <w:t xml:space="preserve">paper/labelfix_rerun/round7/r7h_distance_curve.csv</w:t>
      </w:r>
      <w:r>
        <w:t xml:space="preserve">). Means are unweighted over bins. The bins</w:t>
      </w:r>
      <w:r>
        <w:t xml:space="preserve"> </w:t>
      </w:r>
      <w:r>
        <w:t xml:space="preserve">contain 1 to 1,067 burned cells and have no intervals.</w:t>
      </w:r>
    </w:p>
    <w:p>
      <w:pPr>
        <w:pStyle w:val="BodyText"/>
        <w:keepNext/>
      </w:pPr>
      <w:r>
        <w:rPr>
          <w:b/>
          <w:bCs/>
        </w:rPr>
        <w:t xml:space="preserve">Table S32. Within-region skill by separation from the training cells.</w:t>
      </w:r>
    </w:p>
    <w:tbl>
      <w:tblPr>
        <w:tblStyle w:val="Table"/>
        <w:tblW w:type="auto" w:w="0"/>
        <w:tblLook w:firstRow="1" w:lastRow="0" w:firstColumn="0" w:lastColumn="0" w:noHBand="0" w:noVBand="0" w:val="0020"/>
      </w:tblPr>
      <w:tblGrid>
        <w:gridCol w:w="5553"/>
        <w:gridCol w:w="740"/>
        <w:gridCol w:w="2777"/>
      </w:tblGrid>
      <w:tr>
        <w:trPr>
          <w:tblHeader w:val="on"/>
          <w:cantSplit/>
        </w:trPr>
        <w:tc>
          <w:tcPr>
            <w:tcW w:type="dxa" w:w="5553"/>
          </w:tcPr>
          <w:p>
            <w:pPr>
              <w:pStyle w:val="Compact"/>
              <w:spacing w:line="240" w:lineRule="auto" w:after="20"/>
            </w:pPr>
            <w:r>
              <w:rPr>
                <w:sz w:val="20"/>
              </w:rPr>
              <w:t xml:space="preserve">Separation from training cells</w:t>
            </w:r>
          </w:p>
        </w:tc>
        <w:tc>
          <w:tcPr>
            <w:tcW w:type="dxa" w:w="740"/>
          </w:tcPr>
          <w:p>
            <w:pPr>
              <w:pStyle w:val="Compact"/>
              <w:spacing w:line="240" w:lineRule="auto" w:after="20"/>
              <w:jc w:val="right"/>
            </w:pPr>
            <w:r>
              <w:rPr>
                <w:sz w:val="20"/>
              </w:rPr>
              <w:t xml:space="preserve">Bins</w:t>
            </w:r>
          </w:p>
        </w:tc>
        <w:tc>
          <w:tcPr>
            <w:tcW w:type="dxa" w:w="2777"/>
          </w:tcPr>
          <w:p>
            <w:pPr>
              <w:pStyle w:val="Compact"/>
              <w:spacing w:line="240" w:lineRule="auto" w:after="20"/>
              <w:jc w:val="right"/>
            </w:pPr>
            <w:r>
              <w:rPr>
                <w:sz w:val="20"/>
              </w:rPr>
              <w:t xml:space="preserve">Mean target AUC</w:t>
            </w:r>
          </w:p>
        </w:tc>
      </w:tr>
      <w:tr>
        <w:trPr>
          <w:cantSplit/>
        </w:trPr>
        <w:tc>
          <w:tcPr>
            <w:tcW w:type="dxa" w:w="5553"/>
          </w:tcPr>
          <w:p>
            <w:pPr>
              <w:pStyle w:val="Compact"/>
              <w:spacing w:line="240" w:lineRule="auto" w:after="20"/>
            </w:pPr>
            <w:r>
              <w:rPr>
                <w:sz w:val="20"/>
              </w:rPr>
              <w:t xml:space="preserve">0 to 5 km</w:t>
            </w:r>
          </w:p>
        </w:tc>
        <w:tc>
          <w:tcPr>
            <w:tcW w:type="dxa" w:w="740"/>
          </w:tcPr>
          <w:p>
            <w:pPr>
              <w:pStyle w:val="Compact"/>
              <w:spacing w:line="240" w:lineRule="auto" w:after="20"/>
              <w:jc w:val="right"/>
            </w:pPr>
            <w:r>
              <w:rPr>
                <w:sz w:val="20"/>
              </w:rPr>
              <w:t xml:space="preserve">18</w:t>
            </w:r>
          </w:p>
        </w:tc>
        <w:tc>
          <w:tcPr>
            <w:tcW w:type="dxa" w:w="2777"/>
          </w:tcPr>
          <w:p>
            <w:pPr>
              <w:pStyle w:val="Compact"/>
              <w:spacing w:line="240" w:lineRule="auto" w:after="20"/>
              <w:jc w:val="right"/>
            </w:pPr>
            <w:r>
              <w:rPr>
                <w:sz w:val="20"/>
              </w:rPr>
              <w:t xml:space="preserve">0.709</w:t>
            </w:r>
          </w:p>
        </w:tc>
      </w:tr>
      <w:tr>
        <w:trPr>
          <w:cantSplit/>
        </w:trPr>
        <w:tc>
          <w:tcPr>
            <w:tcW w:type="dxa" w:w="5553"/>
          </w:tcPr>
          <w:p>
            <w:pPr>
              <w:pStyle w:val="Compact"/>
              <w:spacing w:line="240" w:lineRule="auto" w:after="20"/>
            </w:pPr>
            <w:r>
              <w:rPr>
                <w:sz w:val="20"/>
              </w:rPr>
              <w:t xml:space="preserve">5 to 10 km</w:t>
            </w:r>
          </w:p>
        </w:tc>
        <w:tc>
          <w:tcPr>
            <w:tcW w:type="dxa" w:w="740"/>
          </w:tcPr>
          <w:p>
            <w:pPr>
              <w:pStyle w:val="Compact"/>
              <w:spacing w:line="240" w:lineRule="auto" w:after="20"/>
              <w:jc w:val="right"/>
            </w:pPr>
            <w:r>
              <w:rPr>
                <w:sz w:val="20"/>
              </w:rPr>
              <w:t xml:space="preserve">16</w:t>
            </w:r>
          </w:p>
        </w:tc>
        <w:tc>
          <w:tcPr>
            <w:tcW w:type="dxa" w:w="2777"/>
          </w:tcPr>
          <w:p>
            <w:pPr>
              <w:pStyle w:val="Compact"/>
              <w:spacing w:line="240" w:lineRule="auto" w:after="20"/>
              <w:jc w:val="right"/>
            </w:pPr>
            <w:r>
              <w:rPr>
                <w:sz w:val="20"/>
              </w:rPr>
              <w:t xml:space="preserve">0.570</w:t>
            </w:r>
          </w:p>
        </w:tc>
      </w:tr>
      <w:tr>
        <w:trPr>
          <w:cantSplit/>
        </w:trPr>
        <w:tc>
          <w:tcPr>
            <w:tcW w:type="dxa" w:w="5553"/>
          </w:tcPr>
          <w:p>
            <w:pPr>
              <w:pStyle w:val="Compact"/>
              <w:spacing w:line="240" w:lineRule="auto" w:after="20"/>
            </w:pPr>
            <w:r>
              <w:rPr>
                <w:sz w:val="20"/>
              </w:rPr>
              <w:t xml:space="preserve">10 to 20 km</w:t>
            </w:r>
          </w:p>
        </w:tc>
        <w:tc>
          <w:tcPr>
            <w:tcW w:type="dxa" w:w="740"/>
          </w:tcPr>
          <w:p>
            <w:pPr>
              <w:pStyle w:val="Compact"/>
              <w:spacing w:line="240" w:lineRule="auto" w:after="20"/>
              <w:jc w:val="right"/>
            </w:pPr>
            <w:r>
              <w:rPr>
                <w:sz w:val="20"/>
              </w:rPr>
              <w:t xml:space="preserve">11</w:t>
            </w:r>
          </w:p>
        </w:tc>
        <w:tc>
          <w:tcPr>
            <w:tcW w:type="dxa" w:w="2777"/>
          </w:tcPr>
          <w:p>
            <w:pPr>
              <w:pStyle w:val="Compact"/>
              <w:spacing w:line="240" w:lineRule="auto" w:after="20"/>
              <w:jc w:val="right"/>
            </w:pPr>
            <w:r>
              <w:rPr>
                <w:sz w:val="20"/>
              </w:rPr>
              <w:t xml:space="preserve">0.519</w:t>
            </w:r>
          </w:p>
        </w:tc>
      </w:tr>
      <w:tr>
        <w:trPr>
          <w:cantSplit/>
        </w:trPr>
        <w:tc>
          <w:tcPr>
            <w:tcW w:type="dxa" w:w="5553"/>
          </w:tcPr>
          <w:p>
            <w:pPr>
              <w:pStyle w:val="Compact"/>
              <w:spacing w:line="240" w:lineRule="auto" w:after="20"/>
            </w:pPr>
            <w:r>
              <w:rPr>
                <w:sz w:val="20"/>
              </w:rPr>
              <w:t xml:space="preserve">20 to 40 km</w:t>
            </w:r>
          </w:p>
        </w:tc>
        <w:tc>
          <w:tcPr>
            <w:tcW w:type="dxa" w:w="740"/>
          </w:tcPr>
          <w:p>
            <w:pPr>
              <w:pStyle w:val="Compact"/>
              <w:spacing w:line="240" w:lineRule="auto" w:after="20"/>
              <w:jc w:val="right"/>
            </w:pPr>
            <w:r>
              <w:rPr>
                <w:sz w:val="20"/>
              </w:rPr>
              <w:t xml:space="preserve">6</w:t>
            </w:r>
          </w:p>
        </w:tc>
        <w:tc>
          <w:tcPr>
            <w:tcW w:type="dxa" w:w="2777"/>
          </w:tcPr>
          <w:p>
            <w:pPr>
              <w:pStyle w:val="Compact"/>
              <w:spacing w:line="240" w:lineRule="auto" w:after="20"/>
              <w:jc w:val="right"/>
            </w:pPr>
            <w:r>
              <w:rPr>
                <w:sz w:val="20"/>
              </w:rPr>
              <w:t xml:space="preserve">0.499</w:t>
            </w:r>
          </w:p>
        </w:tc>
      </w:tr>
      <w:tr>
        <w:trPr>
          <w:cantSplit/>
        </w:trPr>
        <w:tc>
          <w:tcPr>
            <w:tcW w:type="dxa" w:w="5553"/>
          </w:tcPr>
          <w:p>
            <w:pPr>
              <w:pStyle w:val="Compact"/>
              <w:spacing w:line="240" w:lineRule="auto" w:after="20"/>
            </w:pPr>
            <w:r>
              <w:rPr>
                <w:sz w:val="20"/>
              </w:rPr>
              <w:t xml:space="preserve">40 to 80 km</w:t>
            </w:r>
          </w:p>
        </w:tc>
        <w:tc>
          <w:tcPr>
            <w:tcW w:type="dxa" w:w="740"/>
          </w:tcPr>
          <w:p>
            <w:pPr>
              <w:pStyle w:val="Compact"/>
              <w:spacing w:line="240" w:lineRule="auto" w:after="20"/>
              <w:jc w:val="right"/>
            </w:pPr>
            <w:r>
              <w:rPr>
                <w:sz w:val="20"/>
              </w:rPr>
              <w:t xml:space="preserve">3</w:t>
            </w:r>
          </w:p>
        </w:tc>
        <w:tc>
          <w:tcPr>
            <w:tcW w:type="dxa" w:w="2777"/>
          </w:tcPr>
          <w:p>
            <w:pPr>
              <w:pStyle w:val="Compact"/>
              <w:spacing w:line="240" w:lineRule="auto" w:after="20"/>
              <w:jc w:val="right"/>
            </w:pPr>
            <w:r>
              <w:rPr>
                <w:sz w:val="20"/>
              </w:rPr>
              <w:t xml:space="preserve">0.541</w:t>
            </w:r>
          </w:p>
        </w:tc>
      </w:tr>
      <w:tr>
        <w:trPr>
          <w:cantSplit/>
        </w:trPr>
        <w:tc>
          <w:tcPr>
            <w:tcW w:type="dxa" w:w="5553"/>
          </w:tcPr>
          <w:p>
            <w:pPr>
              <w:pStyle w:val="Compact"/>
              <w:spacing w:line="240" w:lineRule="auto" w:after="20"/>
            </w:pPr>
            <w:r>
              <w:rPr>
                <w:sz w:val="20"/>
              </w:rPr>
              <w:t xml:space="preserve">80 to 160 km</w:t>
            </w:r>
          </w:p>
        </w:tc>
        <w:tc>
          <w:tcPr>
            <w:tcW w:type="dxa" w:w="740"/>
          </w:tcPr>
          <w:p>
            <w:pPr>
              <w:pStyle w:val="Compact"/>
              <w:spacing w:line="240" w:lineRule="auto" w:after="20"/>
              <w:jc w:val="right"/>
            </w:pPr>
            <w:r>
              <w:rPr>
                <w:sz w:val="20"/>
              </w:rPr>
              <w:t xml:space="preserve">1</w:t>
            </w:r>
          </w:p>
        </w:tc>
        <w:tc>
          <w:tcPr>
            <w:tcW w:type="dxa" w:w="2777"/>
          </w:tcPr>
          <w:p>
            <w:pPr>
              <w:pStyle w:val="Compact"/>
              <w:spacing w:line="240" w:lineRule="auto" w:after="20"/>
              <w:jc w:val="right"/>
            </w:pPr>
            <w:r>
              <w:rPr>
                <w:sz w:val="20"/>
              </w:rPr>
              <w:t xml:space="preserve">0.421</w:t>
            </w:r>
          </w:p>
        </w:tc>
      </w:tr>
      <w:tr>
        <w:trPr>
          <w:cantSplit/>
        </w:trPr>
        <w:tc>
          <w:tcPr>
            <w:tcW w:type="dxa" w:w="5553"/>
          </w:tcPr>
          <w:p>
            <w:pPr>
              <w:pStyle w:val="Compact"/>
              <w:spacing w:line="240" w:lineRule="auto" w:after="20"/>
            </w:pPr>
            <w:r>
              <w:rPr>
                <w:sz w:val="20"/>
              </w:rPr>
              <w:t xml:space="preserve">cross-region, 306 to 2,802 km</w:t>
            </w:r>
          </w:p>
        </w:tc>
        <w:tc>
          <w:tcPr>
            <w:tcW w:type="dxa" w:w="740"/>
          </w:tcPr>
          <w:p>
            <w:pPr>
              <w:pStyle w:val="Compact"/>
              <w:spacing w:line="240" w:lineRule="auto" w:after="20"/>
              <w:jc w:val="right"/>
            </w:pPr>
            <w:r>
              <w:rPr>
                <w:sz w:val="20"/>
              </w:rPr>
              <w:t xml:space="preserve">20</w:t>
            </w:r>
          </w:p>
        </w:tc>
        <w:tc>
          <w:tcPr>
            <w:tcW w:type="dxa" w:w="2777"/>
          </w:tcPr>
          <w:p>
            <w:pPr>
              <w:pStyle w:val="Compact"/>
              <w:spacing w:line="240" w:lineRule="auto" w:after="20"/>
              <w:jc w:val="right"/>
            </w:pPr>
            <w:r>
              <w:rPr>
                <w:sz w:val="20"/>
              </w:rPr>
              <w:t xml:space="preserve">0.527</w:t>
            </w:r>
          </w:p>
        </w:tc>
      </w:tr>
    </w:tbl>
    <w:p>
      <w:pPr>
        <w:pStyle w:val="BodyText"/>
      </w:pPr>
      <w:r>
        <w:rPr>
          <w:b/>
          <w:bCs/>
        </w:rPr>
        <w:t xml:space="preserve">At 10 to 20 km inside one region, the model is close to chance.</w:t>
      </w:r>
      <w:r>
        <w:t xml:space="preserve"> </w:t>
      </w:r>
      <w:r>
        <w:t xml:space="preserve">This limits how far such a</w:t>
      </w:r>
      <w:r>
        <w:t xml:space="preserve"> </w:t>
      </w:r>
      <w:r>
        <w:t xml:space="preserve">model can be used from its training cells. It agrees with Section 4.3, where withholding a scar or</w:t>
      </w:r>
      <w:r>
        <w:t xml:space="preserve"> </w:t>
      </w:r>
      <w:r>
        <w:t xml:space="preserve">using a foreign model had no measurable cost.</w:t>
      </w:r>
    </w:p>
    <w:p>
      <w:pPr>
        <w:pStyle w:val="BodyText"/>
      </w:pPr>
      <w:r>
        <w:t xml:space="preserve">This does not show that the cross-region failure is only an effect of distance. Once the curve</w:t>
      </w:r>
      <w:r>
        <w:t xml:space="preserve"> </w:t>
      </w:r>
      <w:r>
        <w:t xml:space="preserve">reaches chance, any cross-region mean near 0.5 must lie on its continuation, so this comparison</w:t>
      </w:r>
      <w:r>
        <w:t xml:space="preserve"> </w:t>
      </w:r>
      <w:r>
        <w:t xml:space="preserve">cannot test it. Also, a model that carries no information does not give a reliably reversed ranking,</w:t>
      </w:r>
      <w:r>
        <w:t xml:space="preserve"> </w:t>
      </w:r>
      <w:r>
        <w:t xml:space="preserve">but Manavgat to Bejís is below chance with interval support both on the original study area and on</w:t>
      </w:r>
      <w:r>
        <w:t xml:space="preserve"> </w:t>
      </w:r>
      <w:r>
        <w:t xml:space="preserve">the 10 km collar.</w:t>
      </w:r>
    </w:p>
    <w:p>
      <w:pPr>
        <w:pStyle w:val="BodyText"/>
      </w:pPr>
      <w:r>
        <w:t xml:space="preserve">Four limits apply. First, the two distance ranges do not overlap: within-region distances are 2 to</w:t>
      </w:r>
      <w:r>
        <w:t xml:space="preserve"> </w:t>
      </w:r>
      <w:r>
        <w:t xml:space="preserve">86 km, and cross-region distances start at 306 km. Second, the far bins contain few cells, so their</w:t>
      </w:r>
      <w:r>
        <w:t xml:space="preserve"> </w:t>
      </w:r>
      <w:r>
        <w:t xml:space="preserve">means should not be read closely; the rise at 40 to 80 km is not evidence of an effect. Third, the</w:t>
      </w:r>
      <w:r>
        <w:t xml:space="preserve"> </w:t>
      </w:r>
      <w:r>
        <w:t xml:space="preserve">near bins include the spatial autocorrelation that blocked validation is designed to remove, so</w:t>
      </w:r>
      <w:r>
        <w:t xml:space="preserve"> </w:t>
      </w:r>
      <w:r>
        <w:rPr>
          <w:b/>
          <w:bCs/>
        </w:rPr>
        <w:t xml:space="preserve">0.709 is an upper bound on near-field skill, not an estimate of it</w:t>
      </w:r>
      <w:r>
        <w:t xml:space="preserve">. Fourth, the design separates</w:t>
      </w:r>
      <w:r>
        <w:t xml:space="preserve"> </w:t>
      </w:r>
      <w:r>
        <w:t xml:space="preserve">distance from crossing a study-area boundary, but not from the land cover, terrain and fire history</w:t>
      </w:r>
      <w:r>
        <w:t xml:space="preserve"> </w:t>
      </w:r>
      <w:r>
        <w:t xml:space="preserve">that change with distance. The analysis gives a length scale for the fall of skill within a region,</w:t>
      </w:r>
      <w:r>
        <w:t xml:space="preserve"> </w:t>
      </w:r>
      <w:r>
        <w:t xml:space="preserve">not a cause.</w:t>
      </w:r>
    </w:p>
    <w:bookmarkEnd w:id="40"/>
    <w:bookmarkStart w:id="41" w:name="s1.19-the-frame-test-elaborated"/>
    <w:p>
      <w:pPr>
        <w:pStyle w:val="Heading2"/>
      </w:pPr>
      <w:r>
        <w:t xml:space="preserve">S1.19 The frame test, elaborated</w:t>
      </w:r>
    </w:p>
    <w:p>
      <w:pPr>
        <w:pStyle w:val="FirstParagraph"/>
      </w:pPr>
      <w:r>
        <w:t xml:space="preserve">Section 4.4 gives these results. Sources:</w:t>
      </w:r>
      <w:r>
        <w:t xml:space="preserve"> </w:t>
      </w:r>
      <w:r>
        <w:rPr>
          <w:rStyle w:val="VerbatimChar"/>
        </w:rPr>
        <w:t xml:space="preserve">paper/labelfix_rerun/code/aoi_frame_auc.csv</w:t>
      </w:r>
      <w:r>
        <w:t xml:space="preserve"> </w:t>
      </w:r>
      <w:r>
        <w:t xml:space="preserve">(signed</w:t>
      </w:r>
      <w:r>
        <w:t xml:space="preserve"> </w:t>
      </w:r>
      <w:r>
        <w:t xml:space="preserve">associations by frame),</w:t>
      </w:r>
      <w:r>
        <w:t xml:space="preserve"> </w:t>
      </w:r>
      <w:r>
        <w:rPr>
          <w:rStyle w:val="VerbatimChar"/>
        </w:rPr>
        <w:t xml:space="preserve">paper/labelfix_rerun/code/collar_frame_bootstrap.csv</w:t>
      </w:r>
      <w:r>
        <w:t xml:space="preserve"> </w:t>
      </w:r>
      <w:r>
        <w:t xml:space="preserve">(their 10-cell</w:t>
      </w:r>
      <w:r>
        <w:t xml:space="preserve"> </w:t>
      </w:r>
      <w:r>
        <w:t xml:space="preserve">intervals),</w:t>
      </w:r>
      <w:r>
        <w:t xml:space="preserve"> </w:t>
      </w:r>
      <w:r>
        <w:rPr>
          <w:rStyle w:val="VerbatimChar"/>
        </w:rPr>
        <w:t xml:space="preserve">paper/labelfix_rerun/round5/collar/aoi_frame_transfer.csv</w:t>
      </w:r>
      <w:r>
        <w:t xml:space="preserve"> </w:t>
      </w:r>
      <w:r>
        <w:t xml:space="preserve">(the transfer matrix by</w:t>
      </w:r>
      <w:r>
        <w:t xml:space="preserve"> </w:t>
      </w:r>
      <w:r>
        <w:t xml:space="preserve">frame) and</w:t>
      </w:r>
      <w:r>
        <w:t xml:space="preserve"> </w:t>
      </w:r>
      <w:r>
        <w:rPr>
          <w:rStyle w:val="VerbatimChar"/>
        </w:rPr>
        <w:t xml:space="preserve">paper/labelfix_rerun/code/matched_frame_gap.csv</w:t>
      </w:r>
      <w:r>
        <w:t xml:space="preserve"> </w:t>
      </w:r>
      <w:r>
        <w:t xml:space="preserve">(the matched reference); code in</w:t>
      </w:r>
      <w:r>
        <w:t xml:space="preserve"> </w:t>
      </w:r>
      <w:r>
        <w:rPr>
          <w:rStyle w:val="VerbatimChar"/>
        </w:rPr>
        <w:t xml:space="preserve">paper/code/</w:t>
      </w:r>
      <w:r>
        <w:t xml:space="preserve">.</w:t>
      </w:r>
    </w:p>
    <w:p>
      <w:pPr>
        <w:pStyle w:val="BodyText"/>
      </w:pPr>
      <w:r>
        <w:rPr>
          <w:b/>
          <w:bCs/>
        </w:rPr>
        <w:t xml:space="preserve">Construction.</w:t>
      </w:r>
      <w:r>
        <w:t xml:space="preserve"> </w:t>
      </w:r>
      <w:r>
        <w:t xml:space="preserve">Every region is restricted to cells within 10 km of any burned cell. This removes</w:t>
      </w:r>
      <w:r>
        <w:t xml:space="preserve"> </w:t>
      </w:r>
      <w:r>
        <w:t xml:space="preserve">only distant unburned cells. Every burned cell is at distance zero and is kept at any radius, so</w:t>
      </w:r>
      <w:r>
        <w:t xml:space="preserve"> </w:t>
      </w:r>
      <w:r>
        <w:t xml:space="preserve">radii were compared to guard against a favourable choice. The interval criterion was evaluated at</w:t>
      </w:r>
      <w:r>
        <w:t xml:space="preserve"> </w:t>
      </w:r>
      <w:r>
        <w:t xml:space="preserve">the 10 km collar; the 5 and 10 km radii agree at the point estimate. The collar strongly reduces the</w:t>
      </w:r>
      <w:r>
        <w:t xml:space="preserve"> </w:t>
      </w:r>
      <w:r>
        <w:t xml:space="preserve">number of cells in two regions, so part of any loss of support is a loss of power. On average, 2.3</w:t>
      </w:r>
      <w:r>
        <w:t xml:space="preserve"> </w:t>
      </w:r>
      <w:r>
        <w:t xml:space="preserve">features per direction are supported in both regions on the original study areas, and 2.2 on the</w:t>
      </w:r>
      <w:r>
        <w:t xml:space="preserve"> </w:t>
      </w:r>
      <w:r>
        <w:t xml:space="preserve">collar.</w:t>
      </w:r>
    </w:p>
    <w:p>
      <w:pPr>
        <w:pStyle w:val="BodyText"/>
      </w:pPr>
      <w:r>
        <w:rPr>
          <w:b/>
          <w:bCs/>
        </w:rPr>
        <w:t xml:space="preserve">Multiplicity.</w:t>
      </w:r>
      <w:r>
        <w:t xml:space="preserve"> </w:t>
      </w:r>
      <w:r>
        <w:t xml:space="preserve">Each frame has a family of ninety feature-by-pair comparisons (nine features, ten</w:t>
      </w:r>
      <w:r>
        <w:t xml:space="preserve"> </w:t>
      </w:r>
      <w:r>
        <w:t xml:space="preserve">region pairs). Table S30 gives how many pass each criterion. The per-comparison criterion of Section</w:t>
      </w:r>
      <w:r>
        <w:t xml:space="preserve"> </w:t>
      </w:r>
      <w:r>
        <w:t xml:space="preserve">3.10 leaves two supported reversals on the collar, both on elevation and both involving Manavgat:</w:t>
      </w:r>
      <w:r>
        <w:t xml:space="preserve"> </w:t>
      </w:r>
      <w:r>
        <w:t xml:space="preserve">Manavgat against Muğla, which is also supported on the original areas, and Manavgat against Evia,</w:t>
      </w:r>
      <w:r>
        <w:t xml:space="preserve"> </w:t>
      </w:r>
      <w:r>
        <w:t xml:space="preserve">which is supported only on the collar. Manavgat against Bejís, supported on the original areas, misses</w:t>
      </w:r>
      <w:r>
        <w:t xml:space="preserve"> </w:t>
      </w:r>
      <w:r>
        <w:t xml:space="preserve">support on the collar by 0.004.</w:t>
      </w:r>
      <w:r>
        <w:t xml:space="preserve"> </w:t>
      </w:r>
      <w:r>
        <w:t xml:space="preserve">Neither survives the Holm intersection-union correction, which adjusts the tests of both regions</w:t>
      </w:r>
      <w:r>
        <w:t xml:space="preserve"> </w:t>
      </w:r>
      <w:r>
        <w:t xml:space="preserve">together (adjusted</w:t>
      </w:r>
      <w:r>
        <w:t xml:space="preserve"> </w:t>
      </w:r>
      <w:r>
        <w:rPr>
          <w:i/>
          <w:iCs/>
        </w:rPr>
        <w:t xml:space="preserve">p</w:t>
      </w:r>
      <w:r>
        <w:t xml:space="preserve"> </w:t>
      </w:r>
      <w:r>
        <w:t xml:space="preserve">= 0.33 for Manavgat against Evia and 0.79 for Manavgat against Muğla, normal</w:t>
      </w:r>
      <w:r>
        <w:t xml:space="preserve"> </w:t>
      </w:r>
      <w:r>
        <w:t xml:space="preserve">approximation).</w:t>
      </w:r>
    </w:p>
    <w:p>
      <w:pPr>
        <w:pStyle w:val="BodyText"/>
        <w:keepNext/>
      </w:pPr>
      <w:r>
        <w:rPr>
          <w:b/>
          <w:bCs/>
        </w:rPr>
        <w:t xml:space="preserve">Table S30. Reversal family, ninety feature-by-pair comparisons per frame.</w:t>
      </w:r>
      <w:r>
        <w:t xml:space="preserve"> </w:t>
      </w:r>
      <w:r>
        <w:t xml:space="preserve">Source</w:t>
      </w:r>
      <w:r>
        <w:t xml:space="preserve"> </w:t>
      </w:r>
      <w:r>
        <w:rPr>
          <w:rStyle w:val="VerbatimChar"/>
        </w:rPr>
        <w:t xml:space="preserve">paper/labelfix_rerun/inference/reversal_family_holm.csv</w:t>
      </w:r>
      <w:r>
        <w:t xml:space="preserve">,</w:t>
      </w:r>
      <w:r>
        <w:t xml:space="preserve"> </w:t>
      </w:r>
      <w:r>
        <w:rPr>
          <w:rStyle w:val="VerbatimChar"/>
        </w:rPr>
        <w:t xml:space="preserve">reversal_per_region.csv</w:t>
      </w:r>
      <w:r>
        <w:t xml:space="preserve">.</w:t>
      </w:r>
    </w:p>
    <w:tbl>
      <w:tblPr>
        <w:tblStyle w:val="Table"/>
        <w:tblW w:type="auto" w:w="0"/>
        <w:tblLook w:firstRow="1" w:lastRow="0" w:firstColumn="0" w:lastColumn="0" w:noHBand="0" w:noVBand="0" w:val="0020"/>
      </w:tblPr>
      <w:tblGrid>
        <w:gridCol w:w="7151"/>
        <w:gridCol w:w="872"/>
        <w:gridCol w:w="1047"/>
      </w:tblGrid>
      <w:tr>
        <w:trPr>
          <w:tblHeader w:val="on"/>
          <w:cantSplit/>
        </w:trPr>
        <w:tc>
          <w:tcPr>
            <w:tcW w:type="dxa" w:w="7151"/>
          </w:tcPr>
          <w:p>
            <w:pPr>
              <w:pStyle w:val="Compact"/>
              <w:spacing w:line="240" w:lineRule="auto" w:after="20"/>
            </w:pPr>
            <w:r>
              <w:rPr>
                <w:sz w:val="20"/>
              </w:rPr>
              <w:t xml:space="preserve">Criterion</w:t>
            </w:r>
          </w:p>
        </w:tc>
        <w:tc>
          <w:tcPr>
            <w:tcW w:type="dxa" w:w="872"/>
          </w:tcPr>
          <w:p>
            <w:pPr>
              <w:pStyle w:val="Compact"/>
              <w:spacing w:line="240" w:lineRule="auto" w:after="20"/>
              <w:jc w:val="right"/>
            </w:pPr>
            <w:r>
              <w:rPr>
                <w:sz w:val="20"/>
              </w:rPr>
              <w:t xml:space="preserve">Full frame</w:t>
            </w:r>
          </w:p>
        </w:tc>
        <w:tc>
          <w:tcPr>
            <w:tcW w:type="dxa" w:w="1047"/>
          </w:tcPr>
          <w:p>
            <w:pPr>
              <w:pStyle w:val="Compact"/>
              <w:spacing w:line="240" w:lineRule="auto" w:after="20"/>
              <w:jc w:val="right"/>
            </w:pPr>
            <w:r>
              <w:rPr>
                <w:sz w:val="20"/>
              </w:rPr>
              <w:t xml:space="preserve">10 km collar</w:t>
            </w:r>
          </w:p>
        </w:tc>
      </w:tr>
      <w:tr>
        <w:trPr>
          <w:cantSplit/>
        </w:trPr>
        <w:tc>
          <w:tcPr>
            <w:tcW w:type="dxa" w:w="7151"/>
          </w:tcPr>
          <w:p>
            <w:pPr>
              <w:pStyle w:val="Compact"/>
              <w:spacing w:line="240" w:lineRule="auto" w:after="20"/>
            </w:pPr>
            <w:r>
              <w:rPr>
                <w:sz w:val="20"/>
              </w:rPr>
              <w:t xml:space="preserve">Difference interval excludes zero</w:t>
            </w:r>
          </w:p>
        </w:tc>
        <w:tc>
          <w:tcPr>
            <w:tcW w:type="dxa" w:w="872"/>
          </w:tcPr>
          <w:p>
            <w:pPr>
              <w:pStyle w:val="Compact"/>
              <w:spacing w:line="240" w:lineRule="auto" w:after="20"/>
              <w:jc w:val="right"/>
            </w:pPr>
            <w:r>
              <w:rPr>
                <w:sz w:val="20"/>
              </w:rPr>
              <w:t xml:space="preserve">39</w:t>
            </w:r>
          </w:p>
        </w:tc>
        <w:tc>
          <w:tcPr>
            <w:tcW w:type="dxa" w:w="1047"/>
          </w:tcPr>
          <w:p>
            <w:pPr>
              <w:pStyle w:val="Compact"/>
              <w:spacing w:line="240" w:lineRule="auto" w:after="20"/>
              <w:jc w:val="right"/>
            </w:pPr>
            <w:r>
              <w:rPr>
                <w:sz w:val="20"/>
              </w:rPr>
              <w:t xml:space="preserve">27</w:t>
            </w:r>
          </w:p>
        </w:tc>
      </w:tr>
      <w:tr>
        <w:trPr>
          <w:cantSplit/>
        </w:trPr>
        <w:tc>
          <w:tcPr>
            <w:tcW w:type="dxa" w:w="7151"/>
          </w:tcPr>
          <w:p>
            <w:pPr>
              <w:pStyle w:val="Compact"/>
              <w:spacing w:line="240" w:lineRule="auto" w:after="20"/>
            </w:pPr>
            <w:r>
              <w:rPr>
                <w:sz w:val="20"/>
              </w:rPr>
              <w:t xml:space="preserve">… with opposite-sided point estimates</w:t>
            </w:r>
          </w:p>
        </w:tc>
        <w:tc>
          <w:tcPr>
            <w:tcW w:type="dxa" w:w="872"/>
          </w:tcPr>
          <w:p>
            <w:pPr>
              <w:pStyle w:val="Compact"/>
              <w:spacing w:line="240" w:lineRule="auto" w:after="20"/>
              <w:jc w:val="right"/>
            </w:pPr>
            <w:r>
              <w:rPr>
                <w:sz w:val="20"/>
              </w:rPr>
              <w:t xml:space="preserve">31</w:t>
            </w:r>
          </w:p>
        </w:tc>
        <w:tc>
          <w:tcPr>
            <w:tcW w:type="dxa" w:w="1047"/>
          </w:tcPr>
          <w:p>
            <w:pPr>
              <w:pStyle w:val="Compact"/>
              <w:spacing w:line="240" w:lineRule="auto" w:after="20"/>
              <w:jc w:val="right"/>
            </w:pPr>
            <w:r>
              <w:rPr>
                <w:sz w:val="20"/>
              </w:rPr>
              <w:t xml:space="preserve">21</w:t>
            </w:r>
          </w:p>
        </w:tc>
      </w:tr>
      <w:tr>
        <w:trPr>
          <w:cantSplit/>
        </w:trPr>
        <w:tc>
          <w:tcPr>
            <w:tcW w:type="dxa" w:w="7151"/>
          </w:tcPr>
          <w:p>
            <w:pPr>
              <w:pStyle w:val="Compact"/>
              <w:spacing w:line="240" w:lineRule="auto" w:after="20"/>
            </w:pPr>
            <w:r>
              <w:rPr>
                <w:sz w:val="20"/>
              </w:rPr>
              <w:t xml:space="preserve">Per-comparison criterion (each region’s own interval excludes 0.5, opposite sides)</w:t>
            </w:r>
          </w:p>
        </w:tc>
        <w:tc>
          <w:tcPr>
            <w:tcW w:type="dxa" w:w="872"/>
          </w:tcPr>
          <w:p>
            <w:pPr>
              <w:pStyle w:val="Compact"/>
              <w:spacing w:line="240" w:lineRule="auto" w:after="20"/>
              <w:jc w:val="right"/>
            </w:pPr>
            <w:r>
              <w:rPr>
                <w:sz w:val="20"/>
              </w:rPr>
              <w:t xml:space="preserve">14</w:t>
            </w:r>
          </w:p>
        </w:tc>
        <w:tc>
          <w:tcPr>
            <w:tcW w:type="dxa" w:w="1047"/>
          </w:tcPr>
          <w:p>
            <w:pPr>
              <w:pStyle w:val="Compact"/>
              <w:spacing w:line="240" w:lineRule="auto" w:after="20"/>
              <w:jc w:val="right"/>
            </w:pPr>
            <w:r>
              <w:rPr>
                <w:sz w:val="20"/>
              </w:rPr>
              <w:t xml:space="preserve">2</w:t>
            </w:r>
          </w:p>
        </w:tc>
      </w:tr>
      <w:tr>
        <w:trPr>
          <w:cantSplit/>
        </w:trPr>
        <w:tc>
          <w:tcPr>
            <w:tcW w:type="dxa" w:w="7151"/>
          </w:tcPr>
          <w:p>
            <w:pPr>
              <w:pStyle w:val="Compact"/>
              <w:spacing w:line="240" w:lineRule="auto" w:after="20"/>
            </w:pPr>
            <w:r>
              <w:rPr>
                <w:sz w:val="20"/>
              </w:rPr>
              <w:t xml:space="preserve">Holm, normal approximation, difference test</w:t>
            </w:r>
          </w:p>
        </w:tc>
        <w:tc>
          <w:tcPr>
            <w:tcW w:type="dxa" w:w="872"/>
          </w:tcPr>
          <w:p>
            <w:pPr>
              <w:pStyle w:val="Compact"/>
              <w:spacing w:line="240" w:lineRule="auto" w:after="20"/>
              <w:jc w:val="right"/>
            </w:pPr>
            <w:r>
              <w:rPr>
                <w:sz w:val="20"/>
              </w:rPr>
              <w:t xml:space="preserve">27</w:t>
            </w:r>
          </w:p>
        </w:tc>
        <w:tc>
          <w:tcPr>
            <w:tcW w:type="dxa" w:w="1047"/>
          </w:tcPr>
          <w:p>
            <w:pPr>
              <w:pStyle w:val="Compact"/>
              <w:spacing w:line="240" w:lineRule="auto" w:after="20"/>
              <w:jc w:val="right"/>
            </w:pPr>
            <w:r>
              <w:rPr>
                <w:sz w:val="20"/>
              </w:rPr>
              <w:t xml:space="preserve">12</w:t>
            </w:r>
          </w:p>
        </w:tc>
      </w:tr>
      <w:tr>
        <w:trPr>
          <w:cantSplit/>
        </w:trPr>
        <w:tc>
          <w:tcPr>
            <w:tcW w:type="dxa" w:w="7151"/>
          </w:tcPr>
          <w:p>
            <w:pPr>
              <w:pStyle w:val="Compact"/>
              <w:spacing w:line="240" w:lineRule="auto" w:after="20"/>
            </w:pPr>
            <w:r>
              <w:rPr>
                <w:sz w:val="20"/>
              </w:rPr>
              <w:t xml:space="preserve">Holm intersection-union (both regions’ tests)</w:t>
            </w:r>
          </w:p>
        </w:tc>
        <w:tc>
          <w:tcPr>
            <w:tcW w:type="dxa" w:w="872"/>
          </w:tcPr>
          <w:p>
            <w:pPr>
              <w:pStyle w:val="Compact"/>
              <w:spacing w:line="240" w:lineRule="auto" w:after="20"/>
              <w:jc w:val="right"/>
            </w:pPr>
            <w:r>
              <w:rPr>
                <w:sz w:val="20"/>
              </w:rPr>
              <w:t xml:space="preserve">5</w:t>
            </w:r>
          </w:p>
        </w:tc>
        <w:tc>
          <w:tcPr>
            <w:tcW w:type="dxa" w:w="1047"/>
          </w:tcPr>
          <w:p>
            <w:pPr>
              <w:pStyle w:val="Compact"/>
              <w:spacing w:line="240" w:lineRule="auto" w:after="20"/>
              <w:jc w:val="right"/>
            </w:pPr>
            <w:r>
              <w:rPr>
                <w:sz w:val="20"/>
              </w:rPr>
              <w:t xml:space="preserve">0</w:t>
            </w:r>
          </w:p>
        </w:tc>
      </w:tr>
    </w:tbl>
    <w:p>
      <w:pPr>
        <w:pStyle w:val="BodyText"/>
      </w:pPr>
      <w:r>
        <w:rPr>
          <w:b/>
          <w:bCs/>
        </w:rPr>
        <w:t xml:space="preserve">Similarity measures on the collar.</w:t>
      </w:r>
      <w:r>
        <w:t xml:space="preserve"> </w:t>
      </w:r>
      <w:r>
        <w:t xml:space="preserve">Two of the twenty similarity measures are built from the</w:t>
      </w:r>
      <w:r>
        <w:t xml:space="preserve"> </w:t>
      </w:r>
      <w:r>
        <w:t xml:space="preserve">signed associations, and they were recomputed on the collar. The sign-agreement fraction over</w:t>
      </w:r>
      <w:r>
        <w:t xml:space="preserve"> </w:t>
      </w:r>
      <w:r>
        <w:t xml:space="preserve">supported features is ρ = +0.52 [−0.27, +0.87] on the original study areas. On the collar it takes</w:t>
      </w:r>
      <w:r>
        <w:t xml:space="preserve"> </w:t>
      </w:r>
      <w:r>
        <w:t xml:space="preserve">only the values 0 and 1 across sixteen defined directions, and it correlates with collar transfer at</w:t>
      </w:r>
      <w:r>
        <w:t xml:space="preserve"> </w:t>
      </w:r>
      <w:r>
        <w:t xml:space="preserve">ρ = +0.38 [−0.17, +0.85]. The all-feature cosine is +0.44 [−0.29, +0.80] on the original study areas</w:t>
      </w:r>
      <w:r>
        <w:t xml:space="preserve"> </w:t>
      </w:r>
      <w:r>
        <w:t xml:space="preserve">and correlates with collar transfer at</w:t>
      </w:r>
      <w:r>
        <w:t xml:space="preserve"> </w:t>
      </w:r>
      <w:r>
        <w:rPr>
          <w:b/>
          <w:bCs/>
        </w:rPr>
        <w:t xml:space="preserve">+0.57 [+0.05, +0.88]</w:t>
      </w:r>
      <w:r>
        <w:t xml:space="preserve">. This is the only interval of a</w:t>
      </w:r>
      <w:r>
        <w:t xml:space="preserve"> </w:t>
      </w:r>
      <w:r>
        <w:t xml:space="preserve">similarity measure in the study that excludes zero</w:t>
      </w:r>
      <w:r>
        <w:t xml:space="preserve"> </w:t>
      </w:r>
      <w:r>
        <w:t xml:space="preserve">(</w:t>
      </w:r>
      <w:r>
        <w:rPr>
          <w:rStyle w:val="VerbatimChar"/>
        </w:rPr>
        <w:t xml:space="preserve">paper/labelfix_rerun/round6/diag_collar/</w:t>
      </w:r>
      <w:r>
        <w:t xml:space="preserve">; intervals from</w:t>
      </w:r>
      <w:r>
        <w:t xml:space="preserve"> </w:t>
      </w:r>
      <w:r>
        <w:rPr>
          <w:rStyle w:val="VerbatimChar"/>
        </w:rPr>
        <w:t xml:space="preserve">paper/labelfix_rerun/round7/r7g_collar_diagnostics.json</w:t>
      </w:r>
      <w:r>
        <w:t xml:space="preserve">, which reproduces the original intervals</w:t>
      </w:r>
      <w:r>
        <w:t xml:space="preserve"> </w:t>
      </w:r>
      <w:r>
        <w:t xml:space="preserve">exactly). It is not treated as a result for three reasons. It is one of about forty uncorrected</w:t>
      </w:r>
      <w:r>
        <w:t xml:space="preserve"> </w:t>
      </w:r>
      <w:r>
        <w:t xml:space="preserve">tests. It rests on twenty directions that share regions. The collar is defined from the burned</w:t>
      </w:r>
      <w:r>
        <w:t xml:space="preserve"> </w:t>
      </w:r>
      <w:r>
        <w:t xml:space="preserve">cells, so the measure needs target labels twice. The other eighteen measures were not recomputed on</w:t>
      </w:r>
      <w:r>
        <w:t xml:space="preserve"> </w:t>
      </w:r>
      <w:r>
        <w:t xml:space="preserve">the collar.</w:t>
      </w:r>
    </w:p>
    <w:p>
      <w:pPr>
        <w:pStyle w:val="BodyText"/>
      </w:pPr>
      <w:r>
        <w:rPr>
          <w:b/>
          <w:bCs/>
        </w:rPr>
        <w:t xml:space="preserve">Data provenance.</w:t>
      </w:r>
      <w:r>
        <w:t xml:space="preserve"> </w:t>
      </w:r>
      <w:r>
        <w:t xml:space="preserve">A quality-screening rebuild overwrote the 500 m modelling datasets of Manavgat</w:t>
      </w:r>
      <w:r>
        <w:t xml:space="preserve"> </w:t>
      </w:r>
      <w:r>
        <w:t xml:space="preserve">and Muğla at the standard pipeline path after the frozen tables were computed. Each new file differs</w:t>
      </w:r>
      <w:r>
        <w:t xml:space="preserve"> </w:t>
      </w:r>
      <w:r>
        <w:t xml:space="preserve">in</w:t>
      </w:r>
      <w:r>
        <w:t xml:space="preserve"> </w:t>
      </w:r>
      <w:r>
        <w:rPr>
          <w:rStyle w:val="VerbatimChar"/>
        </w:rPr>
        <w:t xml:space="preserve">downscaled_lst_mean</w:t>
      </w:r>
      <w:r>
        <w:t xml:space="preserve"> </w:t>
      </w:r>
      <w:r>
        <w:t xml:space="preserve">and</w:t>
      </w:r>
      <w:r>
        <w:t xml:space="preserve"> </w:t>
      </w:r>
      <w:r>
        <w:rPr>
          <w:rStyle w:val="VerbatimChar"/>
        </w:rPr>
        <w:t xml:space="preserve">fused_lst_mean</w:t>
      </w:r>
      <w:r>
        <w:t xml:space="preserve">. The pipeline records a SHA-256 for the modelling</w:t>
      </w:r>
      <w:r>
        <w:t xml:space="preserve"> </w:t>
      </w:r>
      <w:r>
        <w:t xml:space="preserve">dataset of each region, and this hash identifies the frozen copy. Every analysis of Section 4.4 reads</w:t>
      </w:r>
      <w:r>
        <w:t xml:space="preserve"> </w:t>
      </w:r>
      <w:r>
        <w:t xml:space="preserve">each region through</w:t>
      </w:r>
      <w:r>
        <w:t xml:space="preserve"> </w:t>
      </w:r>
      <w:r>
        <w:rPr>
          <w:rStyle w:val="VerbatimChar"/>
        </w:rPr>
        <w:t xml:space="preserve">paper/code/_canonical.py</w:t>
      </w:r>
      <w:r>
        <w:t xml:space="preserve">, which checks the hash on load, and reads Manavgat</w:t>
      </w:r>
      <w:r>
        <w:t xml:space="preserve"> </w:t>
      </w:r>
      <w:r>
        <w:t xml:space="preserve">from the corrected re-freeze (SHA-256</w:t>
      </w:r>
      <w:r>
        <w:t xml:space="preserve"> </w:t>
      </w:r>
      <w:r>
        <w:rPr>
          <w:rStyle w:val="VerbatimChar"/>
        </w:rPr>
        <w:t xml:space="preserve">5a5e876c…</w:t>
      </w:r>
      <w:r>
        <w:t xml:space="preserve">). The provenance of the collar transfer matrix is</w:t>
      </w:r>
      <w:r>
        <w:t xml:space="preserve"> </w:t>
      </w:r>
      <w:r>
        <w:t xml:space="preserve">in</w:t>
      </w:r>
      <w:r>
        <w:t xml:space="preserve"> </w:t>
      </w:r>
      <w:r>
        <w:rPr>
          <w:rStyle w:val="VerbatimChar"/>
        </w:rPr>
        <w:t xml:space="preserve">paper/labelfix_rerun/round5/collar/PROVENANCE.md</w:t>
      </w:r>
      <w:r>
        <w:t xml:space="preserve">.</w:t>
      </w:r>
    </w:p>
    <w:p>
      <w:pPr>
        <w:pStyle w:val="BodyText"/>
        <w:keepNext/>
      </w:pPr>
      <w:r>
        <w:rPr>
          <w:b/>
          <w:bCs/>
        </w:rPr>
        <w:t xml:space="preserve">Table S8. Cross-region transfer on comparable study areas.</w:t>
      </w:r>
      <w:r>
        <w:t xml:space="preserve"> </w:t>
      </w:r>
      <w:r>
        <w:t xml:space="preserve">Natural-vegetation population,</w:t>
      </w:r>
      <w:r>
        <w:t xml:space="preserve"> </w:t>
      </w:r>
      <w:r>
        <w:t xml:space="preserve">thermal model, twenty ordered directions per row. Above and below chance are point counts. The</w:t>
      </w:r>
      <w:r>
        <w:t xml:space="preserve"> </w:t>
      </w:r>
      <w:r>
        <w:t xml:space="preserve">supported counts use a 10-cell (≈5 km) spatial-block bootstrap on the target, 1000 replicates, seed</w:t>
      </w:r>
      <w:r>
        <w:t xml:space="preserve"> </w:t>
      </w:r>
      <w:r>
        <w:t xml:space="preserve">42. Table S16 gives the original matrix under 2-cell (≈1 km) blocking. Bounds per direction are in</w:t>
      </w:r>
      <w:r>
        <w:t xml:space="preserve"> </w:t>
      </w:r>
      <w:r>
        <w:rPr>
          <w:rStyle w:val="VerbatimChar"/>
        </w:rPr>
        <w:t xml:space="preserve">paper/labelfix_rerun/round5/collar/aoi_frame_transfer.csv</w:t>
      </w:r>
      <w:r>
        <w:t xml:space="preserve">.</w:t>
      </w:r>
    </w:p>
    <w:tbl>
      <w:tblPr>
        <w:tblStyle w:val="Table"/>
        <w:tblW w:type="auto" w:w="0"/>
        <w:tblLook w:firstRow="1" w:lastRow="0" w:firstColumn="0" w:lastColumn="0" w:noHBand="0" w:noVBand="0" w:val="0020"/>
      </w:tblPr>
      <w:tblGrid>
        <w:gridCol w:w="1027"/>
        <w:gridCol w:w="1027"/>
        <w:gridCol w:w="1283"/>
        <w:gridCol w:w="1027"/>
        <w:gridCol w:w="1027"/>
        <w:gridCol w:w="1968"/>
        <w:gridCol w:w="1711"/>
      </w:tblGrid>
      <w:tr>
        <w:trPr>
          <w:tblHeader w:val="on"/>
          <w:cantSplit/>
        </w:trPr>
        <w:tc>
          <w:tcPr>
            <w:tcW w:type="dxa" w:w="1027"/>
          </w:tcPr>
          <w:p>
            <w:pPr>
              <w:pStyle w:val="Compact"/>
              <w:spacing w:line="240" w:lineRule="auto" w:after="20"/>
            </w:pPr>
            <w:r>
              <w:rPr>
                <w:sz w:val="20"/>
              </w:rPr>
              <w:t xml:space="preserve">Source frame</w:t>
            </w:r>
          </w:p>
        </w:tc>
        <w:tc>
          <w:tcPr>
            <w:tcW w:type="dxa" w:w="1027"/>
          </w:tcPr>
          <w:p>
            <w:pPr>
              <w:pStyle w:val="Compact"/>
              <w:spacing w:line="240" w:lineRule="auto" w:after="20"/>
            </w:pPr>
            <w:r>
              <w:rPr>
                <w:sz w:val="20"/>
              </w:rPr>
              <w:t xml:space="preserve">Target frame</w:t>
            </w:r>
          </w:p>
        </w:tc>
        <w:tc>
          <w:tcPr>
            <w:tcW w:type="dxa" w:w="1283"/>
          </w:tcPr>
          <w:p>
            <w:pPr>
              <w:pStyle w:val="Compact"/>
              <w:spacing w:line="240" w:lineRule="auto" w:after="20"/>
              <w:jc w:val="right"/>
            </w:pPr>
            <w:r>
              <w:rPr>
                <w:sz w:val="20"/>
              </w:rPr>
              <w:t xml:space="preserve">Mean target AUC</w:t>
            </w:r>
          </w:p>
        </w:tc>
        <w:tc>
          <w:tcPr>
            <w:tcW w:type="dxa" w:w="1027"/>
          </w:tcPr>
          <w:p>
            <w:pPr>
              <w:pStyle w:val="Compact"/>
              <w:spacing w:line="240" w:lineRule="auto" w:after="20"/>
              <w:jc w:val="right"/>
            </w:pPr>
            <w:r>
              <w:rPr>
                <w:sz w:val="20"/>
              </w:rPr>
              <w:t xml:space="preserve">Above chance</w:t>
            </w:r>
          </w:p>
        </w:tc>
        <w:tc>
          <w:tcPr>
            <w:tcW w:type="dxa" w:w="1027"/>
          </w:tcPr>
          <w:p>
            <w:pPr>
              <w:pStyle w:val="Compact"/>
              <w:spacing w:line="240" w:lineRule="auto" w:after="20"/>
              <w:jc w:val="right"/>
            </w:pPr>
            <w:r>
              <w:rPr>
                <w:sz w:val="20"/>
              </w:rPr>
              <w:t xml:space="preserve">Below chance</w:t>
            </w:r>
          </w:p>
        </w:tc>
        <w:tc>
          <w:tcPr>
            <w:tcW w:type="dxa" w:w="1968"/>
          </w:tcPr>
          <w:p>
            <w:pPr>
              <w:pStyle w:val="Compact"/>
              <w:spacing w:line="240" w:lineRule="auto" w:after="20"/>
              <w:jc w:val="right"/>
            </w:pPr>
            <w:r>
              <w:rPr>
                <w:sz w:val="20"/>
              </w:rPr>
              <w:t xml:space="preserve">Supported above / below</w:t>
            </w:r>
          </w:p>
        </w:tc>
        <w:tc>
          <w:tcPr>
            <w:tcW w:type="dxa" w:w="1711"/>
          </w:tcPr>
          <w:p>
            <w:pPr>
              <w:pStyle w:val="Compact"/>
              <w:spacing w:line="240" w:lineRule="auto" w:after="20"/>
              <w:jc w:val="right"/>
            </w:pPr>
            <w:r>
              <w:rPr>
                <w:sz w:val="20"/>
              </w:rPr>
              <w:t xml:space="preserve">Paired thermal delta</w:t>
            </w:r>
          </w:p>
        </w:tc>
      </w:tr>
      <w:tr>
        <w:trPr>
          <w:cantSplit/>
        </w:trPr>
        <w:tc>
          <w:tcPr>
            <w:tcW w:type="dxa" w:w="1027"/>
          </w:tcPr>
          <w:p>
            <w:pPr>
              <w:pStyle w:val="Compact"/>
              <w:spacing w:line="240" w:lineRule="auto" w:after="20"/>
            </w:pPr>
            <w:r>
              <w:rPr>
                <w:sz w:val="20"/>
              </w:rPr>
              <w:t xml:space="preserve">full</w:t>
            </w:r>
          </w:p>
        </w:tc>
        <w:tc>
          <w:tcPr>
            <w:tcW w:type="dxa" w:w="1027"/>
          </w:tcPr>
          <w:p>
            <w:pPr>
              <w:pStyle w:val="Compact"/>
              <w:spacing w:line="240" w:lineRule="auto" w:after="20"/>
            </w:pPr>
            <w:r>
              <w:rPr>
                <w:sz w:val="20"/>
              </w:rPr>
              <w:t xml:space="preserve">full</w:t>
            </w:r>
          </w:p>
        </w:tc>
        <w:tc>
          <w:tcPr>
            <w:tcW w:type="dxa" w:w="1283"/>
          </w:tcPr>
          <w:p>
            <w:pPr>
              <w:pStyle w:val="Compact"/>
              <w:spacing w:line="240" w:lineRule="auto" w:after="20"/>
              <w:jc w:val="right"/>
            </w:pPr>
            <w:r>
              <w:rPr>
                <w:sz w:val="20"/>
              </w:rPr>
              <w:t xml:space="preserve">0.527</w:t>
            </w:r>
          </w:p>
        </w:tc>
        <w:tc>
          <w:tcPr>
            <w:tcW w:type="dxa" w:w="1027"/>
          </w:tcPr>
          <w:p>
            <w:pPr>
              <w:pStyle w:val="Compact"/>
              <w:spacing w:line="240" w:lineRule="auto" w:after="20"/>
              <w:jc w:val="right"/>
            </w:pPr>
            <w:r>
              <w:rPr>
                <w:sz w:val="20"/>
              </w:rPr>
              <w:t xml:space="preserve">13 of 20</w:t>
            </w:r>
          </w:p>
        </w:tc>
        <w:tc>
          <w:tcPr>
            <w:tcW w:type="dxa" w:w="1027"/>
          </w:tcPr>
          <w:p>
            <w:pPr>
              <w:pStyle w:val="Compact"/>
              <w:spacing w:line="240" w:lineRule="auto" w:after="20"/>
              <w:jc w:val="right"/>
            </w:pPr>
            <w:r>
              <w:rPr>
                <w:b/>
                <w:bCs/>
                <w:sz w:val="20"/>
              </w:rPr>
              <w:t xml:space="preserve">7</w:t>
            </w:r>
          </w:p>
        </w:tc>
        <w:tc>
          <w:tcPr>
            <w:tcW w:type="dxa" w:w="1968"/>
          </w:tcPr>
          <w:p>
            <w:pPr>
              <w:pStyle w:val="Compact"/>
              <w:spacing w:line="240" w:lineRule="auto" w:after="20"/>
              <w:jc w:val="right"/>
            </w:pPr>
            <w:r>
              <w:rPr>
                <w:sz w:val="20"/>
              </w:rPr>
              <w:t xml:space="preserve">9 /</w:t>
            </w:r>
            <w:r>
              <w:rPr>
                <w:sz w:val="20"/>
              </w:rPr>
              <w:t xml:space="preserve"> </w:t>
            </w:r>
            <w:r>
              <w:rPr>
                <w:b/>
                <w:bCs/>
                <w:sz w:val="20"/>
              </w:rPr>
              <w:t xml:space="preserve">6</w:t>
            </w:r>
          </w:p>
        </w:tc>
        <w:tc>
          <w:tcPr>
            <w:tcW w:type="dxa" w:w="1711"/>
          </w:tcPr>
          <w:p>
            <w:pPr>
              <w:pStyle w:val="Compact"/>
              <w:spacing w:line="240" w:lineRule="auto" w:after="20"/>
              <w:jc w:val="right"/>
            </w:pPr>
            <w:r>
              <w:rPr>
                <w:sz w:val="20"/>
              </w:rPr>
              <w:t xml:space="preserve">+0.007</w:t>
            </w:r>
          </w:p>
        </w:tc>
      </w:tr>
      <w:tr>
        <w:trPr>
          <w:cantSplit/>
        </w:trPr>
        <w:tc>
          <w:tcPr>
            <w:tcW w:type="dxa" w:w="1027"/>
          </w:tcPr>
          <w:p>
            <w:pPr>
              <w:pStyle w:val="Compact"/>
              <w:spacing w:line="240" w:lineRule="auto" w:after="20"/>
            </w:pPr>
            <w:r>
              <w:rPr>
                <w:sz w:val="20"/>
              </w:rPr>
              <w:t xml:space="preserve">full</w:t>
            </w:r>
          </w:p>
        </w:tc>
        <w:tc>
          <w:tcPr>
            <w:tcW w:type="dxa" w:w="1027"/>
          </w:tcPr>
          <w:p>
            <w:pPr>
              <w:pStyle w:val="Compact"/>
              <w:spacing w:line="240" w:lineRule="auto" w:after="20"/>
            </w:pPr>
            <w:r>
              <w:rPr>
                <w:sz w:val="20"/>
              </w:rPr>
              <w:t xml:space="preserve">10 km</w:t>
            </w:r>
          </w:p>
        </w:tc>
        <w:tc>
          <w:tcPr>
            <w:tcW w:type="dxa" w:w="1283"/>
          </w:tcPr>
          <w:p>
            <w:pPr>
              <w:pStyle w:val="Compact"/>
              <w:spacing w:line="240" w:lineRule="auto" w:after="20"/>
              <w:jc w:val="right"/>
            </w:pPr>
            <w:r>
              <w:rPr>
                <w:sz w:val="20"/>
              </w:rPr>
              <w:t xml:space="preserve">0.559</w:t>
            </w:r>
          </w:p>
        </w:tc>
        <w:tc>
          <w:tcPr>
            <w:tcW w:type="dxa" w:w="1027"/>
          </w:tcPr>
          <w:p>
            <w:pPr>
              <w:pStyle w:val="Compact"/>
              <w:spacing w:line="240" w:lineRule="auto" w:after="20"/>
              <w:jc w:val="right"/>
            </w:pPr>
            <w:r>
              <w:rPr>
                <w:sz w:val="20"/>
              </w:rPr>
              <w:t xml:space="preserve">14 of 20</w:t>
            </w:r>
          </w:p>
        </w:tc>
        <w:tc>
          <w:tcPr>
            <w:tcW w:type="dxa" w:w="1027"/>
          </w:tcPr>
          <w:p>
            <w:pPr>
              <w:pStyle w:val="Compact"/>
              <w:spacing w:line="240" w:lineRule="auto" w:after="20"/>
              <w:jc w:val="right"/>
            </w:pPr>
            <w:r>
              <w:rPr>
                <w:sz w:val="20"/>
              </w:rPr>
              <w:t xml:space="preserve">6</w:t>
            </w:r>
          </w:p>
        </w:tc>
        <w:tc>
          <w:tcPr>
            <w:tcW w:type="dxa" w:w="1968"/>
          </w:tcPr>
          <w:p>
            <w:pPr>
              <w:pStyle w:val="Compact"/>
              <w:spacing w:line="240" w:lineRule="auto" w:after="20"/>
              <w:jc w:val="right"/>
            </w:pPr>
            <w:r>
              <w:rPr>
                <w:sz w:val="20"/>
              </w:rPr>
              <w:t xml:space="preserve">10 / 2</w:t>
            </w:r>
          </w:p>
        </w:tc>
        <w:tc>
          <w:tcPr>
            <w:tcW w:type="dxa" w:w="1711"/>
          </w:tcPr>
          <w:p>
            <w:pPr>
              <w:pStyle w:val="Compact"/>
              <w:spacing w:line="240" w:lineRule="auto" w:after="20"/>
              <w:jc w:val="right"/>
            </w:pPr>
            <w:r>
              <w:rPr>
                <w:sz w:val="20"/>
              </w:rPr>
              <w:t xml:space="preserve">+0.008</w:t>
            </w:r>
          </w:p>
        </w:tc>
      </w:tr>
      <w:tr>
        <w:trPr>
          <w:cantSplit/>
        </w:trPr>
        <w:tc>
          <w:tcPr>
            <w:tcW w:type="dxa" w:w="1027"/>
          </w:tcPr>
          <w:p>
            <w:pPr>
              <w:pStyle w:val="Compact"/>
              <w:spacing w:line="240" w:lineRule="auto" w:after="20"/>
            </w:pPr>
            <w:r>
              <w:rPr>
                <w:sz w:val="20"/>
              </w:rPr>
              <w:t xml:space="preserve">10 km</w:t>
            </w:r>
          </w:p>
        </w:tc>
        <w:tc>
          <w:tcPr>
            <w:tcW w:type="dxa" w:w="1027"/>
          </w:tcPr>
          <w:p>
            <w:pPr>
              <w:pStyle w:val="Compact"/>
              <w:spacing w:line="240" w:lineRule="auto" w:after="20"/>
            </w:pPr>
            <w:r>
              <w:rPr>
                <w:sz w:val="20"/>
              </w:rPr>
              <w:t xml:space="preserve">full</w:t>
            </w:r>
          </w:p>
        </w:tc>
        <w:tc>
          <w:tcPr>
            <w:tcW w:type="dxa" w:w="1283"/>
          </w:tcPr>
          <w:p>
            <w:pPr>
              <w:pStyle w:val="Compact"/>
              <w:spacing w:line="240" w:lineRule="auto" w:after="20"/>
              <w:jc w:val="right"/>
            </w:pPr>
            <w:r>
              <w:rPr>
                <w:sz w:val="20"/>
              </w:rPr>
              <w:t xml:space="preserve">0.546</w:t>
            </w:r>
          </w:p>
        </w:tc>
        <w:tc>
          <w:tcPr>
            <w:tcW w:type="dxa" w:w="1027"/>
          </w:tcPr>
          <w:p>
            <w:pPr>
              <w:pStyle w:val="Compact"/>
              <w:spacing w:line="240" w:lineRule="auto" w:after="20"/>
              <w:jc w:val="right"/>
            </w:pPr>
            <w:r>
              <w:rPr>
                <w:sz w:val="20"/>
              </w:rPr>
              <w:t xml:space="preserve">14 of 20</w:t>
            </w:r>
          </w:p>
        </w:tc>
        <w:tc>
          <w:tcPr>
            <w:tcW w:type="dxa" w:w="1027"/>
          </w:tcPr>
          <w:p>
            <w:pPr>
              <w:pStyle w:val="Compact"/>
              <w:spacing w:line="240" w:lineRule="auto" w:after="20"/>
              <w:jc w:val="right"/>
            </w:pPr>
            <w:r>
              <w:rPr>
                <w:sz w:val="20"/>
              </w:rPr>
              <w:t xml:space="preserve">6</w:t>
            </w:r>
          </w:p>
        </w:tc>
        <w:tc>
          <w:tcPr>
            <w:tcW w:type="dxa" w:w="1968"/>
          </w:tcPr>
          <w:p>
            <w:pPr>
              <w:pStyle w:val="Compact"/>
              <w:spacing w:line="240" w:lineRule="auto" w:after="20"/>
              <w:jc w:val="right"/>
            </w:pPr>
            <w:r>
              <w:rPr>
                <w:sz w:val="20"/>
              </w:rPr>
              <w:t xml:space="preserve">10 / 5</w:t>
            </w:r>
          </w:p>
        </w:tc>
        <w:tc>
          <w:tcPr>
            <w:tcW w:type="dxa" w:w="1711"/>
          </w:tcPr>
          <w:p>
            <w:pPr>
              <w:pStyle w:val="Compact"/>
              <w:spacing w:line="240" w:lineRule="auto" w:after="20"/>
              <w:jc w:val="right"/>
            </w:pPr>
            <w:r>
              <w:rPr>
                <w:sz w:val="20"/>
              </w:rPr>
              <w:t xml:space="preserve">+0.014</w:t>
            </w:r>
          </w:p>
        </w:tc>
      </w:tr>
      <w:tr>
        <w:trPr>
          <w:cantSplit/>
        </w:trPr>
        <w:tc>
          <w:tcPr>
            <w:tcW w:type="dxa" w:w="1027"/>
          </w:tcPr>
          <w:p>
            <w:pPr>
              <w:pStyle w:val="Compact"/>
              <w:spacing w:line="240" w:lineRule="auto" w:after="20"/>
            </w:pPr>
            <w:r>
              <w:rPr>
                <w:b/>
                <w:bCs/>
                <w:sz w:val="20"/>
              </w:rPr>
              <w:t xml:space="preserve">10 km</w:t>
            </w:r>
          </w:p>
        </w:tc>
        <w:tc>
          <w:tcPr>
            <w:tcW w:type="dxa" w:w="1027"/>
          </w:tcPr>
          <w:p>
            <w:pPr>
              <w:pStyle w:val="Compact"/>
              <w:spacing w:line="240" w:lineRule="auto" w:after="20"/>
            </w:pPr>
            <w:r>
              <w:rPr>
                <w:b/>
                <w:bCs/>
                <w:sz w:val="20"/>
              </w:rPr>
              <w:t xml:space="preserve">10 km</w:t>
            </w:r>
          </w:p>
        </w:tc>
        <w:tc>
          <w:tcPr>
            <w:tcW w:type="dxa" w:w="1283"/>
          </w:tcPr>
          <w:p>
            <w:pPr>
              <w:pStyle w:val="Compact"/>
              <w:spacing w:line="240" w:lineRule="auto" w:after="20"/>
              <w:jc w:val="right"/>
            </w:pPr>
            <w:r>
              <w:rPr>
                <w:b/>
                <w:bCs/>
                <w:sz w:val="20"/>
              </w:rPr>
              <w:t xml:space="preserve">0.589</w:t>
            </w:r>
          </w:p>
        </w:tc>
        <w:tc>
          <w:tcPr>
            <w:tcW w:type="dxa" w:w="1027"/>
          </w:tcPr>
          <w:p>
            <w:pPr>
              <w:pStyle w:val="Compact"/>
              <w:spacing w:line="240" w:lineRule="auto" w:after="20"/>
              <w:jc w:val="right"/>
            </w:pPr>
            <w:r>
              <w:rPr>
                <w:b/>
                <w:bCs/>
                <w:sz w:val="20"/>
              </w:rPr>
              <w:t xml:space="preserve">15 of 20</w:t>
            </w:r>
          </w:p>
        </w:tc>
        <w:tc>
          <w:tcPr>
            <w:tcW w:type="dxa" w:w="1027"/>
          </w:tcPr>
          <w:p>
            <w:pPr>
              <w:pStyle w:val="Compact"/>
              <w:spacing w:line="240" w:lineRule="auto" w:after="20"/>
              <w:jc w:val="right"/>
            </w:pPr>
            <w:r>
              <w:rPr>
                <w:b/>
                <w:bCs/>
                <w:sz w:val="20"/>
              </w:rPr>
              <w:t xml:space="preserve">5</w:t>
            </w:r>
          </w:p>
        </w:tc>
        <w:tc>
          <w:tcPr>
            <w:tcW w:type="dxa" w:w="1968"/>
          </w:tcPr>
          <w:p>
            <w:pPr>
              <w:pStyle w:val="Compact"/>
              <w:spacing w:line="240" w:lineRule="auto" w:after="20"/>
              <w:jc w:val="right"/>
            </w:pPr>
            <w:r>
              <w:rPr>
                <w:b/>
                <w:bCs/>
                <w:sz w:val="20"/>
              </w:rPr>
              <w:t xml:space="preserve">13 / 2</w:t>
            </w:r>
          </w:p>
        </w:tc>
        <w:tc>
          <w:tcPr>
            <w:tcW w:type="dxa" w:w="1711"/>
          </w:tcPr>
          <w:p>
            <w:pPr>
              <w:pStyle w:val="Compact"/>
              <w:spacing w:line="240" w:lineRule="auto" w:after="20"/>
              <w:jc w:val="right"/>
            </w:pPr>
            <w:r>
              <w:rPr>
                <w:b/>
                <w:bCs/>
                <w:sz w:val="20"/>
              </w:rPr>
              <w:t xml:space="preserve">+0.024</w:t>
            </w:r>
          </w:p>
        </w:tc>
      </w:tr>
      <w:tr>
        <w:trPr>
          <w:cantSplit/>
        </w:trPr>
        <w:tc>
          <w:tcPr>
            <w:tcW w:type="dxa" w:w="1027"/>
          </w:tcPr>
          <w:p>
            <w:pPr>
              <w:pStyle w:val="Compact"/>
              <w:spacing w:line="240" w:lineRule="auto" w:after="20"/>
            </w:pPr>
            <w:r>
              <w:rPr>
                <w:sz w:val="20"/>
              </w:rPr>
              <w:t xml:space="preserve">5 km</w:t>
            </w:r>
          </w:p>
        </w:tc>
        <w:tc>
          <w:tcPr>
            <w:tcW w:type="dxa" w:w="1027"/>
          </w:tcPr>
          <w:p>
            <w:pPr>
              <w:pStyle w:val="Compact"/>
              <w:spacing w:line="240" w:lineRule="auto" w:after="20"/>
            </w:pPr>
            <w:r>
              <w:rPr>
                <w:sz w:val="20"/>
              </w:rPr>
              <w:t xml:space="preserve">5 km</w:t>
            </w:r>
          </w:p>
        </w:tc>
        <w:tc>
          <w:tcPr>
            <w:tcW w:type="dxa" w:w="1283"/>
          </w:tcPr>
          <w:p>
            <w:pPr>
              <w:pStyle w:val="Compact"/>
              <w:spacing w:line="240" w:lineRule="auto" w:after="20"/>
              <w:jc w:val="right"/>
            </w:pPr>
            <w:r>
              <w:rPr>
                <w:sz w:val="20"/>
              </w:rPr>
              <w:t xml:space="preserve">0.591</w:t>
            </w:r>
          </w:p>
        </w:tc>
        <w:tc>
          <w:tcPr>
            <w:tcW w:type="dxa" w:w="1027"/>
          </w:tcPr>
          <w:p>
            <w:pPr>
              <w:pStyle w:val="Compact"/>
              <w:spacing w:line="240" w:lineRule="auto" w:after="20"/>
              <w:jc w:val="right"/>
            </w:pPr>
            <w:r>
              <w:rPr>
                <w:sz w:val="20"/>
              </w:rPr>
              <w:t xml:space="preserve">16 of 20</w:t>
            </w:r>
          </w:p>
        </w:tc>
        <w:tc>
          <w:tcPr>
            <w:tcW w:type="dxa" w:w="1027"/>
          </w:tcPr>
          <w:p>
            <w:pPr>
              <w:pStyle w:val="Compact"/>
              <w:spacing w:line="240" w:lineRule="auto" w:after="20"/>
              <w:jc w:val="right"/>
            </w:pPr>
            <w:r>
              <w:rPr>
                <w:sz w:val="20"/>
              </w:rPr>
              <w:t xml:space="preserve">4</w:t>
            </w:r>
          </w:p>
        </w:tc>
        <w:tc>
          <w:tcPr>
            <w:tcW w:type="dxa" w:w="1968"/>
          </w:tcPr>
          <w:p>
            <w:pPr>
              <w:pStyle w:val="Compact"/>
              <w:spacing w:line="240" w:lineRule="auto" w:after="20"/>
              <w:jc w:val="right"/>
            </w:pPr>
            <w:r>
              <w:rPr>
                <w:sz w:val="20"/>
              </w:rPr>
              <w:t xml:space="preserve">11 / 0</w:t>
            </w:r>
          </w:p>
        </w:tc>
        <w:tc>
          <w:tcPr>
            <w:tcW w:type="dxa" w:w="1711"/>
          </w:tcPr>
          <w:p>
            <w:pPr>
              <w:pStyle w:val="Compact"/>
              <w:spacing w:line="240" w:lineRule="auto" w:after="20"/>
              <w:jc w:val="right"/>
            </w:pPr>
            <w:r>
              <w:rPr>
                <w:sz w:val="20"/>
              </w:rPr>
              <w:t xml:space="preserve">+0.017</w:t>
            </w:r>
          </w:p>
        </w:tc>
      </w:tr>
    </w:tbl>
    <w:p>
      <w:pPr>
        <w:pStyle w:val="BodyText"/>
      </w:pPr>
      <w:r>
        <w:t xml:space="preserve">The baseline changes with the frame. On the 10 km collar, the static baseline transfers at 0.565</w:t>
      </w:r>
      <w:r>
        <w:t xml:space="preserve"> </w:t>
      </w:r>
      <w:r>
        <w:t xml:space="preserve">and the thermal model at 0.589, a paired difference of +0.024 instead of +0.007. The static baseline</w:t>
      </w:r>
      <w:r>
        <w:t xml:space="preserve"> </w:t>
      </w:r>
      <w:r>
        <w:t xml:space="preserve">still does not transfer well. The number of directions below chance falls from seven to five at the</w:t>
      </w:r>
      <w:r>
        <w:t xml:space="preserve"> </w:t>
      </w:r>
      <w:r>
        <w:t xml:space="preserve">point estimate, and from six to two with interval support. The largest rises are Bejís to Evia (0.383</w:t>
      </w:r>
      <w:r>
        <w:t xml:space="preserve"> </w:t>
      </w:r>
      <w:r>
        <w:t xml:space="preserve">to 0.602) and Bejís to Manavgat (0.314 to 0.452). The only large fall is Evia to Manavgat (0.677 to</w:t>
      </w:r>
      <w:r>
        <w:t xml:space="preserve"> </w:t>
      </w:r>
      <w:r>
        <w:t xml:space="preserve">0.594).</w:t>
      </w:r>
    </w:p>
    <w:p>
      <w:pPr>
        <w:pStyle w:val="BodyText"/>
      </w:pPr>
      <w:r>
        <w:rPr>
          <w:b/>
          <w:bCs/>
        </w:rPr>
        <w:t xml:space="preserve">The matched reference.</w:t>
      </w:r>
      <w:r>
        <w:t xml:space="preserve"> </w:t>
      </w:r>
      <w:r>
        <w:t xml:space="preserve">The within-region reference was recomputed on the same frame at 5 km</w:t>
      </w:r>
      <w:r>
        <w:t xml:space="preserve"> </w:t>
      </w:r>
      <w:r>
        <w:t xml:space="preserve">blocking (</w:t>
      </w:r>
      <w:r>
        <w:rPr>
          <w:rStyle w:val="VerbatimChar"/>
        </w:rPr>
        <w:t xml:space="preserve">paper/code/verify_matched_gap.py</w:t>
      </w:r>
      <w:r>
        <w:t xml:space="preserve">):</w:t>
      </w:r>
    </w:p>
    <w:p>
      <w:pPr>
        <w:pStyle w:val="BodyText"/>
        <w:keepNext/>
      </w:pPr>
      <w:r>
        <w:rPr>
          <w:b/>
          <w:bCs/>
        </w:rPr>
        <w:t xml:space="preserve">Table S33. Within-region reference and transfer on matched frames.</w:t>
      </w:r>
    </w:p>
    <w:tbl>
      <w:tblPr>
        <w:tblStyle w:val="Table"/>
        <w:tblW w:type="auto" w:w="0"/>
        <w:tblLook w:firstRow="1" w:lastRow="0" w:firstColumn="0" w:lastColumn="0" w:noHBand="0" w:noVBand="0" w:val="0020"/>
      </w:tblPr>
      <w:tblGrid>
        <w:gridCol w:w="2082"/>
        <w:gridCol w:w="4312"/>
        <w:gridCol w:w="1933"/>
        <w:gridCol w:w="743"/>
      </w:tblGrid>
      <w:tr>
        <w:trPr>
          <w:tblHeader w:val="on"/>
          <w:cantSplit/>
        </w:trPr>
        <w:tc>
          <w:tcPr>
            <w:tcW w:type="dxa" w:w="2082"/>
          </w:tcPr>
          <w:p>
            <w:pPr>
              <w:pStyle w:val="Compact"/>
              <w:spacing w:line="240" w:lineRule="auto" w:after="20"/>
            </w:pPr>
            <w:r>
              <w:rPr>
                <w:sz w:val="20"/>
              </w:rPr>
              <w:t xml:space="preserve">Frame</w:t>
            </w:r>
          </w:p>
        </w:tc>
        <w:tc>
          <w:tcPr>
            <w:tcW w:type="dxa" w:w="4312"/>
          </w:tcPr>
          <w:p>
            <w:pPr>
              <w:pStyle w:val="Compact"/>
              <w:spacing w:line="240" w:lineRule="auto" w:after="20"/>
              <w:jc w:val="right"/>
            </w:pPr>
            <w:r>
              <w:rPr>
                <w:sz w:val="20"/>
              </w:rPr>
              <w:t xml:space="preserve">Within-region (5 km blocking)</w:t>
            </w:r>
          </w:p>
        </w:tc>
        <w:tc>
          <w:tcPr>
            <w:tcW w:type="dxa" w:w="1933"/>
          </w:tcPr>
          <w:p>
            <w:pPr>
              <w:pStyle w:val="Compact"/>
              <w:spacing w:line="240" w:lineRule="auto" w:after="20"/>
              <w:jc w:val="right"/>
            </w:pPr>
            <w:r>
              <w:rPr>
                <w:sz w:val="20"/>
              </w:rPr>
              <w:t xml:space="preserve">Mean transfer</w:t>
            </w:r>
          </w:p>
        </w:tc>
        <w:tc>
          <w:tcPr>
            <w:tcW w:type="dxa" w:w="743"/>
          </w:tcPr>
          <w:p>
            <w:pPr>
              <w:pStyle w:val="Compact"/>
              <w:spacing w:line="240" w:lineRule="auto" w:after="20"/>
              <w:jc w:val="right"/>
            </w:pPr>
            <w:r>
              <w:rPr>
                <w:sz w:val="20"/>
              </w:rPr>
              <w:t xml:space="preserve">Gap</w:t>
            </w:r>
          </w:p>
        </w:tc>
      </w:tr>
      <w:tr>
        <w:trPr>
          <w:cantSplit/>
        </w:trPr>
        <w:tc>
          <w:tcPr>
            <w:tcW w:type="dxa" w:w="2082"/>
          </w:tcPr>
          <w:p>
            <w:pPr>
              <w:pStyle w:val="Compact"/>
              <w:spacing w:line="240" w:lineRule="auto" w:after="20"/>
            </w:pPr>
            <w:r>
              <w:rPr>
                <w:sz w:val="20"/>
              </w:rPr>
              <w:t xml:space="preserve">full rectangle</w:t>
            </w:r>
          </w:p>
        </w:tc>
        <w:tc>
          <w:tcPr>
            <w:tcW w:type="dxa" w:w="4312"/>
          </w:tcPr>
          <w:p>
            <w:pPr>
              <w:pStyle w:val="Compact"/>
              <w:spacing w:line="240" w:lineRule="auto" w:after="20"/>
              <w:jc w:val="right"/>
            </w:pPr>
            <w:r>
              <w:rPr>
                <w:sz w:val="20"/>
              </w:rPr>
              <w:t xml:space="preserve">0.814</w:t>
            </w:r>
          </w:p>
        </w:tc>
        <w:tc>
          <w:tcPr>
            <w:tcW w:type="dxa" w:w="1933"/>
          </w:tcPr>
          <w:p>
            <w:pPr>
              <w:pStyle w:val="Compact"/>
              <w:spacing w:line="240" w:lineRule="auto" w:after="20"/>
              <w:jc w:val="right"/>
            </w:pPr>
            <w:r>
              <w:rPr>
                <w:sz w:val="20"/>
              </w:rPr>
              <w:t xml:space="preserve">0.527</w:t>
            </w:r>
          </w:p>
        </w:tc>
        <w:tc>
          <w:tcPr>
            <w:tcW w:type="dxa" w:w="743"/>
          </w:tcPr>
          <w:p>
            <w:pPr>
              <w:pStyle w:val="Compact"/>
              <w:spacing w:line="240" w:lineRule="auto" w:after="20"/>
              <w:jc w:val="right"/>
            </w:pPr>
            <w:r>
              <w:rPr>
                <w:sz w:val="20"/>
              </w:rPr>
              <w:t xml:space="preserve">0.287</w:t>
            </w:r>
          </w:p>
        </w:tc>
      </w:tr>
      <w:tr>
        <w:trPr>
          <w:cantSplit/>
        </w:trPr>
        <w:tc>
          <w:tcPr>
            <w:tcW w:type="dxa" w:w="2082"/>
          </w:tcPr>
          <w:p>
            <w:pPr>
              <w:pStyle w:val="Compact"/>
              <w:spacing w:line="240" w:lineRule="auto" w:after="20"/>
            </w:pPr>
            <w:r>
              <w:rPr>
                <w:sz w:val="20"/>
              </w:rPr>
              <w:t xml:space="preserve">10 km collar</w:t>
            </w:r>
          </w:p>
        </w:tc>
        <w:tc>
          <w:tcPr>
            <w:tcW w:type="dxa" w:w="4312"/>
          </w:tcPr>
          <w:p>
            <w:pPr>
              <w:pStyle w:val="Compact"/>
              <w:spacing w:line="240" w:lineRule="auto" w:after="20"/>
              <w:jc w:val="right"/>
            </w:pPr>
            <w:r>
              <w:rPr>
                <w:b/>
                <w:bCs/>
                <w:sz w:val="20"/>
              </w:rPr>
              <w:t xml:space="preserve">0.786</w:t>
            </w:r>
          </w:p>
        </w:tc>
        <w:tc>
          <w:tcPr>
            <w:tcW w:type="dxa" w:w="1933"/>
          </w:tcPr>
          <w:p>
            <w:pPr>
              <w:pStyle w:val="Compact"/>
              <w:spacing w:line="240" w:lineRule="auto" w:after="20"/>
              <w:jc w:val="right"/>
            </w:pPr>
            <w:r>
              <w:rPr>
                <w:b/>
                <w:bCs/>
                <w:sz w:val="20"/>
              </w:rPr>
              <w:t xml:space="preserve">0.589</w:t>
            </w:r>
          </w:p>
        </w:tc>
        <w:tc>
          <w:tcPr>
            <w:tcW w:type="dxa" w:w="743"/>
          </w:tcPr>
          <w:p>
            <w:pPr>
              <w:pStyle w:val="Compact"/>
              <w:spacing w:line="240" w:lineRule="auto" w:after="20"/>
              <w:jc w:val="right"/>
            </w:pPr>
            <w:r>
              <w:rPr>
                <w:b/>
                <w:bCs/>
                <w:sz w:val="20"/>
              </w:rPr>
              <w:t xml:space="preserve">0.197</w:t>
            </w:r>
          </w:p>
        </w:tc>
      </w:tr>
      <w:tr>
        <w:trPr>
          <w:cantSplit/>
        </w:trPr>
        <w:tc>
          <w:tcPr>
            <w:tcW w:type="dxa" w:w="2082"/>
          </w:tcPr>
          <w:p>
            <w:pPr>
              <w:pStyle w:val="Compact"/>
              <w:spacing w:line="240" w:lineRule="auto" w:after="20"/>
            </w:pPr>
            <w:r>
              <w:rPr>
                <w:sz w:val="20"/>
              </w:rPr>
              <w:t xml:space="preserve">5 km collar</w:t>
            </w:r>
          </w:p>
        </w:tc>
        <w:tc>
          <w:tcPr>
            <w:tcW w:type="dxa" w:w="4312"/>
          </w:tcPr>
          <w:p>
            <w:pPr>
              <w:pStyle w:val="Compact"/>
              <w:spacing w:line="240" w:lineRule="auto" w:after="20"/>
              <w:jc w:val="right"/>
            </w:pPr>
            <w:r>
              <w:rPr>
                <w:sz w:val="20"/>
              </w:rPr>
              <w:t xml:space="preserve">0.759</w:t>
            </w:r>
          </w:p>
        </w:tc>
        <w:tc>
          <w:tcPr>
            <w:tcW w:type="dxa" w:w="1933"/>
          </w:tcPr>
          <w:p>
            <w:pPr>
              <w:pStyle w:val="Compact"/>
              <w:spacing w:line="240" w:lineRule="auto" w:after="20"/>
              <w:jc w:val="right"/>
            </w:pPr>
            <w:r>
              <w:rPr>
                <w:sz w:val="20"/>
              </w:rPr>
              <w:t xml:space="preserve">0.591</w:t>
            </w:r>
          </w:p>
        </w:tc>
        <w:tc>
          <w:tcPr>
            <w:tcW w:type="dxa" w:w="743"/>
          </w:tcPr>
          <w:p>
            <w:pPr>
              <w:pStyle w:val="Compact"/>
              <w:spacing w:line="240" w:lineRule="auto" w:after="20"/>
              <w:jc w:val="right"/>
            </w:pPr>
            <w:r>
              <w:rPr>
                <w:sz w:val="20"/>
              </w:rPr>
              <w:t xml:space="preserve">0.169</w:t>
            </w:r>
          </w:p>
        </w:tc>
      </w:tr>
    </w:tbl>
    <w:p>
      <w:pPr>
        <w:pStyle w:val="BodyText"/>
      </w:pPr>
      <w:r>
        <w:t xml:space="preserve">Paired by target region, the shortfall on the collar is</w:t>
      </w:r>
      <w:r>
        <w:t xml:space="preserve"> </w:t>
      </w:r>
      <w:r>
        <w:rPr>
          <w:b/>
          <w:bCs/>
        </w:rPr>
        <w:t xml:space="preserve">+0.197 [+0.091, +0.303]</w:t>
      </w:r>
      <w:r>
        <w:t xml:space="preserve"> </w:t>
      </w:r>
      <w:r>
        <w:t xml:space="preserve">(Student</w:t>
      </w:r>
      <w:r>
        <w:t xml:space="preserve"> </w:t>
      </w:r>
      <w:r>
        <w:rPr>
          <w:i/>
          <w:iCs/>
        </w:rPr>
        <w:t xml:space="preserve">t</w:t>
      </w:r>
      <w:r>
        <w:t xml:space="preserve"> </w:t>
      </w:r>
      <w:r>
        <w:t xml:space="preserve">over the five target regions; +0.081 Montiferru, +0.319 Manavgat, +0.172 Muğla, +0.202 Bejís, +0.211</w:t>
      </w:r>
      <w:r>
        <w:t xml:space="preserve"> </w:t>
      </w:r>
      <w:r>
        <w:t xml:space="preserve">Evia). The shortfall remains on every matched row. It is 0.197 on the collar, not the 0.29 of the</w:t>
      </w:r>
      <w:r>
        <w:t xml:space="preserve"> </w:t>
      </w:r>
      <w:r>
        <w:t xml:space="preserve">unmatched comparison, and it becomes smaller as the frame moves closer to the fire. On the 5 km</w:t>
      </w:r>
      <w:r>
        <w:t xml:space="preserve"> </w:t>
      </w:r>
      <w:r>
        <w:t xml:space="preserve">collar, the within-region gain falls by half but stays positive in all five regions, with a mean of</w:t>
      </w:r>
      <w:r>
        <w:t xml:space="preserve"> </w:t>
      </w:r>
      <w:r>
        <w:t xml:space="preserve">+0.042 (Manavgat +0.035).</w:t>
      </w:r>
    </w:p>
    <w:bookmarkEnd w:id="41"/>
    <w:bookmarkStart w:id="42" w:name="Xa3faaca28a905e0cb5490e9d0fd4b7cd085d410"/>
    <w:p>
      <w:pPr>
        <w:pStyle w:val="Heading2"/>
      </w:pPr>
      <w:r>
        <w:t xml:space="preserve">S1.20 The transfer matrix and adaptation, elaborated</w:t>
      </w:r>
    </w:p>
    <w:p>
      <w:pPr>
        <w:pStyle w:val="FirstParagraph"/>
      </w:pPr>
      <w:r>
        <w:t xml:space="preserve">Section 4.5 gives these results.</w:t>
      </w:r>
    </w:p>
    <w:p>
      <w:pPr>
        <w:pStyle w:val="BodyText"/>
      </w:pPr>
      <w:r>
        <w:rPr>
          <w:b/>
          <w:bCs/>
        </w:rPr>
        <w:t xml:space="preserve">Raw transfer.</w:t>
      </w:r>
      <w:r>
        <w:t xml:space="preserve"> </w:t>
      </w:r>
      <w:r>
        <w:t xml:space="preserve">Raw target AUC ranges from 0.314 to 0.677 (Fig. 4). At 2-cell blocking, eleven of</w:t>
      </w:r>
      <w:r>
        <w:t xml:space="preserve"> </w:t>
      </w:r>
      <w:r>
        <w:t xml:space="preserve">20 directions are above chance with interval support and seven are below: both directions between</w:t>
      </w:r>
      <w:r>
        <w:t xml:space="preserve"> </w:t>
      </w:r>
      <w:r>
        <w:t xml:space="preserve">Manavgat and Bejís, both between Manavgat and Muğla, both between Bejís and Evia, and Montiferru to</w:t>
      </w:r>
      <w:r>
        <w:t xml:space="preserve"> </w:t>
      </w:r>
      <w:r>
        <w:t xml:space="preserve">Manavgat. At 10-cell blocking the same point estimates give 9 above, 6 below and 5 uncertain.</w:t>
      </w:r>
      <w:r>
        <w:t xml:space="preserve"> </w:t>
      </w:r>
      <w:r>
        <w:t xml:space="preserve">Manavgat to Muğla loses its support, and no direction changes side of the chance line. Of the</w:t>
      </w:r>
      <w:r>
        <w:t xml:space="preserve"> </w:t>
      </w:r>
      <w:r>
        <w:t xml:space="preserve">directions below chance, Manavgat to Bejís (0.407 [0.323, 0.493]) and Muğla to Manavgat (0.433</w:t>
      </w:r>
      <w:r>
        <w:t xml:space="preserve"> </w:t>
      </w:r>
      <w:r>
        <w:t xml:space="preserve">[0.381, 0.491]) keep interval support on the 10 km collar, but both intervals include chance on the</w:t>
      </w:r>
      <w:r>
        <w:t xml:space="preserve"> </w:t>
      </w:r>
      <w:r>
        <w:t xml:space="preserve">5 km collar. The lowest direction on the original study areas is Bejís to Manavgat, at 0.314 [0.296,</w:t>
      </w:r>
      <w:r>
        <w:t xml:space="preserve"> </w:t>
      </w:r>
      <w:r>
        <w:t xml:space="preserve">0.332].</w:t>
      </w:r>
    </w:p>
    <w:p>
      <w:pPr>
        <w:pStyle w:val="BodyText"/>
      </w:pPr>
      <w:r>
        <w:rPr>
          <w:b/>
          <w:bCs/>
        </w:rPr>
        <w:t xml:space="preserve">Label-free adaptation.</w:t>
      </w:r>
      <w:r>
        <w:t xml:space="preserve"> </w:t>
      </w:r>
      <w:r>
        <w:t xml:space="preserve">Under region-wise z-scoring the twenty directions range from 0.302 to</w:t>
      </w:r>
      <w:r>
        <w:t xml:space="preserve"> </w:t>
      </w:r>
      <w:r>
        <w:t xml:space="preserve">0.630, and under CORAL from 0.406 to 0.624. The change is not uniform: under z-scoring, Bejís to</w:t>
      </w:r>
      <w:r>
        <w:t xml:space="preserve"> </w:t>
      </w:r>
      <w:r>
        <w:t xml:space="preserve">Manavgat falls further below chance, from 0.314 to 0.302. With the better of the two methods in each</w:t>
      </w:r>
      <w:r>
        <w:t xml:space="preserve"> </w:t>
      </w:r>
      <w:r>
        <w:t xml:space="preserve">direction, 15 of the 20 directions end closer to chance and 5 end further from it. Four of these five</w:t>
      </w:r>
      <w:r>
        <w:t xml:space="preserve"> </w:t>
      </w:r>
      <w:r>
        <w:t xml:space="preserve">involve Montiferru and move up. The fifth, Manavgat to Muğla, moves down from 0.438 to 0.427. Under</w:t>
      </w:r>
      <w:r>
        <w:t xml:space="preserve"> </w:t>
      </w:r>
      <w:r>
        <w:t xml:space="preserve">CORAL alone, sixteen of twenty end closer to chance</w:t>
      </w:r>
      <w:r>
        <w:t xml:space="preserve"> </w:t>
      </w:r>
      <w:r>
        <w:t xml:space="preserve">(</w:t>
      </w:r>
      <w:r>
        <w:rPr>
          <w:rStyle w:val="VerbatimChar"/>
        </w:rPr>
        <w:t xml:space="preserve">paper/labelfix_rerun/round5/matrix20_official.csv</w:t>
      </w:r>
      <w:r>
        <w:t xml:space="preserve">). In the six directions where raw transfer was</w:t>
      </w:r>
      <w:r>
        <w:t xml:space="preserve"> </w:t>
      </w:r>
      <w:r>
        <w:t xml:space="preserve">below chance, the best label-free method recovers at most 28 % of the gap to the within-region</w:t>
      </w:r>
      <w:r>
        <w:t xml:space="preserve"> </w:t>
      </w:r>
      <w:r>
        <w:t xml:space="preserve">reference (Bejís to Evia). On the twelve directions of the decomposition, seven show negative</w:t>
      </w:r>
      <w:r>
        <w:t xml:space="preserve"> </w:t>
      </w:r>
      <w:r>
        <w:t xml:space="preserve">recovery (Section S1.10).</w:t>
      </w:r>
    </w:p>
    <w:p>
      <w:pPr>
        <w:pStyle w:val="BodyText"/>
      </w:pPr>
      <w:r>
        <w:rPr>
          <w:b/>
          <w:bCs/>
        </w:rPr>
        <w:t xml:space="preserve">Seed stability.</w:t>
      </w:r>
      <w:r>
        <w:t xml:space="preserve"> </w:t>
      </w:r>
      <w:r>
        <w:t xml:space="preserve">Across five bootstrap seeds, every 2-cell verdict is stable. At 10 cells, one</w:t>
      </w:r>
      <w:r>
        <w:t xml:space="preserve"> </w:t>
      </w:r>
      <w:r>
        <w:t xml:space="preserve">level verdict and two paired-delta verdicts change: the level verdict of Evia to Bejís, and the</w:t>
      </w:r>
      <w:r>
        <w:t xml:space="preserve"> </w:t>
      </w:r>
      <w:r>
        <w:t xml:space="preserve">paired-delta verdicts of Manavgat to Muğla and Evia to Montiferru</w:t>
      </w:r>
      <w:r>
        <w:t xml:space="preserve"> </w:t>
      </w:r>
      <w:r>
        <w:t xml:space="preserve">(</w:t>
      </w:r>
      <w:r>
        <w:rPr>
          <w:rStyle w:val="VerbatimChar"/>
        </w:rPr>
        <w:t xml:space="preserve">paper/labelfix_rerun/round6/seed_stability.json</w:t>
      </w:r>
      <w:r>
        <w:t xml:space="preserve">). The random-forest seed is fixed, so all</w:t>
      </w:r>
      <w:r>
        <w:t xml:space="preserve"> </w:t>
      </w:r>
      <w:r>
        <w:t xml:space="preserve">intervals per direction are conditional on one fitted source model.</w:t>
      </w:r>
    </w:p>
    <w:p>
      <w:pPr>
        <w:pStyle w:val="BodyText"/>
      </w:pPr>
      <w:r>
        <w:rPr>
          <w:b/>
          <w:bCs/>
        </w:rPr>
        <w:t xml:space="preserve">Jackknife.</w:t>
      </w:r>
      <w:r>
        <w:t xml:space="preserve"> </w:t>
      </w:r>
      <w:r>
        <w:t xml:space="preserve">Leaving out one region at a time moves the mean paired contribution between +0.001</w:t>
      </w:r>
      <w:r>
        <w:t xml:space="preserve"> </w:t>
      </w:r>
      <w:r>
        <w:t xml:space="preserve">(without Evia) and +0.015 (without Manavgat). Its sign never changes.</w:t>
      </w:r>
    </w:p>
    <w:bookmarkEnd w:id="42"/>
    <w:bookmarkStart w:id="43" w:name="s1.21-the-similarity-diagnostics"/>
    <w:p>
      <w:pPr>
        <w:pStyle w:val="Heading2"/>
      </w:pPr>
      <w:r>
        <w:t xml:space="preserve">S1.21 The similarity diagnostics</w:t>
      </w:r>
    </w:p>
    <w:p>
      <w:pPr>
        <w:pStyle w:val="FirstParagraph"/>
      </w:pPr>
      <w:r>
        <w:t xml:space="preserve">Twenty similarity measures from five families were each rank-correlated with raw thermal transfer</w:t>
      </w:r>
      <w:r>
        <w:t xml:space="preserve"> </w:t>
      </w:r>
      <w:r>
        <w:t xml:space="preserve">AUC over the directions on which they are defined. One pair-based bootstrap is used for all of them</w:t>
      </w:r>
      <w:r>
        <w:t xml:space="preserve"> </w:t>
      </w:r>
      <w:r>
        <w:t xml:space="preserve">(unordered pairs resampled with replacement, both directions kept, 2000 replicates, seed 42). The</w:t>
      </w:r>
      <w:r>
        <w:t xml:space="preserve"> </w:t>
      </w:r>
      <w:r>
        <w:t xml:space="preserve">measures were defined on 8 August 2026, together with their results under the original label, and</w:t>
      </w:r>
      <w:r>
        <w:t xml:space="preserve"> </w:t>
      </w:r>
      <w:r>
        <w:t xml:space="preserve">were not re-selected after the label correction. Table S17 lists all twenty. The source is</w:t>
      </w:r>
      <w:r>
        <w:t xml:space="preserve"> </w:t>
      </w:r>
      <w:r>
        <w:rPr>
          <w:rStyle w:val="VerbatimChar"/>
        </w:rPr>
        <w:t xml:space="preserve">paper/labelfix_rerun/round5/out_official/all_diagnostics_vs_transfer.csv</w:t>
      </w:r>
      <w:r>
        <w:t xml:space="preserve">, and the original-label</w:t>
      </w:r>
      <w:r>
        <w:t xml:space="preserve"> </w:t>
      </w:r>
      <w:r>
        <w:t xml:space="preserve">values are in</w:t>
      </w:r>
      <w:r>
        <w:t xml:space="preserve"> </w:t>
      </w:r>
      <w:r>
        <w:rPr>
          <w:rStyle w:val="VerbatimChar"/>
        </w:rPr>
        <w:t xml:space="preserve">paper/labelfix_rerun/round5/s6_diagnostics_20.md</w:t>
      </w:r>
      <w:r>
        <w:t xml:space="preserve">.</w:t>
      </w:r>
    </w:p>
    <w:p>
      <w:pPr>
        <w:pStyle w:val="BodyText"/>
      </w:pPr>
      <w:r>
        <w:rPr>
          <w:b/>
          <w:bCs/>
        </w:rPr>
        <w:t xml:space="preserve">On the original study areas, no interpretable measure has an interval that excludes zero.</w:t>
      </w:r>
      <w:r>
        <w:t xml:space="preserve"> </w:t>
      </w:r>
      <w:r>
        <w:t xml:space="preserve">The</w:t>
      </w:r>
      <w:r>
        <w:t xml:space="preserve"> </w:t>
      </w:r>
      <w:r>
        <w:t xml:space="preserve">largest correlations are for the conditional family: the sign-agreement fraction over supported</w:t>
      </w:r>
      <w:r>
        <w:t xml:space="preserve"> </w:t>
      </w:r>
      <w:r>
        <w:t xml:space="preserve">features, at ρ = +0.52 [−0.27, +0.87], and its cosine, at +0.49 [−0.24, +0.87]. Under the original</w:t>
      </w:r>
      <w:r>
        <w:t xml:space="preserve"> </w:t>
      </w:r>
      <w:r>
        <w:t xml:space="preserve">label these two were the only rows with intervals that excluded zero (+0.84 and +0.81). This did not</w:t>
      </w:r>
      <w:r>
        <w:t xml:space="preserve"> </w:t>
      </w:r>
      <w:r>
        <w:t xml:space="preserve">hold after the label correction. The marginal family (applicability, dissimilarity, climatic</w:t>
      </w:r>
      <w:r>
        <w:t xml:space="preserve"> </w:t>
      </w:r>
      <w:r>
        <w:t xml:space="preserve">distance, domain classification), the niche-overlap family and the regime family all include zero.</w:t>
      </w:r>
      <w:r>
        <w:t xml:space="preserve"> </w:t>
      </w:r>
      <w:r>
        <w:t xml:space="preserve">Geographic distance does not order the matrix (ρ = −0.17 [−0.87, +0.84] on the twelve directions</w:t>
      </w:r>
      <w:r>
        <w:t xml:space="preserve"> </w:t>
      </w:r>
      <w:r>
        <w:t xml:space="preserve">where it is defined). The domain classifier separates source from target at AUC ≥ 0.96 for every</w:t>
      </w:r>
      <w:r>
        <w:t xml:space="preserve"> </w:t>
      </w:r>
      <w:r>
        <w:t xml:space="preserve">pair. Because it always succeeds, it gives no ordering. The twentieth measure, the vector Spearman of</w:t>
      </w:r>
      <w:r>
        <w:t xml:space="preserve"> </w:t>
      </w:r>
      <w:r>
        <w:t xml:space="preserve">signed AUCs over supported features, is defined on only six directions. Its interval is degenerate</w:t>
      </w:r>
      <w:r>
        <w:t xml:space="preserve"> </w:t>
      </w:r>
      <w:r>
        <w:t xml:space="preserve">(the upper bound equals the point estimate), so it is listed but not interpreted.</w:t>
      </w:r>
    </w:p>
    <w:p>
      <w:pPr>
        <w:pStyle w:val="BodyText"/>
      </w:pPr>
      <w:r>
        <w:rPr>
          <w:b/>
          <w:bCs/>
        </w:rPr>
        <w:t xml:space="preserve">The collar.</w:t>
      </w:r>
      <w:r>
        <w:t xml:space="preserve"> </w:t>
      </w:r>
      <w:r>
        <w:t xml:space="preserve">Section S1.19 gives the two measures recomputed on the collar. One of them, the</w:t>
      </w:r>
      <w:r>
        <w:t xml:space="preserve"> </w:t>
      </w:r>
      <w:r>
        <w:t xml:space="preserve">all-feature cosine, orders collar transfer with an interval that excludes zero. It is reported with</w:t>
      </w:r>
      <w:r>
        <w:t xml:space="preserve"> </w:t>
      </w:r>
      <w:r>
        <w:t xml:space="preserve">its limits and is not used.</w:t>
      </w:r>
    </w:p>
    <w:p>
      <w:pPr>
        <w:pStyle w:val="BodyText"/>
      </w:pPr>
      <w:r>
        <w:rPr>
          <w:b/>
          <w:bCs/>
        </w:rPr>
        <w:t xml:space="preserve">Limits.</w:t>
      </w:r>
      <w:r>
        <w:t xml:space="preserve"> </w:t>
      </w:r>
      <w:r>
        <w:t xml:space="preserve">Signed associations need burned labels in both regions, so the conditional family cannot</w:t>
      </w:r>
      <w:r>
        <w:t xml:space="preserve"> </w:t>
      </w:r>
      <w:r>
        <w:t xml:space="preserve">be used before a fire. The marginal family can be used, but it fails. Ten independent region pairs</w:t>
      </w:r>
      <w:r>
        <w:t xml:space="preserve"> </w:t>
      </w:r>
      <w:r>
        <w:t xml:space="preserve">give little power, and a moderate ordering would usually be missed. These results therefore show a</w:t>
      </w:r>
      <w:r>
        <w:t xml:space="preserve"> </w:t>
      </w:r>
      <w:r>
        <w:t xml:space="preserve">failure to find an ordering, not proof that none exists (Section S3.5(xiii)). Measures based on</w:t>
      </w:r>
      <w:r>
        <w:t xml:space="preserve"> </w:t>
      </w:r>
      <w:r>
        <w:t xml:space="preserve">interval support are unstable when bounds lie near 0.5 (Section S3.5(viii)).</w:t>
      </w:r>
    </w:p>
    <w:bookmarkEnd w:id="43"/>
    <w:bookmarkStart w:id="44" w:name="s1.22-additional-robustness-analyses"/>
    <w:p>
      <w:pPr>
        <w:pStyle w:val="Heading2"/>
      </w:pPr>
      <w:r>
        <w:t xml:space="preserve">S1.22 Additional robustness analyses</w:t>
      </w:r>
    </w:p>
    <w:p>
      <w:pPr>
        <w:pStyle w:val="FirstParagraph"/>
      </w:pPr>
      <w:r>
        <w:t xml:space="preserve">The analyses in Table S21 were run after the main results. They test whether the main quantities</w:t>
      </w:r>
      <w:r>
        <w:t xml:space="preserve"> </w:t>
      </w:r>
      <w:r>
        <w:t xml:space="preserve">depend on analysis choices. None of them was used to select a reported configuration.</w:t>
      </w:r>
    </w:p>
    <w:p>
      <w:pPr>
        <w:pStyle w:val="BodyText"/>
        <w:keepNext/>
      </w:pPr>
      <w:r>
        <w:rPr>
          <w:b/>
          <w:bCs/>
        </w:rPr>
        <w:t xml:space="preserve">Table S21. Additional robustness analyses (post hoc).</w:t>
      </w:r>
      <w:r>
        <w:t xml:space="preserve"> </w:t>
      </w:r>
      <w:r>
        <w:t xml:space="preserve">Sources under</w:t>
      </w:r>
      <w:r>
        <w:t xml:space="preserve"> </w:t>
      </w:r>
      <w:r>
        <w:rPr>
          <w:rStyle w:val="VerbatimChar"/>
        </w:rPr>
        <w:t xml:space="preserve">paper/labelfix_rerun/</w:t>
      </w:r>
      <w:r>
        <w:t xml:space="preserve">:</w:t>
      </w:r>
      <w:r>
        <w:t xml:space="preserve"> </w:t>
      </w:r>
      <w:r>
        <w:rPr>
          <w:rStyle w:val="VerbatimChar"/>
        </w:rPr>
        <w:t xml:space="preserve">geometry/</w:t>
      </w:r>
      <w:r>
        <w:t xml:space="preserve"> </w:t>
      </w:r>
      <w:r>
        <w:t xml:space="preserve">(a1 to a5),</w:t>
      </w:r>
      <w:r>
        <w:t xml:space="preserve"> </w:t>
      </w:r>
      <w:r>
        <w:rPr>
          <w:rStyle w:val="VerbatimChar"/>
        </w:rPr>
        <w:t xml:space="preserve">inference/</w:t>
      </w:r>
      <w:r>
        <w:t xml:space="preserve"> </w:t>
      </w:r>
      <w:r>
        <w:t xml:space="preserve">(units, equivalence, ladder) and</w:t>
      </w:r>
      <w:r>
        <w:t xml:space="preserve"> </w:t>
      </w:r>
      <w:r>
        <w:rPr>
          <w:rStyle w:val="VerbatimChar"/>
        </w:rPr>
        <w:t xml:space="preserve">round7/</w:t>
      </w:r>
      <w:r>
        <w:t xml:space="preserve">.</w:t>
      </w:r>
    </w:p>
    <w:tbl>
      <w:tblPr>
        <w:tblStyle w:val="Table"/>
        <w:tblW w:type="auto" w:w="0"/>
        <w:tblLook w:firstRow="1" w:lastRow="0" w:firstColumn="0" w:lastColumn="0" w:noHBand="0" w:noVBand="0" w:val="0020"/>
      </w:tblPr>
      <w:tblGrid>
        <w:gridCol w:w="1137"/>
        <w:gridCol w:w="1432"/>
        <w:gridCol w:w="6501"/>
      </w:tblGrid>
      <w:tr>
        <w:trPr>
          <w:tblHeader w:val="on"/>
          <w:cantSplit/>
        </w:trPr>
        <w:tc>
          <w:tcPr>
            <w:tcW w:type="dxa" w:w="1137"/>
          </w:tcPr>
          <w:p>
            <w:pPr>
              <w:pStyle w:val="Compact"/>
              <w:spacing w:line="240" w:lineRule="auto" w:after="20"/>
            </w:pPr>
            <w:r>
              <w:rPr>
                <w:sz w:val="20"/>
              </w:rPr>
              <w:t xml:space="preserve">Analysis</w:t>
            </w:r>
          </w:p>
        </w:tc>
        <w:tc>
          <w:tcPr>
            <w:tcW w:type="dxa" w:w="1432"/>
          </w:tcPr>
          <w:p>
            <w:pPr>
              <w:pStyle w:val="Compact"/>
              <w:spacing w:line="240" w:lineRule="auto" w:after="20"/>
            </w:pPr>
            <w:r>
              <w:rPr>
                <w:sz w:val="20"/>
              </w:rPr>
              <w:t xml:space="preserve">Question</w:t>
            </w:r>
          </w:p>
        </w:tc>
        <w:tc>
          <w:tcPr>
            <w:tcW w:type="dxa" w:w="6501"/>
          </w:tcPr>
          <w:p>
            <w:pPr>
              <w:pStyle w:val="Compact"/>
              <w:spacing w:line="240" w:lineRule="auto" w:after="20"/>
            </w:pPr>
            <w:r>
              <w:rPr>
                <w:sz w:val="20"/>
              </w:rPr>
              <w:t xml:space="preserve">Result</w:t>
            </w:r>
          </w:p>
        </w:tc>
      </w:tr>
      <w:tr>
        <w:trPr>
          <w:cantSplit/>
        </w:trPr>
        <w:tc>
          <w:tcPr>
            <w:tcW w:type="dxa" w:w="1137"/>
          </w:tcPr>
          <w:p>
            <w:pPr>
              <w:pStyle w:val="Compact"/>
              <w:spacing w:line="240" w:lineRule="auto" w:after="20"/>
            </w:pPr>
            <w:r>
              <w:rPr>
                <w:sz w:val="20"/>
              </w:rPr>
              <w:t xml:space="preserve">Edge-excluded frame cost (a1)</w:t>
            </w:r>
          </w:p>
        </w:tc>
        <w:tc>
          <w:tcPr>
            <w:tcW w:type="dxa" w:w="1432"/>
          </w:tcPr>
          <w:p>
            <w:pPr>
              <w:pStyle w:val="Compact"/>
              <w:spacing w:line="240" w:lineRule="auto" w:after="20"/>
            </w:pPr>
            <w:r>
              <w:rPr>
                <w:sz w:val="20"/>
              </w:rPr>
              <w:t xml:space="preserve">Is the frame cost carried by the scar’s edge cells?</w:t>
            </w:r>
          </w:p>
        </w:tc>
        <w:tc>
          <w:tcPr>
            <w:tcW w:type="dxa" w:w="6501"/>
          </w:tcPr>
          <w:p>
            <w:pPr>
              <w:pStyle w:val="Compact"/>
              <w:spacing w:line="240" w:lineRule="auto" w:after="20"/>
            </w:pPr>
            <w:r>
              <w:rPr>
                <w:sz w:val="20"/>
              </w:rPr>
              <w:t xml:space="preserve">Over nine scars, excluding 0, 1 or 2 cells of the scar edge gives A − B = 0.147 [0.086, 0.208], 0.137 [0.069, 0.205] and 0.129 [0.055, 0.204]; with the region as unit 0.160, 0.150 and 0.145, every interval above zero</w:t>
            </w:r>
          </w:p>
        </w:tc>
      </w:tr>
      <w:tr>
        <w:trPr>
          <w:cantSplit/>
        </w:trPr>
        <w:tc>
          <w:tcPr>
            <w:tcW w:type="dxa" w:w="1137"/>
          </w:tcPr>
          <w:p>
            <w:pPr>
              <w:pStyle w:val="Compact"/>
              <w:spacing w:line="240" w:lineRule="auto" w:after="20"/>
            </w:pPr>
            <w:r>
              <w:rPr>
                <w:sz w:val="20"/>
              </w:rPr>
              <w:t xml:space="preserve">Placebo collars (a2)</w:t>
            </w:r>
          </w:p>
        </w:tc>
        <w:tc>
          <w:tcPr>
            <w:tcW w:type="dxa" w:w="1432"/>
          </w:tcPr>
          <w:p>
            <w:pPr>
              <w:pStyle w:val="Compact"/>
              <w:spacing w:line="240" w:lineRule="auto" w:after="20"/>
            </w:pPr>
            <w:r>
              <w:rPr>
                <w:sz w:val="20"/>
              </w:rPr>
              <w:t xml:space="preserve">Is the cost a property of any fire-shaped frame?</w:t>
            </w:r>
          </w:p>
        </w:tc>
        <w:tc>
          <w:tcPr>
            <w:tcW w:type="dxa" w:w="6501"/>
          </w:tcPr>
          <w:p>
            <w:pPr>
              <w:pStyle w:val="Compact"/>
              <w:spacing w:line="240" w:lineRule="auto" w:after="20"/>
            </w:pPr>
            <w:r>
              <w:rPr>
                <w:sz w:val="20"/>
              </w:rPr>
              <w:t xml:space="preserve">The scar’s real positives scored against the negatives of a same-shaped collar placed away from any burned cell reproduce A (A − placebo −0.002 [−0.056, +0.052], eight scars with placements); the real collar costs +0.155 [+0.108, +0.202] more, so the cost is the fire-adjacent negatives</w:t>
            </w:r>
          </w:p>
        </w:tc>
      </w:tr>
      <w:tr>
        <w:trPr>
          <w:cantSplit/>
        </w:trPr>
        <w:tc>
          <w:tcPr>
            <w:tcW w:type="dxa" w:w="1137"/>
          </w:tcPr>
          <w:p>
            <w:pPr>
              <w:pStyle w:val="Compact"/>
              <w:spacing w:line="240" w:lineRule="auto" w:after="20"/>
            </w:pPr>
            <w:r>
              <w:rPr>
                <w:sz w:val="20"/>
              </w:rPr>
              <w:t xml:space="preserve">Frame cost against the share of distant cells (a3)</w:t>
            </w:r>
          </w:p>
        </w:tc>
        <w:tc>
          <w:tcPr>
            <w:tcW w:type="dxa" w:w="1432"/>
          </w:tcPr>
          <w:p>
            <w:pPr>
              <w:pStyle w:val="Compact"/>
              <w:spacing w:line="240" w:lineRule="auto" w:after="20"/>
            </w:pPr>
            <w:r>
              <w:rPr>
                <w:sz w:val="20"/>
              </w:rPr>
              <w:t xml:space="preserve">Is the cost larger where the study area has more distant cells?</w:t>
            </w:r>
          </w:p>
        </w:tc>
        <w:tc>
          <w:tcPr>
            <w:tcW w:type="dxa" w:w="6501"/>
          </w:tcPr>
          <w:p>
            <w:pPr>
              <w:pStyle w:val="Compact"/>
              <w:spacing w:line="240" w:lineRule="auto" w:after="20"/>
            </w:pPr>
            <w:r>
              <w:rPr>
                <w:sz w:val="20"/>
              </w:rPr>
              <w:t xml:space="preserve">No. Region-level slope 0.005 [−0.41, +0.42], r = 0.02 (n = 5); scar-level slope −0.049 [−0.34, +0.24] (n = 9, scars not independent). The test has little power</w:t>
            </w:r>
          </w:p>
        </w:tc>
      </w:tr>
      <w:tr>
        <w:trPr>
          <w:cantSplit/>
        </w:trPr>
        <w:tc>
          <w:tcPr>
            <w:tcW w:type="dxa" w:w="1137"/>
          </w:tcPr>
          <w:p>
            <w:pPr>
              <w:pStyle w:val="Compact"/>
              <w:spacing w:line="240" w:lineRule="auto" w:after="20"/>
            </w:pPr>
            <w:r>
              <w:rPr>
                <w:sz w:val="20"/>
              </w:rPr>
              <w:t xml:space="preserve">Label-free target frames (a4)</w:t>
            </w:r>
          </w:p>
        </w:tc>
        <w:tc>
          <w:tcPr>
            <w:tcW w:type="dxa" w:w="1432"/>
          </w:tcPr>
          <w:p>
            <w:pPr>
              <w:pStyle w:val="Compact"/>
              <w:spacing w:line="240" w:lineRule="auto" w:after="20"/>
            </w:pPr>
            <w:r>
              <w:rPr>
                <w:sz w:val="20"/>
              </w:rPr>
              <w:t xml:space="preserve">Does a frame drawn without target labels change transfer?</w:t>
            </w:r>
          </w:p>
        </w:tc>
        <w:tc>
          <w:tcPr>
            <w:tcW w:type="dxa" w:w="6501"/>
          </w:tcPr>
          <w:p>
            <w:pPr>
              <w:pStyle w:val="Compact"/>
              <w:spacing w:line="240" w:lineRule="auto" w:after="20"/>
            </w:pPr>
            <w:r>
              <w:rPr>
                <w:sz w:val="20"/>
              </w:rPr>
              <w:t xml:space="preserve">Trimming the target to the source’s per-feature range, or to the source’s area of applicability</w:t>
            </w:r>
            <w:r>
              <w:rPr>
                <w:sz w:val="20"/>
              </w:rPr>
              <w:t xml:space="preserve"> </w:t>
            </w:r>
            <w:r>
              <w:rPr>
                <w:sz w:val="20"/>
              </w:rPr>
              <w:t xml:space="preserve">(Meyer and Pebesma 2021)</w:t>
            </w:r>
            <w:r>
              <w:rPr>
                <w:sz w:val="20"/>
              </w:rPr>
              <w:t xml:space="preserve">, gives means of 0.520 to 0.574, and a 20 km window 0.482; every paired thermal Δ interval spans zero</w:t>
            </w:r>
          </w:p>
        </w:tc>
      </w:tr>
      <w:tr>
        <w:trPr>
          <w:cantSplit/>
        </w:trPr>
        <w:tc>
          <w:tcPr>
            <w:tcW w:type="dxa" w:w="1137"/>
          </w:tcPr>
          <w:p>
            <w:pPr>
              <w:pStyle w:val="Compact"/>
              <w:spacing w:line="240" w:lineRule="auto" w:after="20"/>
            </w:pPr>
            <w:r>
              <w:rPr>
                <w:sz w:val="20"/>
              </w:rPr>
              <w:t xml:space="preserve">Metric dependence (a5)</w:t>
            </w:r>
          </w:p>
        </w:tc>
        <w:tc>
          <w:tcPr>
            <w:tcW w:type="dxa" w:w="1432"/>
          </w:tcPr>
          <w:p>
            <w:pPr>
              <w:pStyle w:val="Compact"/>
              <w:spacing w:line="240" w:lineRule="auto" w:after="20"/>
            </w:pPr>
            <w:r>
              <w:rPr>
                <w:sz w:val="20"/>
              </w:rPr>
              <w:t xml:space="preserve">Is the frame cost specific to ROC-AUC?</w:t>
            </w:r>
          </w:p>
        </w:tc>
        <w:tc>
          <w:tcPr>
            <w:tcW w:type="dxa" w:w="6501"/>
          </w:tcPr>
          <w:p>
            <w:pPr>
              <w:pStyle w:val="Compact"/>
              <w:spacing w:line="240" w:lineRule="auto" w:after="20"/>
            </w:pPr>
            <w:r>
              <w:rPr>
                <w:sz w:val="20"/>
              </w:rPr>
              <w:t xml:space="preserve">Region-wide minus scar-frame over nine scars: partial AUC (FPR ≤ 0.1) 0.088 [0.048, 0.128]; average precision −0.342 [−0.477, −0.206], higher on the scar frame because its prevalence is higher</w:t>
            </w:r>
          </w:p>
        </w:tc>
      </w:tr>
      <w:tr>
        <w:trPr>
          <w:cantSplit/>
        </w:trPr>
        <w:tc>
          <w:tcPr>
            <w:tcW w:type="dxa" w:w="1137"/>
          </w:tcPr>
          <w:p>
            <w:pPr>
              <w:pStyle w:val="Compact"/>
              <w:spacing w:line="240" w:lineRule="auto" w:after="20"/>
            </w:pPr>
            <w:r>
              <w:rPr>
                <w:sz w:val="20"/>
              </w:rPr>
              <w:t xml:space="preserve">Collar within-region increment</w:t>
            </w:r>
          </w:p>
        </w:tc>
        <w:tc>
          <w:tcPr>
            <w:tcW w:type="dxa" w:w="1432"/>
          </w:tcPr>
          <w:p>
            <w:pPr>
              <w:pStyle w:val="Compact"/>
              <w:spacing w:line="240" w:lineRule="auto" w:after="20"/>
            </w:pPr>
            <w:r>
              <w:rPr>
                <w:sz w:val="20"/>
              </w:rPr>
              <w:t xml:space="preserve">Does the within-region increment survive the collar?</w:t>
            </w:r>
          </w:p>
        </w:tc>
        <w:tc>
          <w:tcPr>
            <w:tcW w:type="dxa" w:w="6501"/>
          </w:tcPr>
          <w:p>
            <w:pPr>
              <w:pStyle w:val="Compact"/>
              <w:spacing w:line="240" w:lineRule="auto" w:after="20"/>
            </w:pPr>
            <w:r>
              <w:rPr>
                <w:sz w:val="20"/>
              </w:rPr>
              <w:t xml:space="preserve">+0.083 [+0.037, +0.129] over five regions (Student</w:t>
            </w:r>
            <w:r>
              <w:rPr>
                <w:sz w:val="20"/>
              </w:rPr>
              <w:t xml:space="preserve"> </w:t>
            </w:r>
            <w:r>
              <w:rPr>
                <w:i/>
                <w:iCs/>
                <w:sz w:val="20"/>
              </w:rPr>
              <w:t xml:space="preserve">t</w:t>
            </w:r>
            <w:r>
              <w:rPr>
                <w:sz w:val="20"/>
              </w:rPr>
              <w:t xml:space="preserve">), against +0.087 [+0.037, +0.136] as drawn</w:t>
            </w:r>
          </w:p>
        </w:tc>
      </w:tr>
      <w:tr>
        <w:trPr>
          <w:cantSplit/>
        </w:trPr>
        <w:tc>
          <w:tcPr>
            <w:tcW w:type="dxa" w:w="1137"/>
          </w:tcPr>
          <w:p>
            <w:pPr>
              <w:pStyle w:val="Compact"/>
              <w:spacing w:line="240" w:lineRule="auto" w:after="20"/>
            </w:pPr>
            <w:r>
              <w:rPr>
                <w:sz w:val="20"/>
              </w:rPr>
              <w:t xml:space="preserve">Equalised Δ by resampling unit</w:t>
            </w:r>
          </w:p>
        </w:tc>
        <w:tc>
          <w:tcPr>
            <w:tcW w:type="dxa" w:w="1432"/>
          </w:tcPr>
          <w:p>
            <w:pPr>
              <w:pStyle w:val="Compact"/>
              <w:spacing w:line="240" w:lineRule="auto" w:after="20"/>
            </w:pPr>
            <w:r>
              <w:rPr>
                <w:sz w:val="20"/>
              </w:rPr>
              <w:t xml:space="preserve">Does the collar Δ exclude zero?</w:t>
            </w:r>
          </w:p>
        </w:tc>
        <w:tc>
          <w:tcPr>
            <w:tcW w:type="dxa" w:w="6501"/>
          </w:tcPr>
          <w:p>
            <w:pPr>
              <w:pStyle w:val="Compact"/>
              <w:spacing w:line="240" w:lineRule="auto" w:after="20"/>
            </w:pPr>
            <w:r>
              <w:rPr>
                <w:sz w:val="20"/>
              </w:rPr>
              <w:t xml:space="preserve">Table S31: two of six computable units exclude zero; the two-way estimators are undefined</w:t>
            </w:r>
          </w:p>
        </w:tc>
      </w:tr>
      <w:tr>
        <w:trPr>
          <w:cantSplit/>
        </w:trPr>
        <w:tc>
          <w:tcPr>
            <w:tcW w:type="dxa" w:w="1137"/>
          </w:tcPr>
          <w:p>
            <w:pPr>
              <w:pStyle w:val="Compact"/>
              <w:spacing w:line="240" w:lineRule="auto" w:after="20"/>
            </w:pPr>
            <w:r>
              <w:rPr>
                <w:sz w:val="20"/>
              </w:rPr>
              <w:t xml:space="preserve">Equivalence of the equalised Δ</w:t>
            </w:r>
          </w:p>
        </w:tc>
        <w:tc>
          <w:tcPr>
            <w:tcW w:type="dxa" w:w="1432"/>
          </w:tcPr>
          <w:p>
            <w:pPr>
              <w:pStyle w:val="Compact"/>
              <w:spacing w:line="240" w:lineRule="auto" w:after="20"/>
            </w:pPr>
            <w:r>
              <w:rPr>
                <w:sz w:val="20"/>
              </w:rPr>
              <w:t xml:space="preserve">How large a gain is excluded?</w:t>
            </w:r>
          </w:p>
        </w:tc>
        <w:tc>
          <w:tcPr>
            <w:tcW w:type="dxa" w:w="6501"/>
          </w:tcPr>
          <w:p>
            <w:pPr>
              <w:pStyle w:val="Compact"/>
              <w:spacing w:line="240" w:lineRule="auto" w:after="20"/>
            </w:pPr>
            <w:r>
              <w:rPr>
                <w:sz w:val="20"/>
              </w:rPr>
              <w:t xml:space="preserve">Within ±0.05 under four of six computable units; no gain above 0.047 at 90 % (pair cluster); not within ±0.02 under any unit</w:t>
            </w:r>
          </w:p>
        </w:tc>
      </w:tr>
      <w:tr>
        <w:trPr>
          <w:cantSplit/>
        </w:trPr>
        <w:tc>
          <w:tcPr>
            <w:tcW w:type="dxa" w:w="1137"/>
          </w:tcPr>
          <w:p>
            <w:pPr>
              <w:pStyle w:val="Compact"/>
              <w:spacing w:line="240" w:lineRule="auto" w:after="20"/>
            </w:pPr>
            <w:r>
              <w:rPr>
                <w:sz w:val="20"/>
              </w:rPr>
              <w:t xml:space="preserve">Within minus transfer increment</w:t>
            </w:r>
          </w:p>
        </w:tc>
        <w:tc>
          <w:tcPr>
            <w:tcW w:type="dxa" w:w="1432"/>
          </w:tcPr>
          <w:p>
            <w:pPr>
              <w:pStyle w:val="Compact"/>
              <w:spacing w:line="240" w:lineRule="auto" w:after="20"/>
            </w:pPr>
            <w:r>
              <w:rPr>
                <w:sz w:val="20"/>
              </w:rPr>
              <w:t xml:space="preserve">Is the local-versus-portable contrast itself supported?</w:t>
            </w:r>
          </w:p>
        </w:tc>
        <w:tc>
          <w:tcPr>
            <w:tcW w:type="dxa" w:w="6501"/>
          </w:tcPr>
          <w:p>
            <w:pPr>
              <w:pStyle w:val="Compact"/>
              <w:spacing w:line="240" w:lineRule="auto" w:after="20"/>
            </w:pPr>
            <w:r>
              <w:rPr>
                <w:sz w:val="20"/>
              </w:rPr>
              <w:t xml:space="preserve">Full frame +0.079 [+0.014, +0.145]; 10 km collar +0.059 [+0.007, +0.110]; 5 km collar +0.026 [−0.012, +0.063]</w:t>
            </w:r>
          </w:p>
        </w:tc>
      </w:tr>
      <w:tr>
        <w:trPr>
          <w:cantSplit/>
        </w:trPr>
        <w:tc>
          <w:tcPr>
            <w:tcW w:type="dxa" w:w="1137"/>
          </w:tcPr>
          <w:p>
            <w:pPr>
              <w:pStyle w:val="Compact"/>
              <w:spacing w:line="240" w:lineRule="auto" w:after="20"/>
            </w:pPr>
            <w:r>
              <w:rPr>
                <w:sz w:val="20"/>
              </w:rPr>
              <w:t xml:space="preserve">Reversal multiplicity</w:t>
            </w:r>
          </w:p>
        </w:tc>
        <w:tc>
          <w:tcPr>
            <w:tcW w:type="dxa" w:w="1432"/>
          </w:tcPr>
          <w:p>
            <w:pPr>
              <w:pStyle w:val="Compact"/>
              <w:spacing w:line="240" w:lineRule="auto" w:after="20"/>
            </w:pPr>
            <w:r>
              <w:rPr>
                <w:sz w:val="20"/>
              </w:rPr>
              <w:t xml:space="preserve">Do the collar reversals survive correction?</w:t>
            </w:r>
          </w:p>
        </w:tc>
        <w:tc>
          <w:tcPr>
            <w:tcW w:type="dxa" w:w="6501"/>
          </w:tcPr>
          <w:p>
            <w:pPr>
              <w:pStyle w:val="Compact"/>
              <w:spacing w:line="240" w:lineRule="auto" w:after="20"/>
            </w:pPr>
            <w:r>
              <w:rPr>
                <w:sz w:val="20"/>
              </w:rPr>
              <w:t xml:space="preserve">Table S30: two per-comparison reversals, none after Holm intersection-union</w:t>
            </w:r>
          </w:p>
        </w:tc>
      </w:tr>
      <w:tr>
        <w:trPr>
          <w:cantSplit/>
        </w:trPr>
        <w:tc>
          <w:tcPr>
            <w:tcW w:type="dxa" w:w="1137"/>
          </w:tcPr>
          <w:p>
            <w:pPr>
              <w:pStyle w:val="Compact"/>
              <w:spacing w:line="240" w:lineRule="auto" w:after="20"/>
            </w:pPr>
            <w:r>
              <w:rPr>
                <w:sz w:val="20"/>
              </w:rPr>
              <w:t xml:space="preserve">scikit-learn version</w:t>
            </w:r>
          </w:p>
        </w:tc>
        <w:tc>
          <w:tcPr>
            <w:tcW w:type="dxa" w:w="1432"/>
          </w:tcPr>
          <w:p>
            <w:pPr>
              <w:pStyle w:val="Compact"/>
              <w:spacing w:line="240" w:lineRule="auto" w:after="20"/>
            </w:pPr>
            <w:r>
              <w:rPr>
                <w:sz w:val="20"/>
              </w:rPr>
              <w:t xml:space="preserve">Do point estimates depend on the library version?</w:t>
            </w:r>
          </w:p>
        </w:tc>
        <w:tc>
          <w:tcPr>
            <w:tcW w:type="dxa" w:w="6501"/>
          </w:tcPr>
          <w:p>
            <w:pPr>
              <w:pStyle w:val="Compact"/>
              <w:spacing w:line="240" w:lineRule="auto" w:after="20"/>
            </w:pPr>
            <w:r>
              <w:rPr>
                <w:sz w:val="20"/>
              </w:rPr>
              <w:t xml:space="preserve">Under 1.5.2 against 1.9.0, single directions move by up to 0.047 and means by at most 0.003; one support count changes (</w:t>
            </w:r>
            <w:r>
              <w:rPr>
                <w:rStyle w:val="VerbatimChar"/>
                <w:sz w:val="20"/>
              </w:rPr>
              <w:t xml:space="preserve">round7/sklearn152/compare_vs_1_9_0.json</w:t>
            </w:r>
            <w:r>
              <w:rPr>
                <w:sz w:val="20"/>
              </w:rPr>
              <w:t xml:space="preserve">)</w:t>
            </w:r>
          </w:p>
        </w:tc>
      </w:tr>
    </w:tbl>
    <w:p>
      <w:pPr>
        <w:pStyle w:val="BodyText"/>
        <w:keepNext/>
      </w:pPr>
      <w:r>
        <w:rPr>
          <w:b/>
          <w:bCs/>
        </w:rPr>
        <w:t xml:space="preserve">Table S31. The equalised (10 km collar) paired contribution by resampling unit.</w:t>
      </w:r>
      <w:r>
        <w:t xml:space="preserve"> </w:t>
      </w:r>
      <w:r>
        <w:t xml:space="preserve">20,000</w:t>
      </w:r>
      <w:r>
        <w:t xml:space="preserve"> </w:t>
      </w:r>
      <w:r>
        <w:t xml:space="preserve">replicates where resampled; 95 % intervals. Source</w:t>
      </w:r>
      <w:r>
        <w:t xml:space="preserve"> </w:t>
      </w:r>
      <w:r>
        <w:rPr>
          <w:rStyle w:val="VerbatimChar"/>
        </w:rPr>
        <w:t xml:space="preserve">paper/labelfix_rerun/inference/units.json</w:t>
      </w:r>
      <w:r>
        <w:t xml:space="preserve">.</w:t>
      </w:r>
    </w:p>
    <w:tbl>
      <w:tblPr>
        <w:tblStyle w:val="Table"/>
        <w:tblW w:type="auto" w:w="0"/>
        <w:tblLook w:firstRow="1" w:lastRow="0" w:firstColumn="0" w:lastColumn="0" w:noHBand="0" w:noVBand="0" w:val="0020"/>
      </w:tblPr>
      <w:tblGrid>
        <w:gridCol w:w="4640"/>
        <w:gridCol w:w="3058"/>
        <w:gridCol w:w="1371"/>
      </w:tblGrid>
      <w:tr>
        <w:trPr>
          <w:tblHeader w:val="on"/>
          <w:cantSplit/>
        </w:trPr>
        <w:tc>
          <w:tcPr>
            <w:tcW w:type="dxa" w:w="4640"/>
          </w:tcPr>
          <w:p>
            <w:pPr>
              <w:pStyle w:val="Compact"/>
              <w:spacing w:line="240" w:lineRule="auto" w:after="20"/>
            </w:pPr>
            <w:r>
              <w:rPr>
                <w:sz w:val="20"/>
              </w:rPr>
              <w:t xml:space="preserve">Unit</w:t>
            </w:r>
          </w:p>
        </w:tc>
        <w:tc>
          <w:tcPr>
            <w:tcW w:type="dxa" w:w="3058"/>
          </w:tcPr>
          <w:p>
            <w:pPr>
              <w:pStyle w:val="Compact"/>
              <w:spacing w:line="240" w:lineRule="auto" w:after="20"/>
            </w:pPr>
            <w:r>
              <w:rPr>
                <w:sz w:val="20"/>
              </w:rPr>
              <w:t xml:space="preserve">95 % interval</w:t>
            </w:r>
          </w:p>
        </w:tc>
        <w:tc>
          <w:tcPr>
            <w:tcW w:type="dxa" w:w="1371"/>
          </w:tcPr>
          <w:p>
            <w:pPr>
              <w:pStyle w:val="Compact"/>
              <w:spacing w:line="240" w:lineRule="auto" w:after="20"/>
            </w:pPr>
            <w:r>
              <w:rPr>
                <w:sz w:val="20"/>
              </w:rPr>
              <w:t xml:space="preserve">Excludes zero</w:t>
            </w:r>
          </w:p>
        </w:tc>
      </w:tr>
      <w:tr>
        <w:trPr>
          <w:cantSplit/>
        </w:trPr>
        <w:tc>
          <w:tcPr>
            <w:tcW w:type="dxa" w:w="4640"/>
          </w:tcPr>
          <w:p>
            <w:pPr>
              <w:pStyle w:val="Compact"/>
              <w:spacing w:line="240" w:lineRule="auto" w:after="20"/>
            </w:pPr>
            <w:r>
              <w:rPr>
                <w:sz w:val="20"/>
              </w:rPr>
              <w:t xml:space="preserve">Directions, naive</w:t>
            </w:r>
          </w:p>
        </w:tc>
        <w:tc>
          <w:tcPr>
            <w:tcW w:type="dxa" w:w="3058"/>
          </w:tcPr>
          <w:p>
            <w:pPr>
              <w:pStyle w:val="Compact"/>
              <w:spacing w:line="240" w:lineRule="auto" w:after="20"/>
            </w:pPr>
            <w:r>
              <w:rPr>
                <w:sz w:val="20"/>
              </w:rPr>
              <w:t xml:space="preserve">[−0.001, +0.049]</w:t>
            </w:r>
          </w:p>
        </w:tc>
        <w:tc>
          <w:tcPr>
            <w:tcW w:type="dxa" w:w="1371"/>
          </w:tcPr>
          <w:p>
            <w:pPr>
              <w:pStyle w:val="Compact"/>
              <w:spacing w:line="240" w:lineRule="auto" w:after="20"/>
            </w:pPr>
            <w:r>
              <w:rPr>
                <w:sz w:val="20"/>
              </w:rPr>
              <w:t xml:space="preserve">no</w:t>
            </w:r>
          </w:p>
        </w:tc>
      </w:tr>
      <w:tr>
        <w:trPr>
          <w:cantSplit/>
        </w:trPr>
        <w:tc>
          <w:tcPr>
            <w:tcW w:type="dxa" w:w="4640"/>
          </w:tcPr>
          <w:p>
            <w:pPr>
              <w:pStyle w:val="Compact"/>
              <w:spacing w:line="240" w:lineRule="auto" w:after="20"/>
            </w:pPr>
            <w:r>
              <w:rPr>
                <w:sz w:val="20"/>
              </w:rPr>
              <w:t xml:space="preserve">Unordered pairs, cluster bootstrap (primary)</w:t>
            </w:r>
          </w:p>
        </w:tc>
        <w:tc>
          <w:tcPr>
            <w:tcW w:type="dxa" w:w="3058"/>
          </w:tcPr>
          <w:p>
            <w:pPr>
              <w:pStyle w:val="Compact"/>
              <w:spacing w:line="240" w:lineRule="auto" w:after="20"/>
            </w:pPr>
            <w:r>
              <w:rPr>
                <w:sz w:val="20"/>
              </w:rPr>
              <w:t xml:space="preserve">[−0.003, +0.051]</w:t>
            </w:r>
          </w:p>
        </w:tc>
        <w:tc>
          <w:tcPr>
            <w:tcW w:type="dxa" w:w="1371"/>
          </w:tcPr>
          <w:p>
            <w:pPr>
              <w:pStyle w:val="Compact"/>
              <w:spacing w:line="240" w:lineRule="auto" w:after="20"/>
            </w:pPr>
            <w:r>
              <w:rPr>
                <w:sz w:val="20"/>
              </w:rPr>
              <w:t xml:space="preserve">no</w:t>
            </w:r>
          </w:p>
        </w:tc>
      </w:tr>
      <w:tr>
        <w:trPr>
          <w:cantSplit/>
        </w:trPr>
        <w:tc>
          <w:tcPr>
            <w:tcW w:type="dxa" w:w="4640"/>
          </w:tcPr>
          <w:p>
            <w:pPr>
              <w:pStyle w:val="Compact"/>
              <w:spacing w:line="240" w:lineRule="auto" w:after="20"/>
            </w:pPr>
            <w:r>
              <w:rPr>
                <w:sz w:val="20"/>
              </w:rPr>
              <w:t xml:space="preserve">Target region, cluster bootstrap</w:t>
            </w:r>
          </w:p>
        </w:tc>
        <w:tc>
          <w:tcPr>
            <w:tcW w:type="dxa" w:w="3058"/>
          </w:tcPr>
          <w:p>
            <w:pPr>
              <w:pStyle w:val="Compact"/>
              <w:spacing w:line="240" w:lineRule="auto" w:after="20"/>
            </w:pPr>
            <w:r>
              <w:rPr>
                <w:sz w:val="20"/>
              </w:rPr>
              <w:t xml:space="preserve">[+0.010, +0.040]</w:t>
            </w:r>
          </w:p>
        </w:tc>
        <w:tc>
          <w:tcPr>
            <w:tcW w:type="dxa" w:w="1371"/>
          </w:tcPr>
          <w:p>
            <w:pPr>
              <w:pStyle w:val="Compact"/>
              <w:spacing w:line="240" w:lineRule="auto" w:after="20"/>
            </w:pPr>
            <w:r>
              <w:rPr>
                <w:sz w:val="20"/>
              </w:rPr>
              <w:t xml:space="preserve">yes</w:t>
            </w:r>
          </w:p>
        </w:tc>
      </w:tr>
      <w:tr>
        <w:trPr>
          <w:cantSplit/>
        </w:trPr>
        <w:tc>
          <w:tcPr>
            <w:tcW w:type="dxa" w:w="4640"/>
          </w:tcPr>
          <w:p>
            <w:pPr>
              <w:pStyle w:val="Compact"/>
              <w:spacing w:line="240" w:lineRule="auto" w:after="20"/>
            </w:pPr>
            <w:r>
              <w:rPr>
                <w:sz w:val="20"/>
              </w:rPr>
              <w:t xml:space="preserve">Source region, cluster bootstrap</w:t>
            </w:r>
          </w:p>
        </w:tc>
        <w:tc>
          <w:tcPr>
            <w:tcW w:type="dxa" w:w="3058"/>
          </w:tcPr>
          <w:p>
            <w:pPr>
              <w:pStyle w:val="Compact"/>
              <w:spacing w:line="240" w:lineRule="auto" w:after="20"/>
            </w:pPr>
            <w:r>
              <w:rPr>
                <w:sz w:val="20"/>
              </w:rPr>
              <w:t xml:space="preserve">[+0.010, +0.042]</w:t>
            </w:r>
          </w:p>
        </w:tc>
        <w:tc>
          <w:tcPr>
            <w:tcW w:type="dxa" w:w="1371"/>
          </w:tcPr>
          <w:p>
            <w:pPr>
              <w:pStyle w:val="Compact"/>
              <w:spacing w:line="240" w:lineRule="auto" w:after="20"/>
            </w:pPr>
            <w:r>
              <w:rPr>
                <w:sz w:val="20"/>
              </w:rPr>
              <w:t xml:space="preserve">yes</w:t>
            </w:r>
          </w:p>
        </w:tc>
      </w:tr>
      <w:tr>
        <w:trPr>
          <w:cantSplit/>
        </w:trPr>
        <w:tc>
          <w:tcPr>
            <w:tcW w:type="dxa" w:w="4640"/>
          </w:tcPr>
          <w:p>
            <w:pPr>
              <w:pStyle w:val="Compact"/>
              <w:spacing w:line="240" w:lineRule="auto" w:after="20"/>
            </w:pPr>
            <w:r>
              <w:rPr>
                <w:sz w:val="20"/>
              </w:rPr>
              <w:t xml:space="preserve">Pigeonhole (source and target)</w:t>
            </w:r>
          </w:p>
        </w:tc>
        <w:tc>
          <w:tcPr>
            <w:tcW w:type="dxa" w:w="3058"/>
          </w:tcPr>
          <w:p>
            <w:pPr>
              <w:pStyle w:val="Compact"/>
              <w:spacing w:line="240" w:lineRule="auto" w:after="20"/>
            </w:pPr>
            <w:r>
              <w:rPr>
                <w:sz w:val="20"/>
              </w:rPr>
              <w:t xml:space="preserve">[−0.005, +0.060]</w:t>
            </w:r>
          </w:p>
        </w:tc>
        <w:tc>
          <w:tcPr>
            <w:tcW w:type="dxa" w:w="1371"/>
          </w:tcPr>
          <w:p>
            <w:pPr>
              <w:pStyle w:val="Compact"/>
              <w:spacing w:line="240" w:lineRule="auto" w:after="20"/>
            </w:pPr>
            <w:r>
              <w:rPr>
                <w:sz w:val="20"/>
              </w:rPr>
              <w:t xml:space="preserve">no</w:t>
            </w:r>
          </w:p>
        </w:tc>
      </w:tr>
      <w:tr>
        <w:trPr>
          <w:cantSplit/>
        </w:trPr>
        <w:tc>
          <w:tcPr>
            <w:tcW w:type="dxa" w:w="4640"/>
          </w:tcPr>
          <w:p>
            <w:pPr>
              <w:pStyle w:val="Compact"/>
              <w:spacing w:line="240" w:lineRule="auto" w:after="20"/>
            </w:pPr>
            <w:r>
              <w:rPr>
                <w:sz w:val="20"/>
              </w:rPr>
              <w:t xml:space="preserve">Two-way cluster (CGM)</w:t>
            </w:r>
          </w:p>
        </w:tc>
        <w:tc>
          <w:tcPr>
            <w:tcW w:type="dxa" w:w="3058"/>
          </w:tcPr>
          <w:p>
            <w:pPr>
              <w:pStyle w:val="Compact"/>
              <w:spacing w:line="240" w:lineRule="auto" w:after="20"/>
            </w:pPr>
            <w:r>
              <w:rPr>
                <w:sz w:val="20"/>
              </w:rPr>
              <w:t xml:space="preserve">undefined (negative variance)</w:t>
            </w:r>
          </w:p>
        </w:tc>
        <w:tc>
          <w:tcPr>
            <w:tcW w:type="dxa" w:w="1371"/>
          </w:tcPr>
          <w:p>
            <w:pPr>
              <w:pStyle w:val="Compact"/>
              <w:spacing w:line="240" w:lineRule="auto" w:after="20"/>
            </w:pPr>
            <w:r>
              <w:rPr>
                <w:sz w:val="20"/>
              </w:rPr>
              <w:t xml:space="preserve">n/a</w:t>
            </w:r>
          </w:p>
        </w:tc>
      </w:tr>
      <w:tr>
        <w:trPr>
          <w:cantSplit/>
        </w:trPr>
        <w:tc>
          <w:tcPr>
            <w:tcW w:type="dxa" w:w="4640"/>
          </w:tcPr>
          <w:p>
            <w:pPr>
              <w:pStyle w:val="Compact"/>
              <w:spacing w:line="240" w:lineRule="auto" w:after="20"/>
            </w:pPr>
            <w:r>
              <w:rPr>
                <w:sz w:val="20"/>
              </w:rPr>
              <w:t xml:space="preserve">Dyadic-robust</w:t>
            </w:r>
          </w:p>
        </w:tc>
        <w:tc>
          <w:tcPr>
            <w:tcW w:type="dxa" w:w="3058"/>
          </w:tcPr>
          <w:p>
            <w:pPr>
              <w:pStyle w:val="Compact"/>
              <w:spacing w:line="240" w:lineRule="auto" w:after="20"/>
            </w:pPr>
            <w:r>
              <w:rPr>
                <w:sz w:val="20"/>
              </w:rPr>
              <w:t xml:space="preserve">undefined (negative variance)</w:t>
            </w:r>
          </w:p>
        </w:tc>
        <w:tc>
          <w:tcPr>
            <w:tcW w:type="dxa" w:w="1371"/>
          </w:tcPr>
          <w:p>
            <w:pPr>
              <w:pStyle w:val="Compact"/>
              <w:spacing w:line="240" w:lineRule="auto" w:after="20"/>
            </w:pPr>
            <w:r>
              <w:rPr>
                <w:sz w:val="20"/>
              </w:rPr>
              <w:t xml:space="preserve">n/a</w:t>
            </w:r>
          </w:p>
        </w:tc>
      </w:tr>
      <w:tr>
        <w:trPr>
          <w:cantSplit/>
        </w:trPr>
        <w:tc>
          <w:tcPr>
            <w:tcW w:type="dxa" w:w="4640"/>
          </w:tcPr>
          <w:p>
            <w:pPr>
              <w:pStyle w:val="Compact"/>
              <w:spacing w:line="240" w:lineRule="auto" w:after="20"/>
            </w:pPr>
            <w:r>
              <w:rPr>
                <w:sz w:val="20"/>
              </w:rPr>
              <w:t xml:space="preserve">Leave-one-region-out jackknife,</w:t>
            </w:r>
            <w:r>
              <w:rPr>
                <w:sz w:val="20"/>
              </w:rPr>
              <w:t xml:space="preserve"> </w:t>
            </w:r>
            <w:r>
              <w:rPr>
                <w:i/>
                <w:iCs/>
                <w:sz w:val="20"/>
              </w:rPr>
              <w:t xml:space="preserve">t</w:t>
            </w:r>
          </w:p>
        </w:tc>
        <w:tc>
          <w:tcPr>
            <w:tcW w:type="dxa" w:w="3058"/>
          </w:tcPr>
          <w:p>
            <w:pPr>
              <w:pStyle w:val="Compact"/>
              <w:spacing w:line="240" w:lineRule="auto" w:after="20"/>
            </w:pPr>
            <w:r>
              <w:rPr>
                <w:sz w:val="20"/>
              </w:rPr>
              <w:t xml:space="preserve">[−0.017, +0.065]</w:t>
            </w:r>
          </w:p>
        </w:tc>
        <w:tc>
          <w:tcPr>
            <w:tcW w:type="dxa" w:w="1371"/>
          </w:tcPr>
          <w:p>
            <w:pPr>
              <w:pStyle w:val="Compact"/>
              <w:spacing w:line="240" w:lineRule="auto" w:after="20"/>
            </w:pPr>
            <w:r>
              <w:rPr>
                <w:sz w:val="20"/>
              </w:rPr>
              <w:t xml:space="preserve">no</w:t>
            </w:r>
          </w:p>
        </w:tc>
      </w:tr>
    </w:tbl>
    <w:p>
      <w:pPr>
        <w:pStyle w:val="BodyText"/>
      </w:pPr>
      <w:r>
        <w:t xml:space="preserve">The primary unit is the pair cluster (Section 3.7), and on it the paired contribution on the collar</w:t>
      </w:r>
      <w:r>
        <w:t xml:space="preserve"> </w:t>
      </w:r>
      <w:r>
        <w:t xml:space="preserve">includes zero. With five regions, a percentile bootstrap over regions has at most 126 distinct</w:t>
      </w:r>
      <w:r>
        <w:t xml:space="preserve"> </w:t>
      </w:r>
      <w:r>
        <w:t xml:space="preserve">resamples, so the two region-clustered intervals are coarse.</w:t>
      </w:r>
    </w:p>
    <w:bookmarkEnd w:id="44"/>
    <w:bookmarkStart w:id="45" w:name="X846699622cf221dea11b473d6ee6b95fc892f6f"/>
    <w:p>
      <w:pPr>
        <w:pStyle w:val="Heading2"/>
      </w:pPr>
      <w:r>
        <w:t xml:space="preserve">S1.23 Analyses added after the pre-submission review</w:t>
      </w:r>
    </w:p>
    <w:p>
      <w:pPr>
        <w:pStyle w:val="FirstParagraph"/>
      </w:pPr>
      <w:r>
        <w:t xml:space="preserve">The analyses in Table S35 were run after an internal review of the manuscript. They test the</w:t>
      </w:r>
      <w:r>
        <w:t xml:space="preserve"> </w:t>
      </w:r>
      <w:r>
        <w:t xml:space="preserve">main results against the fitted forest, the adaptation method, the inference, the land-cover map,</w:t>
      </w:r>
      <w:r>
        <w:t xml:space="preserve"> </w:t>
      </w:r>
      <w:r>
        <w:t xml:space="preserve">the burned-area product, terrain aspect and a weather reference. Sources are in</w:t>
      </w:r>
      <w:r>
        <w:t xml:space="preserve"> </w:t>
      </w:r>
      <w:r>
        <w:rPr>
          <w:rStyle w:val="VerbatimChar"/>
        </w:rPr>
        <w:t xml:space="preserve">paper/labelfix_rerun/round8/</w:t>
      </w:r>
      <w:r>
        <w:t xml:space="preserve">, which also</w:t>
      </w:r>
      <w:r>
        <w:t xml:space="preserve"> </w:t>
      </w:r>
      <w:r>
        <w:t xml:space="preserve">describes each script.</w:t>
      </w:r>
    </w:p>
    <w:p>
      <w:pPr>
        <w:pStyle w:val="BodyText"/>
        <w:keepNext/>
      </w:pPr>
      <w:r>
        <w:rPr>
          <w:b/>
          <w:bCs/>
        </w:rPr>
        <w:t xml:space="preserve">Table S35. Analyses added after the pre-submission review (post hoc).</w:t>
      </w:r>
    </w:p>
    <w:tbl>
      <w:tblPr>
        <w:tblStyle w:val="Table"/>
        <w:tblW w:type="pct" w:w="5000"/>
        <w:tblLayout w:type="fixed"/>
        <w:tblLook w:firstRow="1" w:lastRow="0" w:firstColumn="0" w:lastColumn="0" w:noHBand="0" w:noVBand="0" w:val="0020"/>
      </w:tblPr>
      <w:tblGrid>
        <w:gridCol w:w="1482"/>
        <w:gridCol w:w="521"/>
        <w:gridCol w:w="7067"/>
      </w:tblGrid>
      <w:tr>
        <w:trPr>
          <w:tblHeader w:val="on"/>
          <w:cantSplit/>
        </w:trPr>
        <w:tc>
          <w:tcPr>
            <w:tcW w:type="dxa" w:w="1482"/>
          </w:tcPr>
          <w:p>
            <w:pPr>
              <w:pStyle w:val="Compact"/>
              <w:spacing w:line="240" w:lineRule="auto" w:after="20"/>
            </w:pPr>
            <w:r>
              <w:rPr>
                <w:sz w:val="20"/>
              </w:rPr>
              <w:t xml:space="preserve">Analysis</w:t>
            </w:r>
          </w:p>
        </w:tc>
        <w:tc>
          <w:tcPr>
            <w:tcW w:type="dxa" w:w="521"/>
          </w:tcPr>
          <w:p>
            <w:pPr>
              <w:pStyle w:val="Compact"/>
              <w:spacing w:line="240" w:lineRule="auto" w:after="20"/>
            </w:pPr>
            <w:r>
              <w:rPr>
                <w:sz w:val="20"/>
              </w:rPr>
              <w:t xml:space="preserve">Question</w:t>
            </w:r>
          </w:p>
        </w:tc>
        <w:tc>
          <w:tcPr>
            <w:tcW w:type="dxa" w:w="7067"/>
          </w:tcPr>
          <w:p>
            <w:pPr>
              <w:pStyle w:val="Compact"/>
              <w:spacing w:line="240" w:lineRule="auto" w:after="20"/>
            </w:pPr>
            <w:r>
              <w:rPr>
                <w:sz w:val="20"/>
              </w:rPr>
              <w:t xml:space="preserve">Result</w:t>
            </w:r>
          </w:p>
        </w:tc>
      </w:tr>
      <w:tr>
        <w:trPr>
          <w:cantSplit/>
        </w:trPr>
        <w:tc>
          <w:tcPr>
            <w:tcW w:type="dxa" w:w="1482"/>
          </w:tcPr>
          <w:p>
            <w:pPr>
              <w:pStyle w:val="Compact"/>
              <w:spacing w:line="240" w:lineRule="auto" w:after="20"/>
            </w:pPr>
            <w:r>
              <w:rPr>
                <w:sz w:val="20"/>
              </w:rPr>
              <w:t xml:space="preserve">Random-forest seed (R8a)</w:t>
            </w:r>
          </w:p>
        </w:tc>
        <w:tc>
          <w:tcPr>
            <w:tcW w:type="dxa" w:w="521"/>
          </w:tcPr>
          <w:p>
            <w:pPr>
              <w:pStyle w:val="Compact"/>
              <w:spacing w:line="240" w:lineRule="auto" w:after="20"/>
            </w:pPr>
            <w:r>
              <w:rPr>
                <w:sz w:val="20"/>
              </w:rPr>
              <w:t xml:space="preserve">Do the transfer results depend on the fitted forest?</w:t>
            </w:r>
          </w:p>
        </w:tc>
        <w:tc>
          <w:tcPr>
            <w:tcW w:type="dxa" w:w="7067"/>
          </w:tcPr>
          <w:p>
            <w:pPr>
              <w:pStyle w:val="Compact"/>
              <w:spacing w:line="240" w:lineRule="auto" w:after="20"/>
            </w:pPr>
            <w:r>
              <w:rPr>
                <w:sz w:val="20"/>
              </w:rPr>
              <w:t xml:space="preserve">With ten seeds, mean transfer on the original study areas ranged from 0.525 to 0.530 and the mean thermal gain from +0.005 to +0.008. The seed-to-seed standard deviation of a direction had a median of 0.005 (maximum 0.015), and no direction changed side of chance. On the 10 km collar, mean transfer ranged from 0.588 to 0.592, and one direction (Montiferru to Manavgat) changed side. Averaging the predictions of the ten forests gave 0.527 (gain +0.006) and 0.590 (gain +0.025). Seed 42 reproduces the published matrix exactly</w:t>
            </w:r>
          </w:p>
        </w:tc>
      </w:tr>
      <w:tr>
        <w:trPr>
          <w:cantSplit/>
        </w:trPr>
        <w:tc>
          <w:tcPr>
            <w:tcW w:type="dxa" w:w="1482"/>
          </w:tcPr>
          <w:p>
            <w:pPr>
              <w:pStyle w:val="Compact"/>
              <w:spacing w:line="240" w:lineRule="auto" w:after="20"/>
            </w:pPr>
            <w:r>
              <w:rPr>
                <w:sz w:val="20"/>
              </w:rPr>
              <w:t xml:space="preserve">CORAL variants and placebo (R8c)</w:t>
            </w:r>
          </w:p>
        </w:tc>
        <w:tc>
          <w:tcPr>
            <w:tcW w:type="dxa" w:w="521"/>
          </w:tcPr>
          <w:p>
            <w:pPr>
              <w:pStyle w:val="Compact"/>
              <w:spacing w:line="240" w:lineRule="auto" w:after="20"/>
            </w:pPr>
            <w:r>
              <w:rPr>
                <w:sz w:val="20"/>
              </w:rPr>
              <w:t xml:space="preserve">Is the movement toward chance specific to aligning with the target?</w:t>
            </w:r>
          </w:p>
        </w:tc>
        <w:tc>
          <w:tcPr>
            <w:tcW w:type="dxa" w:w="7067"/>
          </w:tcPr>
          <w:p>
            <w:pPr>
              <w:pStyle w:val="Compact"/>
              <w:spacing w:line="240" w:lineRule="auto" w:after="20"/>
            </w:pPr>
            <w:r>
              <w:rPr>
                <w:sz w:val="20"/>
              </w:rPr>
              <w:t xml:space="preserve">CORAL with λ = 1 gave a mean of 0.512 and CORAL on two thermal principal components 0.523, against 0.527 without adaptation. A placebo that aligns the source with the covariance of a third region instead of the target gave 0.507 and moved 15 of 20 directions closer to chance, against 16 of 20 for CORAL. The movement is therefore not specific to the target. The published CORAL values were reproduced to within 0.009</w:t>
            </w:r>
          </w:p>
        </w:tc>
      </w:tr>
      <w:tr>
        <w:trPr>
          <w:cantSplit/>
        </w:trPr>
        <w:tc>
          <w:tcPr>
            <w:tcW w:type="dxa" w:w="1482"/>
          </w:tcPr>
          <w:p>
            <w:pPr>
              <w:pStyle w:val="Compact"/>
              <w:spacing w:line="240" w:lineRule="auto" w:after="20"/>
            </w:pPr>
            <w:r>
              <w:rPr>
                <w:sz w:val="20"/>
              </w:rPr>
              <w:t xml:space="preserve">Permutation test of the similarity measures (R8d)</w:t>
            </w:r>
          </w:p>
        </w:tc>
        <w:tc>
          <w:tcPr>
            <w:tcW w:type="dxa" w:w="521"/>
          </w:tcPr>
          <w:p>
            <w:pPr>
              <w:pStyle w:val="Compact"/>
              <w:spacing w:line="240" w:lineRule="auto" w:after="20"/>
            </w:pPr>
            <w:r>
              <w:rPr>
                <w:sz w:val="20"/>
              </w:rPr>
              <w:t xml:space="preserve">Does any measure predict transfer under a permutation test?</w:t>
            </w:r>
          </w:p>
        </w:tc>
        <w:tc>
          <w:tcPr>
            <w:tcW w:type="dxa" w:w="7067"/>
          </w:tcPr>
          <w:p>
            <w:pPr>
              <w:pStyle w:val="Compact"/>
              <w:spacing w:line="240" w:lineRule="auto" w:after="20"/>
            </w:pPr>
            <w:r>
              <w:rPr>
                <w:sz w:val="20"/>
              </w:rPr>
              <w:t xml:space="preserve">No. With all 120 permutations of the five regions, the smallest two-sided p-value was 0.10 (vector Spearman, six directions only); the two supported-feature conditional measures gave 0.125 and 0.15, and all other measures 0.15 or more. Because all five region labels are permuted for every measure, the smallest attainable p-value is</w:t>
            </w:r>
          </w:p>
        </w:tc>
      </w:tr>
      <w:tr>
        <w:trPr>
          <w:cantSplit/>
        </w:trPr>
        <w:tc>
          <w:tcPr>
            <w:tcW w:type="dxa" w:w="1482"/>
          </w:tcPr>
          <w:p>
            <w:pPr>
              <w:pStyle w:val="Compact"/>
              <w:spacing w:line="240" w:lineRule="auto" w:after="20"/>
            </w:pPr>
            <w:r>
              <w:rPr>
                <w:sz w:val="20"/>
              </w:rPr>
              <w:t xml:space="preserve">1/120. Without Manavgat, most correlations are based on 2 to 12 directions; some rise, for example the supported-feature agreement to ρ = 0.70 (10 directions) and climatic distance to ρ = 0.72 (6 directions), but none of these samples can support inference</w:t>
            </w:r>
          </w:p>
        </w:tc>
        <w:tc>
          <w:tcPr>
            <w:tcW w:type="dxa" w:w="521"/>
          </w:tcPr>
          <w:p>
            <w:pPr>
              <w:pStyle w:val="Compact"/>
              <w:spacing w:line="240" w:lineRule="auto" w:after="20"/>
            </w:pPr>
          </w:p>
        </w:tc>
        <w:tc>
          <w:tcPr>
            <w:tcW w:type="dxa" w:w="7067"/>
          </w:tcPr>
          <w:p>
            <w:pPr>
              <w:pStyle w:val="Compact"/>
              <w:spacing w:line="240" w:lineRule="auto" w:after="20"/>
            </w:pPr>
          </w:p>
        </w:tc>
      </w:tr>
      <w:tr>
        <w:trPr>
          <w:cantSplit/>
        </w:trPr>
        <w:tc>
          <w:tcPr>
            <w:tcW w:type="dxa" w:w="1482"/>
          </w:tcPr>
          <w:p>
            <w:pPr>
              <w:pStyle w:val="Compact"/>
              <w:spacing w:line="240" w:lineRule="auto" w:after="20"/>
            </w:pPr>
            <w:r>
              <w:rPr>
                <w:sz w:val="20"/>
              </w:rPr>
              <w:t xml:space="preserve">Without Manavgat (R8d)</w:t>
            </w:r>
          </w:p>
        </w:tc>
        <w:tc>
          <w:tcPr>
            <w:tcW w:type="dxa" w:w="521"/>
          </w:tcPr>
          <w:p>
            <w:pPr>
              <w:pStyle w:val="Compact"/>
              <w:spacing w:line="240" w:lineRule="auto" w:after="20"/>
            </w:pPr>
            <w:r>
              <w:rPr>
                <w:sz w:val="20"/>
              </w:rPr>
              <w:t xml:space="preserve">Does one region drive the transfer results?</w:t>
            </w:r>
          </w:p>
        </w:tc>
        <w:tc>
          <w:tcPr>
            <w:tcW w:type="dxa" w:w="7067"/>
          </w:tcPr>
          <w:p>
            <w:pPr>
              <w:pStyle w:val="Compact"/>
              <w:spacing w:line="240" w:lineRule="auto" w:after="20"/>
            </w:pPr>
            <w:r>
              <w:rPr>
                <w:sz w:val="20"/>
              </w:rPr>
              <w:t xml:space="preserve">Without the eight directions that involve Manavgat, mean transfer was 0.566 on the original study areas (two of twelve directions below chance) and 0.631 on the 10 km collar (none below chance). The thermal gain was +0.015 and +0.032. Transfer is better without Manavgat, but it stays far below within-region skill</w:t>
            </w:r>
          </w:p>
        </w:tc>
      </w:tr>
      <w:tr>
        <w:trPr>
          <w:cantSplit/>
        </w:trPr>
        <w:tc>
          <w:tcPr>
            <w:tcW w:type="dxa" w:w="1482"/>
          </w:tcPr>
          <w:p>
            <w:pPr>
              <w:pStyle w:val="Compact"/>
              <w:spacing w:line="240" w:lineRule="auto" w:after="20"/>
            </w:pPr>
            <w:r>
              <w:rPr>
                <w:sz w:val="20"/>
              </w:rPr>
              <w:t xml:space="preserve">Equivalence on the original study areas (R8d)</w:t>
            </w:r>
          </w:p>
        </w:tc>
        <w:tc>
          <w:tcPr>
            <w:tcW w:type="dxa" w:w="521"/>
          </w:tcPr>
          <w:p>
            <w:pPr>
              <w:pStyle w:val="Compact"/>
              <w:spacing w:line="240" w:lineRule="auto" w:after="20"/>
            </w:pPr>
            <w:r>
              <w:rPr>
                <w:sz w:val="20"/>
              </w:rPr>
              <w:t xml:space="preserve">Is the as-drawn thermal gain within ±0.05?</w:t>
            </w:r>
          </w:p>
        </w:tc>
        <w:tc>
          <w:tcPr>
            <w:tcW w:type="dxa" w:w="7067"/>
          </w:tcPr>
          <w:p>
            <w:pPr>
              <w:pStyle w:val="Compact"/>
              <w:spacing w:line="240" w:lineRule="auto" w:after="20"/>
            </w:pPr>
            <w:r>
              <w:rPr>
                <w:sz w:val="20"/>
              </w:rPr>
              <w:t xml:space="preserve">Yes, under all six resampling units that can be computed; the 90 % upper bounds range from 0.021 to 0.037. It is not within ±0.02 under any unit</w:t>
            </w:r>
          </w:p>
        </w:tc>
      </w:tr>
      <w:tr>
        <w:trPr>
          <w:cantSplit/>
        </w:trPr>
        <w:tc>
          <w:tcPr>
            <w:tcW w:type="dxa" w:w="1482"/>
          </w:tcPr>
          <w:p>
            <w:pPr>
              <w:pStyle w:val="Compact"/>
              <w:spacing w:line="240" w:lineRule="auto" w:after="20"/>
            </w:pPr>
            <w:r>
              <w:rPr>
                <w:sz w:val="20"/>
              </w:rPr>
              <w:t xml:space="preserve">Intervals for Table S27 (R8e)</w:t>
            </w:r>
          </w:p>
        </w:tc>
        <w:tc>
          <w:tcPr>
            <w:tcW w:type="dxa" w:w="521"/>
          </w:tcPr>
          <w:p>
            <w:pPr>
              <w:pStyle w:val="Compact"/>
              <w:spacing w:line="240" w:lineRule="auto" w:after="20"/>
            </w:pPr>
            <w:r>
              <w:rPr>
                <w:sz w:val="20"/>
              </w:rPr>
              <w:t xml:space="preserve">Are the stratified LST associations supported?</w:t>
            </w:r>
          </w:p>
        </w:tc>
        <w:tc>
          <w:tcPr>
            <w:tcW w:type="dxa" w:w="7067"/>
          </w:tcPr>
          <w:p>
            <w:pPr>
              <w:pStyle w:val="Compact"/>
              <w:spacing w:line="240" w:lineRule="auto" w:after="20"/>
            </w:pPr>
            <w:r>
              <w:rPr>
                <w:sz w:val="20"/>
              </w:rPr>
              <w:t xml:space="preserve">On the 10 km collar, the Manavgat LST association within elevation deciles is 0.403 [0.343, 0.464], and after removing the linear effect of elevation 0.409 [0.350, 0.475]; both intervals exclude 0.5. On the original study area the values are 0.455 [0.396, 0.509] and 0.446 [0.387, 0.502], which include 0.5</w:t>
            </w:r>
          </w:p>
        </w:tc>
      </w:tr>
      <w:tr>
        <w:trPr>
          <w:cantSplit/>
        </w:trPr>
        <w:tc>
          <w:tcPr>
            <w:tcW w:type="dxa" w:w="1482"/>
          </w:tcPr>
          <w:p>
            <w:pPr>
              <w:pStyle w:val="Compact"/>
              <w:spacing w:line="240" w:lineRule="auto" w:after="20"/>
            </w:pPr>
            <w:r>
              <w:rPr>
                <w:sz w:val="20"/>
              </w:rPr>
              <w:t xml:space="preserve">Capture of burned cells (R8b, R8g)</w:t>
            </w:r>
          </w:p>
        </w:tc>
        <w:tc>
          <w:tcPr>
            <w:tcW w:type="dxa" w:w="521"/>
          </w:tcPr>
          <w:p>
            <w:pPr>
              <w:pStyle w:val="Compact"/>
              <w:spacing w:line="240" w:lineRule="auto" w:after="20"/>
            </w:pPr>
            <w:r>
              <w:rPr>
                <w:sz w:val="20"/>
              </w:rPr>
              <w:t xml:space="preserve">How many burned cells fall in the highest-scored cells?</w:t>
            </w:r>
          </w:p>
        </w:tc>
        <w:tc>
          <w:tcPr>
            <w:tcW w:type="dxa" w:w="7067"/>
          </w:tcPr>
          <w:p>
            <w:pPr>
              <w:pStyle w:val="Compact"/>
              <w:spacing w:line="240" w:lineRule="auto" w:after="20"/>
            </w:pPr>
            <w:r>
              <w:rPr>
                <w:sz w:val="20"/>
              </w:rPr>
              <w:t xml:space="preserve">In transfer, the 10 % of target cells with the highest thermal scores contained on average 10.3 % of the burned cells (range 0.7 % to 27.1 %), which is what a random ranking gives; eight of twenty directions were below it. The top 20 % contained 19.9 %. Within regions (5 km blocking) the top 10 % contained 35.5 % of the burned cells on average (18.9 % to 44.5 %), and the top 20 % contained 55.7 %</w:t>
            </w:r>
          </w:p>
        </w:tc>
      </w:tr>
      <w:tr>
        <w:trPr>
          <w:cantSplit/>
        </w:trPr>
        <w:tc>
          <w:tcPr>
            <w:tcW w:type="dxa" w:w="1482"/>
          </w:tcPr>
          <w:p>
            <w:pPr>
              <w:pStyle w:val="Compact"/>
              <w:spacing w:line="240" w:lineRule="auto" w:after="20"/>
            </w:pPr>
            <w:r>
              <w:rPr>
                <w:sz w:val="20"/>
              </w:rPr>
              <w:t xml:space="preserve">Pre-fire land cover (R8i, R8j)</w:t>
            </w:r>
          </w:p>
        </w:tc>
        <w:tc>
          <w:tcPr>
            <w:tcW w:type="dxa" w:w="521"/>
          </w:tcPr>
          <w:p>
            <w:pPr>
              <w:pStyle w:val="Compact"/>
              <w:spacing w:line="240" w:lineRule="auto" w:after="20"/>
            </w:pPr>
            <w:r>
              <w:rPr>
                <w:sz w:val="20"/>
              </w:rPr>
              <w:t xml:space="preserve">Does the post-fire WorldCover v200 map (2021 images) affect the population or the results?</w:t>
            </w:r>
          </w:p>
        </w:tc>
        <w:tc>
          <w:tcPr>
            <w:tcW w:type="dxa" w:w="7067"/>
          </w:tcPr>
          <w:p>
            <w:pPr>
              <w:pStyle w:val="Compact"/>
              <w:spacing w:line="240" w:lineRule="auto" w:after="20"/>
            </w:pPr>
            <w:r>
              <w:rPr>
                <w:sz w:val="20"/>
              </w:rPr>
              <w:t xml:space="preserve">The 2020 map (v100) was fetched on each region’s 30 m grid and aggregated to the same cells; the same procedure applied to v200 reproduces the pipeline’s raster and every cell value of the modelling datasets exactly. With the 2020 map, at most 43 burned cells left or entered the natural-vegetation population in Manavgat, Bejís, Muğla and Evia. In Montiferru, 142 burned cells entered it: the share of burned modelled cells with a natural-vegetation fraction of at least 0.5 rose from 0.773 to 0.977, so the 2021 map left out about a fifth of the burned natural vegetation there. This share is computed on the modelled cells and is not the gate fraction of Table S15 (0.723 for Montiferru with the 2021 map), which the gate computes on its own inputs. The within-region thermal gain (5 km blocking) changed from +0.062, +0.045, +0.079, +0.148 and +0.099 to +0.060, +0.071, +0.083, +0.155 and +0.095 (Manavgat, Bejís, Muğla, Evia, Montiferru). Mean transfer changed from 0.527 to 0.513, and the mean thermal gain in transfer from +0.007 to +0.013; seven directions were below chance with both maps, and no direction changed side. Part of the class changes reflects the different algorithms of v100 and v200, not the fires</w:t>
            </w:r>
          </w:p>
        </w:tc>
      </w:tr>
      <w:tr>
        <w:trPr>
          <w:cantSplit/>
        </w:trPr>
        <w:tc>
          <w:tcPr>
            <w:tcW w:type="dxa" w:w="1482"/>
          </w:tcPr>
          <w:p>
            <w:pPr>
              <w:pStyle w:val="Compact"/>
              <w:spacing w:line="240" w:lineRule="auto" w:after="20"/>
            </w:pPr>
            <w:r>
              <w:rPr>
                <w:sz w:val="20"/>
              </w:rPr>
              <w:t xml:space="preserve">Second burned-area product (R8k, R8m)</w:t>
            </w:r>
          </w:p>
        </w:tc>
        <w:tc>
          <w:tcPr>
            <w:tcW w:type="dxa" w:w="521"/>
          </w:tcPr>
          <w:p>
            <w:pPr>
              <w:pStyle w:val="Compact"/>
              <w:spacing w:line="240" w:lineRule="auto" w:after="20"/>
            </w:pPr>
            <w:r>
              <w:rPr>
                <w:sz w:val="20"/>
              </w:rPr>
              <w:t xml:space="preserve">Do the results depend on MCD64A1?</w:t>
            </w:r>
          </w:p>
        </w:tc>
        <w:tc>
          <w:tcPr>
            <w:tcW w:type="dxa" w:w="7067"/>
          </w:tcPr>
          <w:p>
            <w:pPr>
              <w:pStyle w:val="Compact"/>
              <w:spacing w:line="240" w:lineRule="auto" w:after="20"/>
            </w:pPr>
            <w:r>
              <w:rPr>
                <w:sz w:val="20"/>
              </w:rPr>
              <w:t xml:space="preserve">The MCD64A1 labels fetched again from Earth Engine reproduce the modelling datasets exactly in all five regions. VIIRS VNP64A1 v002 labels, built the same way, agree with them with a Jaccard index of 0.941, 0.950, 0.925, 0.978 and 0.865 (Manavgat, Bejís, Muğla, Evia, Montiferru). With VNP64A1 labels, the within-region thermal gain (5 km blocking) is +0.057, +0.055, +0.089, +0.147 and +0.082; the elevation association of Manavgat is 0.228 (0.232 with MCD64A1); mean transfer is 0.525 (0.527), the mean thermal gain in transfer +0.005 (+0.007), seven directions are below chance with both products, and no direction changes side</w:t>
            </w:r>
          </w:p>
        </w:tc>
      </w:tr>
      <w:tr>
        <w:trPr>
          <w:cantSplit/>
        </w:trPr>
        <w:tc>
          <w:tcPr>
            <w:tcW w:type="dxa" w:w="1482"/>
          </w:tcPr>
          <w:p>
            <w:pPr>
              <w:pStyle w:val="Compact"/>
              <w:spacing w:line="240" w:lineRule="auto" w:after="20"/>
            </w:pPr>
            <w:r>
              <w:rPr>
                <w:sz w:val="20"/>
              </w:rPr>
              <w:t xml:space="preserve">Terrain aspect (R8k, R8m, R8n)</w:t>
            </w:r>
          </w:p>
        </w:tc>
        <w:tc>
          <w:tcPr>
            <w:tcW w:type="dxa" w:w="521"/>
          </w:tcPr>
          <w:p>
            <w:pPr>
              <w:pStyle w:val="Compact"/>
              <w:spacing w:line="240" w:lineRule="auto" w:after="20"/>
            </w:pPr>
            <w:r>
              <w:rPr>
                <w:sz w:val="20"/>
              </w:rPr>
              <w:t xml:space="preserve">Does aspect explain the thermal gain or the LST sign?</w:t>
            </w:r>
          </w:p>
        </w:tc>
        <w:tc>
          <w:tcPr>
            <w:tcW w:type="dxa" w:w="7067"/>
          </w:tcPr>
          <w:p>
            <w:pPr>
              <w:pStyle w:val="Compact"/>
              <w:spacing w:line="240" w:lineRule="auto" w:after="20"/>
            </w:pPr>
            <w:r>
              <w:rPr>
                <w:sz w:val="20"/>
              </w:rPr>
              <w:t xml:space="preserve">Northness and eastness from the Copernicus DEM were added to both feature sets. The within-region thermal gain (5 km blocking) became +0.051 [+0.030, +0.070], +0.044 [+0.025, +0.065], +0.073 [+0.047, +0.099] and +0.139 [+0.109, +0.173] in Manavgat, Bejís, Muğla and Evia, and +0.020 [−0.025, +0.066] in Montiferru, against +0.099 [+0.017, +0.186] without aspect there. Within northness deciles, the LST association is 0.652, 0.482, 0.317, 0.376 and 0.417 (raw 0.665, 0.478, 0.324, 0.377 and 0.370, with missing values filled by the median, so they differ from Table S9 in the third decimal), so aspect does not change its sign</w:t>
            </w:r>
          </w:p>
        </w:tc>
      </w:tr>
      <w:tr>
        <w:trPr>
          <w:cantSplit/>
        </w:trPr>
        <w:tc>
          <w:tcPr>
            <w:tcW w:type="dxa" w:w="1482"/>
          </w:tcPr>
          <w:p>
            <w:pPr>
              <w:pStyle w:val="Compact"/>
              <w:spacing w:line="240" w:lineRule="auto" w:after="20"/>
            </w:pPr>
            <w:r>
              <w:rPr>
                <w:sz w:val="20"/>
              </w:rPr>
              <w:t xml:space="preserve">Weather reference (R8o)</w:t>
            </w:r>
          </w:p>
        </w:tc>
        <w:tc>
          <w:tcPr>
            <w:tcW w:type="dxa" w:w="521"/>
          </w:tcPr>
          <w:p>
            <w:pPr>
              <w:pStyle w:val="Compact"/>
              <w:spacing w:line="240" w:lineRule="auto" w:after="20"/>
            </w:pPr>
            <w:r>
              <w:rPr>
                <w:sz w:val="20"/>
              </w:rPr>
              <w:t xml:space="preserve">Do the thermal channels follow weather anomalies?</w:t>
            </w:r>
          </w:p>
        </w:tc>
        <w:tc>
          <w:tcPr>
            <w:tcW w:type="dxa" w:w="7067"/>
          </w:tcPr>
          <w:p>
            <w:pPr>
              <w:pStyle w:val="Compact"/>
              <w:spacing w:line="240" w:lineRule="auto" w:after="20"/>
            </w:pPr>
            <w:r>
              <w:rPr>
                <w:sz w:val="20"/>
              </w:rPr>
              <w:t xml:space="preserve">Descriptively, across the five regions the mean Landsat LST anomaly follows the ERA5-Land anomaly of air temperature in the predictor window (Spearman ρ = 0.8) but not that of relative humidity (ρ = 0.0), and the mean TVDI difference does not follow humidity either (ρ = 0.0). With five regions this is descriptive only; it fits the reading that the channels describe temperature and surface state more than fuel moisture</w:t>
            </w:r>
          </w:p>
        </w:tc>
      </w:tr>
      <w:tr>
        <w:trPr>
          <w:cantSplit/>
        </w:trPr>
        <w:tc>
          <w:tcPr>
            <w:tcW w:type="dxa" w:w="1482"/>
          </w:tcPr>
          <w:p>
            <w:pPr>
              <w:pStyle w:val="Compact"/>
              <w:spacing w:line="240" w:lineRule="auto" w:after="20"/>
            </w:pPr>
            <w:r>
              <w:rPr>
                <w:sz w:val="20"/>
              </w:rPr>
              <w:t xml:space="preserve">Missing thermal values (R8p)</w:t>
            </w:r>
          </w:p>
        </w:tc>
        <w:tc>
          <w:tcPr>
            <w:tcW w:type="dxa" w:w="521"/>
          </w:tcPr>
          <w:p>
            <w:pPr>
              <w:pStyle w:val="Compact"/>
              <w:spacing w:line="240" w:lineRule="auto" w:after="20"/>
            </w:pPr>
            <w:r>
              <w:rPr>
                <w:sz w:val="20"/>
              </w:rPr>
              <w:t xml:space="preserve">How many modelled cells lack a thermal value, and is this related to burning?</w:t>
            </w:r>
          </w:p>
        </w:tc>
        <w:tc>
          <w:tcPr>
            <w:tcW w:type="dxa" w:w="7067"/>
          </w:tcPr>
          <w:p>
            <w:pPr>
              <w:pStyle w:val="Compact"/>
              <w:spacing w:line="240" w:lineRule="auto" w:after="20"/>
            </w:pPr>
            <w:r>
              <w:rPr>
                <w:sz w:val="20"/>
              </w:rPr>
              <w:t xml:space="preserve">In the natural-vegetation population, 1.7 %, 6.5 %, 3.2 %, 4.5 % and 0.1 % of cells (Manavgat, Bejís, Muğla, Evia, Montiferru) have at least one missing thermal channel. The ROC-AUC of this missingness flag against burning is 0.493 to 0.512. Among all valid cells the share is larger (up to 57.5 % in Evia, mostly sea and coast)</w:t>
            </w:r>
          </w:p>
        </w:tc>
      </w:tr>
      <w:tr>
        <w:trPr>
          <w:cantSplit/>
        </w:trPr>
        <w:tc>
          <w:tcPr>
            <w:tcW w:type="dxa" w:w="1482"/>
          </w:tcPr>
          <w:p>
            <w:pPr>
              <w:pStyle w:val="Compact"/>
              <w:spacing w:line="240" w:lineRule="auto" w:after="20"/>
            </w:pPr>
            <w:r>
              <w:rPr>
                <w:sz w:val="20"/>
              </w:rPr>
              <w:t xml:space="preserve">Crossed random effects (R8l)</w:t>
            </w:r>
          </w:p>
        </w:tc>
        <w:tc>
          <w:tcPr>
            <w:tcW w:type="dxa" w:w="521"/>
          </w:tcPr>
          <w:p>
            <w:pPr>
              <w:pStyle w:val="Compact"/>
              <w:spacing w:line="240" w:lineRule="auto" w:after="20"/>
            </w:pPr>
            <w:r>
              <w:rPr>
                <w:sz w:val="20"/>
              </w:rPr>
              <w:t xml:space="preserve">Does a model with source and target random intercepts change the thermal gain in transfer?</w:t>
            </w:r>
          </w:p>
        </w:tc>
        <w:tc>
          <w:tcPr>
            <w:tcW w:type="dxa" w:w="7067"/>
          </w:tcPr>
          <w:p>
            <w:pPr>
              <w:pStyle w:val="Compact"/>
              <w:spacing w:line="240" w:lineRule="auto" w:after="20"/>
            </w:pPr>
            <w:r>
              <w:rPr>
                <w:sz w:val="20"/>
              </w:rPr>
              <w:t xml:space="preserve">No. The estimated source and target variances are close to zero, so the fit is singular and reduces to a pooled interval with four degrees of freedom; it is a more conservative interval, not an independent confirmation. The mean gain is +0.007 [−0.035, +0.050] on the original study areas and +0.024 [−0.012, +0.060] on the 10 km collar (REML, t interval with four degrees of freedom); both include zero</w:t>
            </w:r>
          </w:p>
        </w:tc>
      </w:tr>
      <w:tr>
        <w:trPr>
          <w:cantSplit/>
        </w:trPr>
        <w:tc>
          <w:tcPr>
            <w:tcW w:type="dxa" w:w="1482"/>
          </w:tcPr>
          <w:p>
            <w:pPr>
              <w:pStyle w:val="Compact"/>
              <w:spacing w:line="240" w:lineRule="auto" w:after="20"/>
            </w:pPr>
            <w:r>
              <w:rPr>
                <w:sz w:val="20"/>
              </w:rPr>
              <w:t xml:space="preserve">Residual spatial correlation (R8l)</w:t>
            </w:r>
          </w:p>
        </w:tc>
        <w:tc>
          <w:tcPr>
            <w:tcW w:type="dxa" w:w="521"/>
          </w:tcPr>
          <w:p>
            <w:pPr>
              <w:pStyle w:val="Compact"/>
              <w:spacing w:line="240" w:lineRule="auto" w:after="20"/>
            </w:pPr>
            <w:r>
              <w:rPr>
                <w:sz w:val="20"/>
              </w:rPr>
              <w:t xml:space="preserve">Do 5 km blocks remove the spatial dependence?</w:t>
            </w:r>
          </w:p>
        </w:tc>
        <w:tc>
          <w:tcPr>
            <w:tcW w:type="dxa" w:w="7067"/>
          </w:tcPr>
          <w:p>
            <w:pPr>
              <w:pStyle w:val="Compact"/>
              <w:spacing w:line="240" w:lineRule="auto" w:after="20"/>
            </w:pPr>
            <w:r>
              <w:rPr>
                <w:sz w:val="20"/>
              </w:rPr>
              <w:t xml:space="preserve">Not fully. The correlation of out-of-fold residuals between cell pairs is 0.58 to 0.83 below 1 km, 0.15 to 0.48 at 5 to 10 km (except Montiferru, −0.01), and falls below 0.05 at 10 to 20 km in Manavgat, Bejís and Muğla, at 20 to 40 km in Evia and at 5 to 10 km in Montiferru. Intervals at 5 km blocking may therefore be too narrow, especially in North Evia</w:t>
            </w:r>
          </w:p>
        </w:tc>
      </w:tr>
      <w:tr>
        <w:trPr>
          <w:cantSplit/>
        </w:trPr>
        <w:tc>
          <w:tcPr>
            <w:tcW w:type="dxa" w:w="1482"/>
          </w:tcPr>
          <w:p>
            <w:pPr>
              <w:pStyle w:val="Compact"/>
              <w:spacing w:line="240" w:lineRule="auto" w:after="20"/>
            </w:pPr>
            <w:r>
              <w:rPr>
                <w:sz w:val="20"/>
              </w:rPr>
              <w:t xml:space="preserve">Pooled against fold-averaged AUC (R8l)</w:t>
            </w:r>
          </w:p>
        </w:tc>
        <w:tc>
          <w:tcPr>
            <w:tcW w:type="dxa" w:w="521"/>
          </w:tcPr>
          <w:p>
            <w:pPr>
              <w:pStyle w:val="Compact"/>
              <w:spacing w:line="240" w:lineRule="auto" w:after="20"/>
            </w:pPr>
            <w:r>
              <w:rPr>
                <w:sz w:val="20"/>
              </w:rPr>
              <w:t xml:space="preserve">Does pooling out-of-fold predictions inflate the within-region AUC?</w:t>
            </w:r>
          </w:p>
        </w:tc>
        <w:tc>
          <w:tcPr>
            <w:tcW w:type="dxa" w:w="7067"/>
          </w:tcPr>
          <w:p>
            <w:pPr>
              <w:pStyle w:val="Compact"/>
              <w:spacing w:line="240" w:lineRule="auto" w:after="20"/>
            </w:pPr>
            <w:r>
              <w:rPr>
                <w:sz w:val="20"/>
              </w:rPr>
              <w:t xml:space="preserve">No. The mean of the five fold AUCs is 0.004 to 0.018 higher than the pooled value in every region (thermal model, 5 km blocking)</w:t>
            </w:r>
          </w:p>
        </w:tc>
      </w:tr>
      <w:tr>
        <w:trPr>
          <w:cantSplit/>
        </w:trPr>
        <w:tc>
          <w:tcPr>
            <w:tcW w:type="dxa" w:w="1482"/>
          </w:tcPr>
          <w:p>
            <w:pPr>
              <w:pStyle w:val="Compact"/>
              <w:spacing w:line="240" w:lineRule="auto" w:after="20"/>
            </w:pPr>
            <w:r>
              <w:rPr>
                <w:sz w:val="20"/>
              </w:rPr>
              <w:t xml:space="preserve">Estimator intervals (R8l)</w:t>
            </w:r>
          </w:p>
        </w:tc>
        <w:tc>
          <w:tcPr>
            <w:tcW w:type="dxa" w:w="521"/>
          </w:tcPr>
          <w:p>
            <w:pPr>
              <w:pStyle w:val="Compact"/>
              <w:spacing w:line="240" w:lineRule="auto" w:after="20"/>
            </w:pPr>
            <w:r>
              <w:rPr>
                <w:sz w:val="20"/>
              </w:rPr>
              <w:t xml:space="preserve">How uncertain are the four estimators of Table S25?</w:t>
            </w:r>
          </w:p>
        </w:tc>
        <w:tc>
          <w:tcPr>
            <w:tcW w:type="dxa" w:w="7067"/>
          </w:tcPr>
          <w:p>
            <w:pPr>
              <w:pStyle w:val="Compact"/>
              <w:spacing w:line="240" w:lineRule="auto" w:after="20"/>
            </w:pPr>
            <w:r>
              <w:rPr>
                <w:sz w:val="20"/>
              </w:rPr>
              <w:t xml:space="preserve">Pair-cluster intervals of mean transfer: 0.527 [0.461, 0.588], 0.527 [0.460, 0.594], 0.522 [0.456, 0.584] and 0.481 [0.419, 0.542]; of the thermal gain in transfer: +0.007 [−0.022, +0.034], −0.011 [−0.040, +0.016], −0.019 [−0.045, +0.007] and −0.021 [−0.057, +0.010]. All gain intervals include zero</w:t>
            </w:r>
          </w:p>
        </w:tc>
      </w:tr>
      <w:tr>
        <w:trPr>
          <w:cantSplit/>
        </w:trPr>
        <w:tc>
          <w:tcPr>
            <w:tcW w:type="dxa" w:w="1482"/>
          </w:tcPr>
          <w:p>
            <w:pPr>
              <w:pStyle w:val="Compact"/>
              <w:spacing w:line="240" w:lineRule="auto" w:after="20"/>
            </w:pPr>
            <w:r>
              <w:rPr>
                <w:sz w:val="20"/>
              </w:rPr>
              <w:t xml:space="preserve">Bejís pre-label cells (R8b)</w:t>
            </w:r>
          </w:p>
        </w:tc>
        <w:tc>
          <w:tcPr>
            <w:tcW w:type="dxa" w:w="521"/>
          </w:tcPr>
          <w:p>
            <w:pPr>
              <w:pStyle w:val="Compact"/>
              <w:spacing w:line="240" w:lineRule="auto" w:after="20"/>
            </w:pPr>
            <w:r>
              <w:rPr>
                <w:sz w:val="20"/>
              </w:rPr>
              <w:t xml:space="preserve">Do the 48 cells that burned in the predictor window affect the results?</w:t>
            </w:r>
          </w:p>
        </w:tc>
        <w:tc>
          <w:tcPr>
            <w:tcW w:type="dxa" w:w="7067"/>
          </w:tcPr>
          <w:p>
            <w:pPr>
              <w:pStyle w:val="Compact"/>
              <w:spacing w:line="240" w:lineRule="auto" w:after="20"/>
            </w:pPr>
            <w:r>
              <w:rPr>
                <w:sz w:val="20"/>
              </w:rPr>
              <w:t xml:space="preserve">Ten of them are labelled burned. Without them, the within-region thermal gain was +0.050 at 1 km blocking (+0.056 with them) and +0.061 at 5 km (+0.045). Transfer in the eight directions that involve Bejís changed by at most 0.015, and their mean thermal gain from +0.011 to +0.007</w:t>
            </w:r>
          </w:p>
        </w:tc>
      </w:tr>
    </w:tbl>
    <w:p>
      <w:pPr>
        <w:pStyle w:val="BodyText"/>
      </w:pPr>
      <w:r>
        <w:t xml:space="preserve">A leave-one-block-out reference with a 10 km buffer was also tried. Its pooled AUC combines the</w:t>
      </w:r>
      <w:r>
        <w:t xml:space="preserve"> </w:t>
      </w:r>
      <w:r>
        <w:t xml:space="preserve">predictions of different models, and because the burned cells lie in one or two blocks, the pooled</w:t>
      </w:r>
      <w:r>
        <w:t xml:space="preserve"> </w:t>
      </w:r>
      <w:r>
        <w:t xml:space="preserve">value was dominated by calibration differences between the models. It is therefore not reported; the</w:t>
      </w:r>
      <w:r>
        <w:t xml:space="preserve"> </w:t>
      </w:r>
      <w:r>
        <w:t xml:space="preserve">distance curve of Section S1.18, which scores a single model, answers the same question.</w:t>
      </w:r>
    </w:p>
    <w:bookmarkEnd w:id="45"/>
    <w:bookmarkEnd w:id="46"/>
    <w:bookmarkStart w:id="54" w:name="s2-supporting-tables"/>
    <w:p>
      <w:pPr>
        <w:pStyle w:val="Heading1"/>
      </w:pPr>
      <w:r>
        <w:t xml:space="preserve">S2 Supporting tables</w:t>
      </w:r>
    </w:p>
    <w:p>
      <w:pPr>
        <w:pStyle w:val="FirstParagraph"/>
      </w:pPr>
      <w:r>
        <w:t xml:space="preserve">These tables give the values per region and per direction that the Results quote, so that every</w:t>
      </w:r>
      <w:r>
        <w:t xml:space="preserve"> </w:t>
      </w:r>
      <w:r>
        <w:t xml:space="preserve">statement can be checked against the values behind it.</w:t>
      </w:r>
    </w:p>
    <w:p>
      <w:pPr>
        <w:pStyle w:val="BodyText"/>
        <w:keepNext/>
      </w:pPr>
      <w:r>
        <w:rPr>
          <w:b/>
          <w:bCs/>
        </w:rPr>
        <w:t xml:space="preserve">Table S9. Signed univariate AUC of each predictor against</w:t>
      </w:r>
      <w:r>
        <w:rPr>
          <w:b/>
          <w:bCs/>
        </w:rPr>
        <w:t xml:space="preserve"> </w:t>
      </w:r>
      <w:r>
        <w:rPr>
          <w:rStyle w:val="VerbatimChar"/>
          <w:b/>
          <w:bCs/>
        </w:rPr>
        <w:t xml:space="preserve">burned</w:t>
      </w:r>
      <w:r>
        <w:rPr>
          <w:b/>
          <w:bCs/>
        </w:rPr>
        <w:t xml:space="preserve">, by region.</w:t>
      </w:r>
      <w:r>
        <w:t xml:space="preserve"> </w:t>
      </w:r>
      <w:r>
        <w:t xml:space="preserve">Natural-vegetation</w:t>
      </w:r>
      <w:r>
        <w:t xml:space="preserve"> </w:t>
      </w:r>
      <w:r>
        <w:t xml:space="preserve">population; 10-cell (~5 km) spatial-block bootstrap, 1000 replicates, seed 42. The AUC is not folded</w:t>
      </w:r>
      <w:r>
        <w:t xml:space="preserve"> </w:t>
      </w:r>
      <w:r>
        <w:t xml:space="preserve">to max(AUC, 1 − AUC). A value below 0.5 means that lower values rank burned cells higher; it shows a</w:t>
      </w:r>
      <w:r>
        <w:t xml:space="preserve"> </w:t>
      </w:r>
      <w:r>
        <w:t xml:space="preserve">direction, not weakness.</w:t>
      </w:r>
      <w:r>
        <w:t xml:space="preserve"> </w:t>
      </w:r>
      <w:r>
        <w:rPr>
          <w:b/>
          <w:bCs/>
        </w:rPr>
        <w:t xml:space="preserve">Bold</w:t>
      </w:r>
      <w:r>
        <w:t xml:space="preserve"> </w:t>
      </w:r>
      <w:r>
        <w:t xml:space="preserve">marks a region whose own interval excludes 0.5. Source</w:t>
      </w:r>
      <w:r>
        <w:t xml:space="preserve"> </w:t>
      </w:r>
      <w:r>
        <w:rPr>
          <w:rStyle w:val="VerbatimChar"/>
        </w:rPr>
        <w:t xml:space="preserve">paper/labelfix_rerun/round5/tables/step9g_multi_aoi_feature_stability.csv</w:t>
      </w:r>
      <w:r>
        <w:t xml:space="preserve"> </w:t>
      </w:r>
      <w:r>
        <w:t xml:space="preserve">(the pipeline’s Step9G</w:t>
      </w:r>
      <w:r>
        <w:t xml:space="preserve"> </w:t>
      </w:r>
      <w:r>
        <w:t xml:space="preserve">five-region synthesis, sha256 c864cd7d…); checked row by row by</w:t>
      </w:r>
      <w:r>
        <w:t xml:space="preserve"> </w:t>
      </w:r>
      <w:r>
        <w:rPr>
          <w:rStyle w:val="VerbatimChar"/>
        </w:rPr>
        <w:t xml:space="preserve">paper/code/appendix_tables.py</w:t>
      </w:r>
      <w:r>
        <w:t xml:space="preserve">.</w:t>
      </w:r>
    </w:p>
    <w:tbl>
      <w:tblPr>
        <w:tblStyle w:val="Table"/>
        <w:tblW w:type="auto" w:w="0"/>
        <w:tblLook w:firstRow="1" w:lastRow="0" w:firstColumn="0" w:lastColumn="0" w:noHBand="0" w:noVBand="0" w:val="0020"/>
      </w:tblPr>
      <w:tblGrid>
        <w:gridCol w:w="1512"/>
        <w:gridCol w:w="1512"/>
        <w:gridCol w:w="1512"/>
        <w:gridCol w:w="1512"/>
        <w:gridCol w:w="1512"/>
        <w:gridCol w:w="1512"/>
      </w:tblGrid>
      <w:tr>
        <w:trPr>
          <w:tblHeader w:val="on"/>
          <w:cantSplit/>
        </w:trPr>
        <w:tc>
          <w:tcPr>
            <w:tcW w:type="dxa" w:w="1512"/>
          </w:tcPr>
          <w:p>
            <w:pPr>
              <w:pStyle w:val="Compact"/>
              <w:spacing w:line="240" w:lineRule="auto" w:after="20"/>
            </w:pPr>
            <w:r>
              <w:rPr>
                <w:sz w:val="20"/>
              </w:rPr>
              <w:t xml:space="preserve">Feature</w:t>
            </w:r>
          </w:p>
        </w:tc>
        <w:tc>
          <w:tcPr>
            <w:tcW w:type="dxa" w:w="1512"/>
          </w:tcPr>
          <w:p>
            <w:pPr>
              <w:pStyle w:val="Compact"/>
              <w:spacing w:line="240" w:lineRule="auto" w:after="20"/>
            </w:pPr>
            <w:r>
              <w:rPr>
                <w:sz w:val="20"/>
              </w:rPr>
              <w:t xml:space="preserve">Manavgat</w:t>
            </w:r>
          </w:p>
        </w:tc>
        <w:tc>
          <w:tcPr>
            <w:tcW w:type="dxa" w:w="1512"/>
          </w:tcPr>
          <w:p>
            <w:pPr>
              <w:pStyle w:val="Compact"/>
              <w:spacing w:line="240" w:lineRule="auto" w:after="20"/>
            </w:pPr>
            <w:r>
              <w:rPr>
                <w:sz w:val="20"/>
              </w:rPr>
              <w:t xml:space="preserve">Bejís</w:t>
            </w:r>
          </w:p>
        </w:tc>
        <w:tc>
          <w:tcPr>
            <w:tcW w:type="dxa" w:w="1512"/>
          </w:tcPr>
          <w:p>
            <w:pPr>
              <w:pStyle w:val="Compact"/>
              <w:spacing w:line="240" w:lineRule="auto" w:after="20"/>
            </w:pPr>
            <w:r>
              <w:rPr>
                <w:sz w:val="20"/>
              </w:rPr>
              <w:t xml:space="preserve">Muğla</w:t>
            </w:r>
          </w:p>
        </w:tc>
        <w:tc>
          <w:tcPr>
            <w:tcW w:type="dxa" w:w="1512"/>
          </w:tcPr>
          <w:p>
            <w:pPr>
              <w:pStyle w:val="Compact"/>
              <w:spacing w:line="240" w:lineRule="auto" w:after="20"/>
            </w:pPr>
            <w:r>
              <w:rPr>
                <w:sz w:val="20"/>
              </w:rPr>
              <w:t xml:space="preserve">Evia</w:t>
            </w:r>
          </w:p>
        </w:tc>
        <w:tc>
          <w:tcPr>
            <w:tcW w:type="dxa" w:w="1512"/>
          </w:tcPr>
          <w:p>
            <w:pPr>
              <w:pStyle w:val="Compact"/>
              <w:spacing w:line="240" w:lineRule="auto" w:after="20"/>
            </w:pPr>
            <w:r>
              <w:rPr>
                <w:sz w:val="20"/>
              </w:rPr>
              <w:t xml:space="preserve">Montiferru</w:t>
            </w:r>
          </w:p>
        </w:tc>
      </w:tr>
      <w:tr>
        <w:trPr>
          <w:cantSplit/>
        </w:trPr>
        <w:tc>
          <w:tcPr>
            <w:tcW w:type="dxa" w:w="1512"/>
          </w:tcPr>
          <w:p>
            <w:pPr>
              <w:pStyle w:val="Compact"/>
              <w:spacing w:line="240" w:lineRule="auto" w:after="20"/>
            </w:pPr>
            <w:r>
              <w:rPr>
                <w:rStyle w:val="VerbatimChar"/>
                <w:sz w:val="20"/>
              </w:rPr>
              <w:t xml:space="preserve">elevation_mean</w:t>
            </w:r>
          </w:p>
        </w:tc>
        <w:tc>
          <w:tcPr>
            <w:tcW w:type="dxa" w:w="1512"/>
          </w:tcPr>
          <w:p>
            <w:pPr>
              <w:pStyle w:val="Compact"/>
              <w:spacing w:line="240" w:lineRule="auto" w:after="20"/>
            </w:pPr>
            <w:r>
              <w:rPr>
                <w:b/>
                <w:bCs/>
                <w:sz w:val="20"/>
              </w:rPr>
              <w:t xml:space="preserve">0.232</w:t>
            </w:r>
            <w:r>
              <w:rPr>
                <w:sz w:val="20"/>
              </w:rPr>
              <w:t xml:space="preserve"> </w:t>
            </w:r>
            <w:r>
              <w:rPr>
                <w:sz w:val="20"/>
              </w:rPr>
              <w:t xml:space="preserve">[0.179, 0.288]</w:t>
            </w:r>
          </w:p>
        </w:tc>
        <w:tc>
          <w:tcPr>
            <w:tcW w:type="dxa" w:w="1512"/>
          </w:tcPr>
          <w:p>
            <w:pPr>
              <w:pStyle w:val="Compact"/>
              <w:spacing w:line="240" w:lineRule="auto" w:after="20"/>
            </w:pPr>
            <w:r>
              <w:rPr>
                <w:b/>
                <w:bCs/>
                <w:sz w:val="20"/>
              </w:rPr>
              <w:t xml:space="preserve">0.643</w:t>
            </w:r>
            <w:r>
              <w:rPr>
                <w:sz w:val="20"/>
              </w:rPr>
              <w:t xml:space="preserve"> </w:t>
            </w:r>
            <w:r>
              <w:rPr>
                <w:sz w:val="20"/>
              </w:rPr>
              <w:t xml:space="preserve">[0.558, 0.729]</w:t>
            </w:r>
          </w:p>
        </w:tc>
        <w:tc>
          <w:tcPr>
            <w:tcW w:type="dxa" w:w="1512"/>
          </w:tcPr>
          <w:p>
            <w:pPr>
              <w:pStyle w:val="Compact"/>
              <w:spacing w:line="240" w:lineRule="auto" w:after="20"/>
            </w:pPr>
            <w:r>
              <w:rPr>
                <w:b/>
                <w:bCs/>
                <w:sz w:val="20"/>
              </w:rPr>
              <w:t xml:space="preserve">0.611</w:t>
            </w:r>
            <w:r>
              <w:rPr>
                <w:sz w:val="20"/>
              </w:rPr>
              <w:t xml:space="preserve"> </w:t>
            </w:r>
            <w:r>
              <w:rPr>
                <w:sz w:val="20"/>
              </w:rPr>
              <w:t xml:space="preserve">[0.532, 0.690]</w:t>
            </w:r>
          </w:p>
        </w:tc>
        <w:tc>
          <w:tcPr>
            <w:tcW w:type="dxa" w:w="1512"/>
          </w:tcPr>
          <w:p>
            <w:pPr>
              <w:pStyle w:val="Compact"/>
              <w:spacing w:line="240" w:lineRule="auto" w:after="20"/>
            </w:pPr>
            <w:r>
              <w:rPr>
                <w:sz w:val="20"/>
              </w:rPr>
              <w:t xml:space="preserve">0.541 [0.448, 0.626]</w:t>
            </w:r>
          </w:p>
        </w:tc>
        <w:tc>
          <w:tcPr>
            <w:tcW w:type="dxa" w:w="1512"/>
          </w:tcPr>
          <w:p>
            <w:pPr>
              <w:pStyle w:val="Compact"/>
              <w:spacing w:line="240" w:lineRule="auto" w:after="20"/>
            </w:pPr>
            <w:r>
              <w:rPr>
                <w:sz w:val="20"/>
              </w:rPr>
              <w:t xml:space="preserve">0.584 [0.395, 0.762]</w:t>
            </w:r>
          </w:p>
        </w:tc>
      </w:tr>
      <w:tr>
        <w:trPr>
          <w:cantSplit/>
        </w:trPr>
        <w:tc>
          <w:tcPr>
            <w:tcW w:type="dxa" w:w="1512"/>
          </w:tcPr>
          <w:p>
            <w:pPr>
              <w:pStyle w:val="Compact"/>
              <w:spacing w:line="240" w:lineRule="auto" w:after="20"/>
            </w:pPr>
            <w:r>
              <w:rPr>
                <w:rStyle w:val="VerbatimChar"/>
                <w:sz w:val="20"/>
              </w:rPr>
              <w:t xml:space="preserve">slope_mean</w:t>
            </w:r>
          </w:p>
        </w:tc>
        <w:tc>
          <w:tcPr>
            <w:tcW w:type="dxa" w:w="1512"/>
          </w:tcPr>
          <w:p>
            <w:pPr>
              <w:pStyle w:val="Compact"/>
              <w:spacing w:line="240" w:lineRule="auto" w:after="20"/>
            </w:pPr>
            <w:r>
              <w:rPr>
                <w:b/>
                <w:bCs/>
                <w:sz w:val="20"/>
              </w:rPr>
              <w:t xml:space="preserve">0.400</w:t>
            </w:r>
            <w:r>
              <w:rPr>
                <w:sz w:val="20"/>
              </w:rPr>
              <w:t xml:space="preserve"> </w:t>
            </w:r>
            <w:r>
              <w:rPr>
                <w:sz w:val="20"/>
              </w:rPr>
              <w:t xml:space="preserve">[0.340, 0.459]</w:t>
            </w:r>
          </w:p>
        </w:tc>
        <w:tc>
          <w:tcPr>
            <w:tcW w:type="dxa" w:w="1512"/>
          </w:tcPr>
          <w:p>
            <w:pPr>
              <w:pStyle w:val="Compact"/>
              <w:spacing w:line="240" w:lineRule="auto" w:after="20"/>
            </w:pPr>
            <w:r>
              <w:rPr>
                <w:sz w:val="20"/>
              </w:rPr>
              <w:t xml:space="preserve">0.521 [0.439, 0.605]</w:t>
            </w:r>
          </w:p>
        </w:tc>
        <w:tc>
          <w:tcPr>
            <w:tcW w:type="dxa" w:w="1512"/>
          </w:tcPr>
          <w:p>
            <w:pPr>
              <w:pStyle w:val="Compact"/>
              <w:spacing w:line="240" w:lineRule="auto" w:after="20"/>
            </w:pPr>
            <w:r>
              <w:rPr>
                <w:b/>
                <w:bCs/>
                <w:sz w:val="20"/>
              </w:rPr>
              <w:t xml:space="preserve">0.637</w:t>
            </w:r>
            <w:r>
              <w:rPr>
                <w:sz w:val="20"/>
              </w:rPr>
              <w:t xml:space="preserve"> </w:t>
            </w:r>
            <w:r>
              <w:rPr>
                <w:sz w:val="20"/>
              </w:rPr>
              <w:t xml:space="preserve">[0.582, 0.686]</w:t>
            </w:r>
          </w:p>
        </w:tc>
        <w:tc>
          <w:tcPr>
            <w:tcW w:type="dxa" w:w="1512"/>
          </w:tcPr>
          <w:p>
            <w:pPr>
              <w:pStyle w:val="Compact"/>
              <w:spacing w:line="240" w:lineRule="auto" w:after="20"/>
            </w:pPr>
            <w:r>
              <w:rPr>
                <w:sz w:val="20"/>
              </w:rPr>
              <w:t xml:space="preserve">0.487 [0.418, 0.554]</w:t>
            </w:r>
          </w:p>
        </w:tc>
        <w:tc>
          <w:tcPr>
            <w:tcW w:type="dxa" w:w="1512"/>
          </w:tcPr>
          <w:p>
            <w:pPr>
              <w:pStyle w:val="Compact"/>
              <w:spacing w:line="240" w:lineRule="auto" w:after="20"/>
            </w:pPr>
            <w:r>
              <w:rPr>
                <w:b/>
                <w:bCs/>
                <w:sz w:val="20"/>
              </w:rPr>
              <w:t xml:space="preserve">0.652</w:t>
            </w:r>
            <w:r>
              <w:rPr>
                <w:sz w:val="20"/>
              </w:rPr>
              <w:t xml:space="preserve"> </w:t>
            </w:r>
            <w:r>
              <w:rPr>
                <w:sz w:val="20"/>
              </w:rPr>
              <w:t xml:space="preserve">[0.506, 0.771]</w:t>
            </w:r>
          </w:p>
        </w:tc>
      </w:tr>
      <w:tr>
        <w:trPr>
          <w:cantSplit/>
        </w:trPr>
        <w:tc>
          <w:tcPr>
            <w:tcW w:type="dxa" w:w="1512"/>
          </w:tcPr>
          <w:p>
            <w:pPr>
              <w:pStyle w:val="Compact"/>
              <w:spacing w:line="240" w:lineRule="auto" w:after="20"/>
            </w:pPr>
            <w:r>
              <w:rPr>
                <w:rStyle w:val="VerbatimChar"/>
                <w:sz w:val="20"/>
              </w:rPr>
              <w:t xml:space="preserve">ndvi_mean</w:t>
            </w:r>
          </w:p>
        </w:tc>
        <w:tc>
          <w:tcPr>
            <w:tcW w:type="dxa" w:w="1512"/>
          </w:tcPr>
          <w:p>
            <w:pPr>
              <w:pStyle w:val="Compact"/>
              <w:spacing w:line="240" w:lineRule="auto" w:after="20"/>
            </w:pPr>
            <w:r>
              <w:rPr>
                <w:sz w:val="20"/>
              </w:rPr>
              <w:t xml:space="preserve">0.564 [0.499, 0.628]</w:t>
            </w:r>
          </w:p>
        </w:tc>
        <w:tc>
          <w:tcPr>
            <w:tcW w:type="dxa" w:w="1512"/>
          </w:tcPr>
          <w:p>
            <w:pPr>
              <w:pStyle w:val="Compact"/>
              <w:spacing w:line="240" w:lineRule="auto" w:after="20"/>
            </w:pPr>
            <w:r>
              <w:rPr>
                <w:sz w:val="20"/>
              </w:rPr>
              <w:t xml:space="preserve">0.559 [0.497, 0.619]</w:t>
            </w:r>
          </w:p>
        </w:tc>
        <w:tc>
          <w:tcPr>
            <w:tcW w:type="dxa" w:w="1512"/>
          </w:tcPr>
          <w:p>
            <w:pPr>
              <w:pStyle w:val="Compact"/>
              <w:spacing w:line="240" w:lineRule="auto" w:after="20"/>
            </w:pPr>
            <w:r>
              <w:rPr>
                <w:b/>
                <w:bCs/>
                <w:sz w:val="20"/>
              </w:rPr>
              <w:t xml:space="preserve">0.662</w:t>
            </w:r>
            <w:r>
              <w:rPr>
                <w:sz w:val="20"/>
              </w:rPr>
              <w:t xml:space="preserve"> </w:t>
            </w:r>
            <w:r>
              <w:rPr>
                <w:sz w:val="20"/>
              </w:rPr>
              <w:t xml:space="preserve">[0.616, 0.704]</w:t>
            </w:r>
          </w:p>
        </w:tc>
        <w:tc>
          <w:tcPr>
            <w:tcW w:type="dxa" w:w="1512"/>
          </w:tcPr>
          <w:p>
            <w:pPr>
              <w:pStyle w:val="Compact"/>
              <w:spacing w:line="240" w:lineRule="auto" w:after="20"/>
            </w:pPr>
            <w:r>
              <w:rPr>
                <w:b/>
                <w:bCs/>
                <w:sz w:val="20"/>
              </w:rPr>
              <w:t xml:space="preserve">0.639</w:t>
            </w:r>
            <w:r>
              <w:rPr>
                <w:sz w:val="20"/>
              </w:rPr>
              <w:t xml:space="preserve"> </w:t>
            </w:r>
            <w:r>
              <w:rPr>
                <w:sz w:val="20"/>
              </w:rPr>
              <w:t xml:space="preserve">[0.575, 0.701]</w:t>
            </w:r>
          </w:p>
        </w:tc>
        <w:tc>
          <w:tcPr>
            <w:tcW w:type="dxa" w:w="1512"/>
          </w:tcPr>
          <w:p>
            <w:pPr>
              <w:pStyle w:val="Compact"/>
              <w:spacing w:line="240" w:lineRule="auto" w:after="20"/>
            </w:pPr>
            <w:r>
              <w:rPr>
                <w:sz w:val="20"/>
              </w:rPr>
              <w:t xml:space="preserve">0.586 [0.450, 0.704]</w:t>
            </w:r>
          </w:p>
        </w:tc>
      </w:tr>
      <w:tr>
        <w:trPr>
          <w:cantSplit/>
        </w:trPr>
        <w:tc>
          <w:tcPr>
            <w:tcW w:type="dxa" w:w="1512"/>
          </w:tcPr>
          <w:p>
            <w:pPr>
              <w:pStyle w:val="Compact"/>
              <w:spacing w:line="240" w:lineRule="auto" w:after="20"/>
            </w:pPr>
            <w:r>
              <w:rPr>
                <w:rStyle w:val="VerbatimChar"/>
                <w:sz w:val="20"/>
              </w:rPr>
              <w:t xml:space="preserve">lst_anomaly_mean</w:t>
            </w:r>
          </w:p>
        </w:tc>
        <w:tc>
          <w:tcPr>
            <w:tcW w:type="dxa" w:w="1512"/>
          </w:tcPr>
          <w:p>
            <w:pPr>
              <w:pStyle w:val="Compact"/>
              <w:spacing w:line="240" w:lineRule="auto" w:after="20"/>
            </w:pPr>
            <w:r>
              <w:rPr>
                <w:sz w:val="20"/>
              </w:rPr>
              <w:t xml:space="preserve">0.509 [0.460, 0.560]</w:t>
            </w:r>
          </w:p>
        </w:tc>
        <w:tc>
          <w:tcPr>
            <w:tcW w:type="dxa" w:w="1512"/>
          </w:tcPr>
          <w:p>
            <w:pPr>
              <w:pStyle w:val="Compact"/>
              <w:spacing w:line="240" w:lineRule="auto" w:after="20"/>
            </w:pPr>
            <w:r>
              <w:rPr>
                <w:b/>
                <w:bCs/>
                <w:sz w:val="20"/>
              </w:rPr>
              <w:t xml:space="preserve">0.418</w:t>
            </w:r>
            <w:r>
              <w:rPr>
                <w:sz w:val="20"/>
              </w:rPr>
              <w:t xml:space="preserve"> </w:t>
            </w:r>
            <w:r>
              <w:rPr>
                <w:sz w:val="20"/>
              </w:rPr>
              <w:t xml:space="preserve">[0.364, 0.480]</w:t>
            </w:r>
          </w:p>
        </w:tc>
        <w:tc>
          <w:tcPr>
            <w:tcW w:type="dxa" w:w="1512"/>
          </w:tcPr>
          <w:p>
            <w:pPr>
              <w:pStyle w:val="Compact"/>
              <w:spacing w:line="240" w:lineRule="auto" w:after="20"/>
            </w:pPr>
            <w:r>
              <w:rPr>
                <w:sz w:val="20"/>
              </w:rPr>
              <w:t xml:space="preserve">0.485 [0.395, 0.566]</w:t>
            </w:r>
          </w:p>
        </w:tc>
        <w:tc>
          <w:tcPr>
            <w:tcW w:type="dxa" w:w="1512"/>
          </w:tcPr>
          <w:p>
            <w:pPr>
              <w:pStyle w:val="Compact"/>
              <w:spacing w:line="240" w:lineRule="auto" w:after="20"/>
            </w:pPr>
            <w:r>
              <w:rPr>
                <w:b/>
                <w:bCs/>
                <w:sz w:val="20"/>
              </w:rPr>
              <w:t xml:space="preserve">0.640</w:t>
            </w:r>
            <w:r>
              <w:rPr>
                <w:sz w:val="20"/>
              </w:rPr>
              <w:t xml:space="preserve"> </w:t>
            </w:r>
            <w:r>
              <w:rPr>
                <w:sz w:val="20"/>
              </w:rPr>
              <w:t xml:space="preserve">[0.567, 0.710]</w:t>
            </w:r>
          </w:p>
        </w:tc>
        <w:tc>
          <w:tcPr>
            <w:tcW w:type="dxa" w:w="1512"/>
          </w:tcPr>
          <w:p>
            <w:pPr>
              <w:pStyle w:val="Compact"/>
              <w:spacing w:line="240" w:lineRule="auto" w:after="20"/>
            </w:pPr>
            <w:r>
              <w:rPr>
                <w:sz w:val="20"/>
              </w:rPr>
              <w:t xml:space="preserve">0.395 [0.285, 0.535]</w:t>
            </w:r>
          </w:p>
        </w:tc>
      </w:tr>
      <w:tr>
        <w:trPr>
          <w:cantSplit/>
        </w:trPr>
        <w:tc>
          <w:tcPr>
            <w:tcW w:type="dxa" w:w="1512"/>
          </w:tcPr>
          <w:p>
            <w:pPr>
              <w:pStyle w:val="Compact"/>
              <w:spacing w:line="240" w:lineRule="auto" w:after="20"/>
            </w:pPr>
            <w:r>
              <w:rPr>
                <w:rStyle w:val="VerbatimChar"/>
                <w:sz w:val="20"/>
              </w:rPr>
              <w:t xml:space="preserve">current_lst_mean</w:t>
            </w:r>
          </w:p>
        </w:tc>
        <w:tc>
          <w:tcPr>
            <w:tcW w:type="dxa" w:w="1512"/>
          </w:tcPr>
          <w:p>
            <w:pPr>
              <w:pStyle w:val="Compact"/>
              <w:spacing w:line="240" w:lineRule="auto" w:after="20"/>
            </w:pPr>
            <w:r>
              <w:rPr>
                <w:b/>
                <w:bCs/>
                <w:sz w:val="20"/>
              </w:rPr>
              <w:t xml:space="preserve">0.665</w:t>
            </w:r>
            <w:r>
              <w:rPr>
                <w:sz w:val="20"/>
              </w:rPr>
              <w:t xml:space="preserve"> </w:t>
            </w:r>
            <w:r>
              <w:rPr>
                <w:sz w:val="20"/>
              </w:rPr>
              <w:t xml:space="preserve">[0.608, 0.719]</w:t>
            </w:r>
          </w:p>
        </w:tc>
        <w:tc>
          <w:tcPr>
            <w:tcW w:type="dxa" w:w="1512"/>
          </w:tcPr>
          <w:p>
            <w:pPr>
              <w:pStyle w:val="Compact"/>
              <w:spacing w:line="240" w:lineRule="auto" w:after="20"/>
            </w:pPr>
            <w:r>
              <w:rPr>
                <w:sz w:val="20"/>
              </w:rPr>
              <w:t xml:space="preserve">0.477 [0.401, 0.547]</w:t>
            </w:r>
          </w:p>
        </w:tc>
        <w:tc>
          <w:tcPr>
            <w:tcW w:type="dxa" w:w="1512"/>
          </w:tcPr>
          <w:p>
            <w:pPr>
              <w:pStyle w:val="Compact"/>
              <w:spacing w:line="240" w:lineRule="auto" w:after="20"/>
            </w:pPr>
            <w:r>
              <w:rPr>
                <w:b/>
                <w:bCs/>
                <w:sz w:val="20"/>
              </w:rPr>
              <w:t xml:space="preserve">0.325</w:t>
            </w:r>
            <w:r>
              <w:rPr>
                <w:sz w:val="20"/>
              </w:rPr>
              <w:t xml:space="preserve"> </w:t>
            </w:r>
            <w:r>
              <w:rPr>
                <w:sz w:val="20"/>
              </w:rPr>
              <w:t xml:space="preserve">[0.271, 0.382]</w:t>
            </w:r>
          </w:p>
        </w:tc>
        <w:tc>
          <w:tcPr>
            <w:tcW w:type="dxa" w:w="1512"/>
          </w:tcPr>
          <w:p>
            <w:pPr>
              <w:pStyle w:val="Compact"/>
              <w:spacing w:line="240" w:lineRule="auto" w:after="20"/>
            </w:pPr>
            <w:r>
              <w:rPr>
                <w:b/>
                <w:bCs/>
                <w:sz w:val="20"/>
              </w:rPr>
              <w:t xml:space="preserve">0.377</w:t>
            </w:r>
            <w:r>
              <w:rPr>
                <w:sz w:val="20"/>
              </w:rPr>
              <w:t xml:space="preserve"> </w:t>
            </w:r>
            <w:r>
              <w:rPr>
                <w:sz w:val="20"/>
              </w:rPr>
              <w:t xml:space="preserve">[0.301, 0.456]</w:t>
            </w:r>
          </w:p>
        </w:tc>
        <w:tc>
          <w:tcPr>
            <w:tcW w:type="dxa" w:w="1512"/>
          </w:tcPr>
          <w:p>
            <w:pPr>
              <w:pStyle w:val="Compact"/>
              <w:spacing w:line="240" w:lineRule="auto" w:after="20"/>
            </w:pPr>
            <w:r>
              <w:rPr>
                <w:sz w:val="20"/>
              </w:rPr>
              <w:t xml:space="preserve">0.370 [0.248, 0.513]</w:t>
            </w:r>
          </w:p>
        </w:tc>
      </w:tr>
      <w:tr>
        <w:trPr>
          <w:cantSplit/>
        </w:trPr>
        <w:tc>
          <w:tcPr>
            <w:tcW w:type="dxa" w:w="1512"/>
          </w:tcPr>
          <w:p>
            <w:pPr>
              <w:pStyle w:val="Compact"/>
              <w:spacing w:line="240" w:lineRule="auto" w:after="20"/>
            </w:pPr>
            <w:r>
              <w:rPr>
                <w:rStyle w:val="VerbatimChar"/>
                <w:sz w:val="20"/>
              </w:rPr>
              <w:t xml:space="preserve">current_tvdi_mean</w:t>
            </w:r>
          </w:p>
        </w:tc>
        <w:tc>
          <w:tcPr>
            <w:tcW w:type="dxa" w:w="1512"/>
          </w:tcPr>
          <w:p>
            <w:pPr>
              <w:pStyle w:val="Compact"/>
              <w:spacing w:line="240" w:lineRule="auto" w:after="20"/>
            </w:pPr>
            <w:r>
              <w:rPr>
                <w:b/>
                <w:bCs/>
                <w:sz w:val="20"/>
              </w:rPr>
              <w:t xml:space="preserve">0.677</w:t>
            </w:r>
            <w:r>
              <w:rPr>
                <w:sz w:val="20"/>
              </w:rPr>
              <w:t xml:space="preserve"> </w:t>
            </w:r>
            <w:r>
              <w:rPr>
                <w:sz w:val="20"/>
              </w:rPr>
              <w:t xml:space="preserve">[0.622, 0.733]</w:t>
            </w:r>
          </w:p>
        </w:tc>
        <w:tc>
          <w:tcPr>
            <w:tcW w:type="dxa" w:w="1512"/>
          </w:tcPr>
          <w:p>
            <w:pPr>
              <w:pStyle w:val="Compact"/>
              <w:spacing w:line="240" w:lineRule="auto" w:after="20"/>
            </w:pPr>
            <w:r>
              <w:rPr>
                <w:sz w:val="20"/>
              </w:rPr>
              <w:t xml:space="preserve">0.517 [0.429, 0.595]</w:t>
            </w:r>
          </w:p>
        </w:tc>
        <w:tc>
          <w:tcPr>
            <w:tcW w:type="dxa" w:w="1512"/>
          </w:tcPr>
          <w:p>
            <w:pPr>
              <w:pStyle w:val="Compact"/>
              <w:spacing w:line="240" w:lineRule="auto" w:after="20"/>
            </w:pPr>
            <w:r>
              <w:rPr>
                <w:b/>
                <w:bCs/>
                <w:sz w:val="20"/>
              </w:rPr>
              <w:t xml:space="preserve">0.336</w:t>
            </w:r>
            <w:r>
              <w:rPr>
                <w:sz w:val="20"/>
              </w:rPr>
              <w:t xml:space="preserve"> </w:t>
            </w:r>
            <w:r>
              <w:rPr>
                <w:sz w:val="20"/>
              </w:rPr>
              <w:t xml:space="preserve">[0.275, 0.398]</w:t>
            </w:r>
          </w:p>
        </w:tc>
        <w:tc>
          <w:tcPr>
            <w:tcW w:type="dxa" w:w="1512"/>
          </w:tcPr>
          <w:p>
            <w:pPr>
              <w:pStyle w:val="Compact"/>
              <w:spacing w:line="240" w:lineRule="auto" w:after="20"/>
            </w:pPr>
            <w:r>
              <w:rPr>
                <w:b/>
                <w:bCs/>
                <w:sz w:val="20"/>
              </w:rPr>
              <w:t xml:space="preserve">0.362</w:t>
            </w:r>
            <w:r>
              <w:rPr>
                <w:sz w:val="20"/>
              </w:rPr>
              <w:t xml:space="preserve"> </w:t>
            </w:r>
            <w:r>
              <w:rPr>
                <w:sz w:val="20"/>
              </w:rPr>
              <w:t xml:space="preserve">[0.285, 0.442]</w:t>
            </w:r>
          </w:p>
        </w:tc>
        <w:tc>
          <w:tcPr>
            <w:tcW w:type="dxa" w:w="1512"/>
          </w:tcPr>
          <w:p>
            <w:pPr>
              <w:pStyle w:val="Compact"/>
              <w:spacing w:line="240" w:lineRule="auto" w:after="20"/>
            </w:pPr>
            <w:r>
              <w:rPr>
                <w:b/>
                <w:bCs/>
                <w:sz w:val="20"/>
              </w:rPr>
              <w:t xml:space="preserve">0.356</w:t>
            </w:r>
            <w:r>
              <w:rPr>
                <w:sz w:val="20"/>
              </w:rPr>
              <w:t xml:space="preserve"> </w:t>
            </w:r>
            <w:r>
              <w:rPr>
                <w:sz w:val="20"/>
              </w:rPr>
              <w:t xml:space="preserve">[0.233, 0.499]</w:t>
            </w:r>
          </w:p>
        </w:tc>
      </w:tr>
      <w:tr>
        <w:trPr>
          <w:cantSplit/>
        </w:trPr>
        <w:tc>
          <w:tcPr>
            <w:tcW w:type="dxa" w:w="1512"/>
          </w:tcPr>
          <w:p>
            <w:pPr>
              <w:pStyle w:val="Compact"/>
              <w:spacing w:line="240" w:lineRule="auto" w:after="20"/>
            </w:pPr>
            <w:r>
              <w:rPr>
                <w:rStyle w:val="VerbatimChar"/>
                <w:sz w:val="20"/>
              </w:rPr>
              <w:t xml:space="preserve">tvdi_difference_mean</w:t>
            </w:r>
          </w:p>
        </w:tc>
        <w:tc>
          <w:tcPr>
            <w:tcW w:type="dxa" w:w="1512"/>
          </w:tcPr>
          <w:p>
            <w:pPr>
              <w:pStyle w:val="Compact"/>
              <w:spacing w:line="240" w:lineRule="auto" w:after="20"/>
            </w:pPr>
            <w:r>
              <w:rPr>
                <w:sz w:val="20"/>
              </w:rPr>
              <w:t xml:space="preserve">0.460 [0.409, 0.510]</w:t>
            </w:r>
          </w:p>
        </w:tc>
        <w:tc>
          <w:tcPr>
            <w:tcW w:type="dxa" w:w="1512"/>
          </w:tcPr>
          <w:p>
            <w:pPr>
              <w:pStyle w:val="Compact"/>
              <w:spacing w:line="240" w:lineRule="auto" w:after="20"/>
            </w:pPr>
            <w:r>
              <w:rPr>
                <w:sz w:val="20"/>
              </w:rPr>
              <w:t xml:space="preserve">0.512 [0.443, 0.583]</w:t>
            </w:r>
          </w:p>
        </w:tc>
        <w:tc>
          <w:tcPr>
            <w:tcW w:type="dxa" w:w="1512"/>
          </w:tcPr>
          <w:p>
            <w:pPr>
              <w:pStyle w:val="Compact"/>
              <w:spacing w:line="240" w:lineRule="auto" w:after="20"/>
            </w:pPr>
            <w:r>
              <w:rPr>
                <w:sz w:val="20"/>
              </w:rPr>
              <w:t xml:space="preserve">0.490 [0.396, 0.575]</w:t>
            </w:r>
          </w:p>
        </w:tc>
        <w:tc>
          <w:tcPr>
            <w:tcW w:type="dxa" w:w="1512"/>
          </w:tcPr>
          <w:p>
            <w:pPr>
              <w:pStyle w:val="Compact"/>
              <w:spacing w:line="240" w:lineRule="auto" w:after="20"/>
            </w:pPr>
            <w:r>
              <w:rPr>
                <w:sz w:val="20"/>
              </w:rPr>
              <w:t xml:space="preserve">0.519 [0.444, 0.589]</w:t>
            </w:r>
          </w:p>
        </w:tc>
        <w:tc>
          <w:tcPr>
            <w:tcW w:type="dxa" w:w="1512"/>
          </w:tcPr>
          <w:p>
            <w:pPr>
              <w:pStyle w:val="Compact"/>
              <w:spacing w:line="240" w:lineRule="auto" w:after="20"/>
            </w:pPr>
            <w:r>
              <w:rPr>
                <w:b/>
                <w:bCs/>
                <w:sz w:val="20"/>
              </w:rPr>
              <w:t xml:space="preserve">0.378</w:t>
            </w:r>
            <w:r>
              <w:rPr>
                <w:sz w:val="20"/>
              </w:rPr>
              <w:t xml:space="preserve"> </w:t>
            </w:r>
            <w:r>
              <w:rPr>
                <w:sz w:val="20"/>
              </w:rPr>
              <w:t xml:space="preserve">[0.282, 0.497]</w:t>
            </w:r>
          </w:p>
        </w:tc>
      </w:tr>
      <w:tr>
        <w:trPr>
          <w:cantSplit/>
        </w:trPr>
        <w:tc>
          <w:tcPr>
            <w:tcW w:type="dxa" w:w="1512"/>
          </w:tcPr>
          <w:p>
            <w:pPr>
              <w:pStyle w:val="Compact"/>
              <w:spacing w:line="240" w:lineRule="auto" w:after="20"/>
            </w:pPr>
            <w:r>
              <w:rPr>
                <w:rStyle w:val="VerbatimChar"/>
                <w:sz w:val="20"/>
              </w:rPr>
              <w:t xml:space="preserve">downscaled_lst_mean</w:t>
            </w:r>
          </w:p>
        </w:tc>
        <w:tc>
          <w:tcPr>
            <w:tcW w:type="dxa" w:w="1512"/>
          </w:tcPr>
          <w:p>
            <w:pPr>
              <w:pStyle w:val="Compact"/>
              <w:spacing w:line="240" w:lineRule="auto" w:after="20"/>
            </w:pPr>
            <w:r>
              <w:rPr>
                <w:b/>
                <w:bCs/>
                <w:sz w:val="20"/>
              </w:rPr>
              <w:t xml:space="preserve">0.683</w:t>
            </w:r>
            <w:r>
              <w:rPr>
                <w:sz w:val="20"/>
              </w:rPr>
              <w:t xml:space="preserve"> </w:t>
            </w:r>
            <w:r>
              <w:rPr>
                <w:sz w:val="20"/>
              </w:rPr>
              <w:t xml:space="preserve">[0.626, 0.739]</w:t>
            </w:r>
          </w:p>
        </w:tc>
        <w:tc>
          <w:tcPr>
            <w:tcW w:type="dxa" w:w="1512"/>
          </w:tcPr>
          <w:p>
            <w:pPr>
              <w:pStyle w:val="Compact"/>
              <w:spacing w:line="240" w:lineRule="auto" w:after="20"/>
            </w:pPr>
            <w:r>
              <w:rPr>
                <w:sz w:val="20"/>
              </w:rPr>
              <w:t xml:space="preserve">0.484 [0.400, 0.560]</w:t>
            </w:r>
          </w:p>
        </w:tc>
        <w:tc>
          <w:tcPr>
            <w:tcW w:type="dxa" w:w="1512"/>
          </w:tcPr>
          <w:p>
            <w:pPr>
              <w:pStyle w:val="Compact"/>
              <w:spacing w:line="240" w:lineRule="auto" w:after="20"/>
            </w:pPr>
            <w:r>
              <w:rPr>
                <w:b/>
                <w:bCs/>
                <w:sz w:val="20"/>
              </w:rPr>
              <w:t xml:space="preserve">0.307</w:t>
            </w:r>
            <w:r>
              <w:rPr>
                <w:sz w:val="20"/>
              </w:rPr>
              <w:t xml:space="preserve"> </w:t>
            </w:r>
            <w:r>
              <w:rPr>
                <w:sz w:val="20"/>
              </w:rPr>
              <w:t xml:space="preserve">[0.253, 0.366]</w:t>
            </w:r>
          </w:p>
        </w:tc>
        <w:tc>
          <w:tcPr>
            <w:tcW w:type="dxa" w:w="1512"/>
          </w:tcPr>
          <w:p>
            <w:pPr>
              <w:pStyle w:val="Compact"/>
              <w:spacing w:line="240" w:lineRule="auto" w:after="20"/>
            </w:pPr>
            <w:r>
              <w:rPr>
                <w:b/>
                <w:bCs/>
                <w:sz w:val="20"/>
              </w:rPr>
              <w:t xml:space="preserve">0.377</w:t>
            </w:r>
            <w:r>
              <w:rPr>
                <w:sz w:val="20"/>
              </w:rPr>
              <w:t xml:space="preserve"> </w:t>
            </w:r>
            <w:r>
              <w:rPr>
                <w:sz w:val="20"/>
              </w:rPr>
              <w:t xml:space="preserve">[0.297, 0.459]</w:t>
            </w:r>
          </w:p>
        </w:tc>
        <w:tc>
          <w:tcPr>
            <w:tcW w:type="dxa" w:w="1512"/>
          </w:tcPr>
          <w:p>
            <w:pPr>
              <w:pStyle w:val="Compact"/>
              <w:spacing w:line="240" w:lineRule="auto" w:after="20"/>
            </w:pPr>
            <w:r>
              <w:rPr>
                <w:sz w:val="20"/>
              </w:rPr>
              <w:t xml:space="preserve">0.365 [0.240, 0.511]</w:t>
            </w:r>
          </w:p>
        </w:tc>
      </w:tr>
      <w:tr>
        <w:trPr>
          <w:cantSplit/>
        </w:trPr>
        <w:tc>
          <w:tcPr>
            <w:tcW w:type="dxa" w:w="1512"/>
          </w:tcPr>
          <w:p>
            <w:pPr>
              <w:pStyle w:val="Compact"/>
              <w:spacing w:line="240" w:lineRule="auto" w:after="20"/>
            </w:pPr>
            <w:r>
              <w:rPr>
                <w:rStyle w:val="VerbatimChar"/>
                <w:sz w:val="20"/>
              </w:rPr>
              <w:t xml:space="preserve">fused_lst_mean</w:t>
            </w:r>
          </w:p>
        </w:tc>
        <w:tc>
          <w:tcPr>
            <w:tcW w:type="dxa" w:w="1512"/>
          </w:tcPr>
          <w:p>
            <w:pPr>
              <w:pStyle w:val="Compact"/>
              <w:spacing w:line="240" w:lineRule="auto" w:after="20"/>
            </w:pPr>
            <w:r>
              <w:rPr>
                <w:b/>
                <w:bCs/>
                <w:sz w:val="20"/>
              </w:rPr>
              <w:t xml:space="preserve">0.666</w:t>
            </w:r>
            <w:r>
              <w:rPr>
                <w:sz w:val="20"/>
              </w:rPr>
              <w:t xml:space="preserve"> </w:t>
            </w:r>
            <w:r>
              <w:rPr>
                <w:sz w:val="20"/>
              </w:rPr>
              <w:t xml:space="preserve">[0.610, 0.721]</w:t>
            </w:r>
          </w:p>
        </w:tc>
        <w:tc>
          <w:tcPr>
            <w:tcW w:type="dxa" w:w="1512"/>
          </w:tcPr>
          <w:p>
            <w:pPr>
              <w:pStyle w:val="Compact"/>
              <w:spacing w:line="240" w:lineRule="auto" w:after="20"/>
            </w:pPr>
            <w:r>
              <w:rPr>
                <w:sz w:val="20"/>
              </w:rPr>
              <w:t xml:space="preserve">0.481 [0.404, 0.551]</w:t>
            </w:r>
          </w:p>
        </w:tc>
        <w:tc>
          <w:tcPr>
            <w:tcW w:type="dxa" w:w="1512"/>
          </w:tcPr>
          <w:p>
            <w:pPr>
              <w:pStyle w:val="Compact"/>
              <w:spacing w:line="240" w:lineRule="auto" w:after="20"/>
            </w:pPr>
            <w:r>
              <w:rPr>
                <w:b/>
                <w:bCs/>
                <w:sz w:val="20"/>
              </w:rPr>
              <w:t xml:space="preserve">0.325</w:t>
            </w:r>
            <w:r>
              <w:rPr>
                <w:sz w:val="20"/>
              </w:rPr>
              <w:t xml:space="preserve"> </w:t>
            </w:r>
            <w:r>
              <w:rPr>
                <w:sz w:val="20"/>
              </w:rPr>
              <w:t xml:space="preserve">[0.272, 0.383]</w:t>
            </w:r>
          </w:p>
        </w:tc>
        <w:tc>
          <w:tcPr>
            <w:tcW w:type="dxa" w:w="1512"/>
          </w:tcPr>
          <w:p>
            <w:pPr>
              <w:pStyle w:val="Compact"/>
              <w:spacing w:line="240" w:lineRule="auto" w:after="20"/>
            </w:pPr>
            <w:r>
              <w:rPr>
                <w:b/>
                <w:bCs/>
                <w:sz w:val="20"/>
              </w:rPr>
              <w:t xml:space="preserve">0.376</w:t>
            </w:r>
            <w:r>
              <w:rPr>
                <w:sz w:val="20"/>
              </w:rPr>
              <w:t xml:space="preserve"> </w:t>
            </w:r>
            <w:r>
              <w:rPr>
                <w:sz w:val="20"/>
              </w:rPr>
              <w:t xml:space="preserve">[0.300, 0.456]</w:t>
            </w:r>
          </w:p>
        </w:tc>
        <w:tc>
          <w:tcPr>
            <w:tcW w:type="dxa" w:w="1512"/>
          </w:tcPr>
          <w:p>
            <w:pPr>
              <w:pStyle w:val="Compact"/>
              <w:spacing w:line="240" w:lineRule="auto" w:after="20"/>
            </w:pPr>
            <w:r>
              <w:rPr>
                <w:sz w:val="20"/>
              </w:rPr>
              <w:t xml:space="preserve">0.370 [0.248, 0.513]</w:t>
            </w:r>
          </w:p>
        </w:tc>
      </w:tr>
    </w:tbl>
    <w:p>
      <w:pPr>
        <w:pStyle w:val="BodyText"/>
      </w:pPr>
      <w:r>
        <w:rPr>
          <w:b/>
          <w:bCs/>
        </w:rPr>
        <w:t xml:space="preserve">Definition of a reversal.</w:t>
      </w:r>
      <w:r>
        <w:t xml:space="preserve"> </w:t>
      </w:r>
      <w:r>
        <w:t xml:space="preserve">A pair of regions is called a reversal only when their signed</w:t>
      </w:r>
      <w:r>
        <w:t xml:space="preserve"> </w:t>
      </w:r>
      <w:r>
        <w:t xml:space="preserve">associations lie on opposite sides of 0.5</w:t>
      </w:r>
      <w:r>
        <w:t xml:space="preserve"> </w:t>
      </w:r>
      <w:r>
        <w:rPr>
          <w:b/>
          <w:bCs/>
        </w:rPr>
        <w:t xml:space="preserve">and the interval of each region excludes 0.5</w:t>
      </w:r>
      <w:r>
        <w:t xml:space="preserve">. This is</w:t>
      </w:r>
      <w:r>
        <w:t xml:space="preserve"> </w:t>
      </w:r>
      <w:r>
        <w:t xml:space="preserve">stricter than requiring disjoint intervals. For example, for</w:t>
      </w:r>
      <w:r>
        <w:t xml:space="preserve"> </w:t>
      </w:r>
      <w:r>
        <w:rPr>
          <w:rStyle w:val="VerbatimChar"/>
        </w:rPr>
        <w:t xml:space="preserve">current_lst_mean</w:t>
      </w:r>
      <w:r>
        <w:t xml:space="preserve"> </w:t>
      </w:r>
      <w:r>
        <w:t xml:space="preserve">in Manavgat and Bejís</w:t>
      </w:r>
      <w:r>
        <w:t xml:space="preserve"> </w:t>
      </w:r>
      <w:r>
        <w:t xml:space="preserve">the two intervals are disjoint ([0.608, 0.719] against [0.401, 0.547]), but the Bejís interval</w:t>
      </w:r>
      <w:r>
        <w:t xml:space="preserve"> </w:t>
      </w:r>
      <w:r>
        <w:t xml:space="preserve">includes 0.5. Bejís therefore has no established direction, and this pair is a point reversal only.</w:t>
      </w:r>
    </w:p>
    <w:p>
      <w:pPr>
        <w:pStyle w:val="BodyText"/>
        <w:keepNext/>
      </w:pPr>
      <w:r>
        <w:rPr>
          <w:b/>
          <w:bCs/>
        </w:rPr>
        <w:t xml:space="preserve">Table S10. Cross-region reversals that meet the strict criterion.</w:t>
      </w:r>
      <w:r>
        <w:t xml:space="preserve"> </w:t>
      </w:r>
      <w:r>
        <w:t xml:space="preserve">The criterion is applied to</w:t>
      </w:r>
      <w:r>
        <w:t xml:space="preserve"> </w:t>
      </w:r>
      <w:r>
        <w:t xml:space="preserve">the intervals of Table S9. Difference intervals are from the paired 10-cell block bootstrap of</w:t>
      </w:r>
      <w:r>
        <w:t xml:space="preserve"> </w:t>
      </w:r>
      <w:r>
        <w:rPr>
          <w:rStyle w:val="VerbatimChar"/>
        </w:rPr>
        <w:t xml:space="preserve">paper/code/ems_inference_multiplicity.py</w:t>
      </w:r>
      <w:r>
        <w:t xml:space="preserve"> </w:t>
      </w:r>
      <w:r>
        <w:t xml:space="preserve">(</w:t>
      </w:r>
      <w:r>
        <w:rPr>
          <w:rStyle w:val="VerbatimChar"/>
        </w:rPr>
        <w:t xml:space="preserve">paper/labelfix_rerun/inference/reversal_family_holm.csv</w:t>
      </w:r>
      <w:r>
        <w:t xml:space="preserve">,</w:t>
      </w:r>
      <w:r>
        <w:t xml:space="preserve"> </w:t>
      </w:r>
      <w:r>
        <w:t xml:space="preserve">1000 replicates), which flags the same fourteen pairs. Checked row by row by</w:t>
      </w:r>
      <w:r>
        <w:t xml:space="preserve"> </w:t>
      </w:r>
      <w:r>
        <w:rPr>
          <w:rStyle w:val="VerbatimChar"/>
        </w:rPr>
        <w:t xml:space="preserve">paper/code/appendix_tables.py</w:t>
      </w:r>
      <w:r>
        <w:t xml:space="preserve">.</w:t>
      </w:r>
    </w:p>
    <w:tbl>
      <w:tblPr>
        <w:tblStyle w:val="Table"/>
        <w:tblW w:type="auto" w:w="0"/>
        <w:tblLook w:firstRow="1" w:lastRow="0" w:firstColumn="0" w:lastColumn="0" w:noHBand="0" w:noVBand="0" w:val="0020"/>
      </w:tblPr>
      <w:tblGrid>
        <w:gridCol w:w="2393"/>
        <w:gridCol w:w="1260"/>
        <w:gridCol w:w="630"/>
        <w:gridCol w:w="1260"/>
        <w:gridCol w:w="630"/>
        <w:gridCol w:w="2897"/>
      </w:tblGrid>
      <w:tr>
        <w:trPr>
          <w:tblHeader w:val="on"/>
          <w:cantSplit/>
        </w:trPr>
        <w:tc>
          <w:tcPr>
            <w:tcW w:type="dxa" w:w="2393"/>
          </w:tcPr>
          <w:p>
            <w:pPr>
              <w:pStyle w:val="Compact"/>
              <w:spacing w:line="240" w:lineRule="auto" w:after="20"/>
            </w:pPr>
            <w:r>
              <w:rPr>
                <w:sz w:val="20"/>
              </w:rPr>
              <w:t xml:space="preserve">Feature</w:t>
            </w:r>
          </w:p>
        </w:tc>
        <w:tc>
          <w:tcPr>
            <w:tcW w:type="dxa" w:w="1260"/>
          </w:tcPr>
          <w:p>
            <w:pPr>
              <w:pStyle w:val="Compact"/>
              <w:spacing w:line="240" w:lineRule="auto" w:after="20"/>
            </w:pPr>
            <w:r>
              <w:rPr>
                <w:sz w:val="20"/>
              </w:rPr>
              <w:t xml:space="preserve">Region A</w:t>
            </w:r>
          </w:p>
        </w:tc>
        <w:tc>
          <w:tcPr>
            <w:tcW w:type="dxa" w:w="630"/>
          </w:tcPr>
          <w:p>
            <w:pPr>
              <w:pStyle w:val="Compact"/>
              <w:spacing w:line="240" w:lineRule="auto" w:after="20"/>
              <w:jc w:val="right"/>
            </w:pPr>
            <w:r>
              <w:rPr>
                <w:sz w:val="20"/>
              </w:rPr>
              <w:t xml:space="preserve">AUC</w:t>
            </w:r>
          </w:p>
        </w:tc>
        <w:tc>
          <w:tcPr>
            <w:tcW w:type="dxa" w:w="1260"/>
          </w:tcPr>
          <w:p>
            <w:pPr>
              <w:pStyle w:val="Compact"/>
              <w:spacing w:line="240" w:lineRule="auto" w:after="20"/>
            </w:pPr>
            <w:r>
              <w:rPr>
                <w:sz w:val="20"/>
              </w:rPr>
              <w:t xml:space="preserve">Region B</w:t>
            </w:r>
          </w:p>
        </w:tc>
        <w:tc>
          <w:tcPr>
            <w:tcW w:type="dxa" w:w="630"/>
          </w:tcPr>
          <w:p>
            <w:pPr>
              <w:pStyle w:val="Compact"/>
              <w:spacing w:line="240" w:lineRule="auto" w:after="20"/>
              <w:jc w:val="right"/>
            </w:pPr>
            <w:r>
              <w:rPr>
                <w:sz w:val="20"/>
              </w:rPr>
              <w:t xml:space="preserve">AUC</w:t>
            </w:r>
          </w:p>
        </w:tc>
        <w:tc>
          <w:tcPr>
            <w:tcW w:type="dxa" w:w="2897"/>
          </w:tcPr>
          <w:p>
            <w:pPr>
              <w:pStyle w:val="Compact"/>
              <w:spacing w:line="240" w:lineRule="auto" w:after="20"/>
            </w:pPr>
            <w:r>
              <w:rPr>
                <w:sz w:val="20"/>
              </w:rPr>
              <w:t xml:space="preserve">Difference [95 % CI]</w:t>
            </w:r>
          </w:p>
        </w:tc>
      </w:tr>
      <w:tr>
        <w:trPr>
          <w:cantSplit/>
        </w:trPr>
        <w:tc>
          <w:tcPr>
            <w:tcW w:type="dxa" w:w="2393"/>
          </w:tcPr>
          <w:p>
            <w:pPr>
              <w:pStyle w:val="Compact"/>
              <w:spacing w:line="240" w:lineRule="auto" w:after="20"/>
            </w:pPr>
            <w:r>
              <w:rPr>
                <w:rStyle w:val="VerbatimChar"/>
                <w:sz w:val="20"/>
              </w:rPr>
              <w:t xml:space="preserve">elevation_mean</w:t>
            </w:r>
          </w:p>
        </w:tc>
        <w:tc>
          <w:tcPr>
            <w:tcW w:type="dxa" w:w="1260"/>
          </w:tcPr>
          <w:p>
            <w:pPr>
              <w:pStyle w:val="Compact"/>
              <w:spacing w:line="240" w:lineRule="auto" w:after="20"/>
            </w:pPr>
            <w:r>
              <w:rPr>
                <w:sz w:val="20"/>
              </w:rPr>
              <w:t xml:space="preserve">Manavgat</w:t>
            </w:r>
          </w:p>
        </w:tc>
        <w:tc>
          <w:tcPr>
            <w:tcW w:type="dxa" w:w="630"/>
          </w:tcPr>
          <w:p>
            <w:pPr>
              <w:pStyle w:val="Compact"/>
              <w:spacing w:line="240" w:lineRule="auto" w:after="20"/>
              <w:jc w:val="right"/>
            </w:pPr>
            <w:r>
              <w:rPr>
                <w:sz w:val="20"/>
              </w:rPr>
              <w:t xml:space="preserve">0.232</w:t>
            </w:r>
          </w:p>
        </w:tc>
        <w:tc>
          <w:tcPr>
            <w:tcW w:type="dxa" w:w="1260"/>
          </w:tcPr>
          <w:p>
            <w:pPr>
              <w:pStyle w:val="Compact"/>
              <w:spacing w:line="240" w:lineRule="auto" w:after="20"/>
            </w:pPr>
            <w:r>
              <w:rPr>
                <w:sz w:val="20"/>
              </w:rPr>
              <w:t xml:space="preserve">Bejís</w:t>
            </w:r>
          </w:p>
        </w:tc>
        <w:tc>
          <w:tcPr>
            <w:tcW w:type="dxa" w:w="630"/>
          </w:tcPr>
          <w:p>
            <w:pPr>
              <w:pStyle w:val="Compact"/>
              <w:spacing w:line="240" w:lineRule="auto" w:after="20"/>
              <w:jc w:val="right"/>
            </w:pPr>
            <w:r>
              <w:rPr>
                <w:sz w:val="20"/>
              </w:rPr>
              <w:t xml:space="preserve">0.643</w:t>
            </w:r>
          </w:p>
        </w:tc>
        <w:tc>
          <w:tcPr>
            <w:tcW w:type="dxa" w:w="2897"/>
          </w:tcPr>
          <w:p>
            <w:pPr>
              <w:pStyle w:val="Compact"/>
              <w:spacing w:line="240" w:lineRule="auto" w:after="20"/>
            </w:pPr>
            <w:r>
              <w:rPr>
                <w:sz w:val="20"/>
              </w:rPr>
              <w:t xml:space="preserve">+0.411 [+0.312, +0.509]</w:t>
            </w:r>
          </w:p>
        </w:tc>
      </w:tr>
      <w:tr>
        <w:trPr>
          <w:cantSplit/>
        </w:trPr>
        <w:tc>
          <w:tcPr>
            <w:tcW w:type="dxa" w:w="2393"/>
          </w:tcPr>
          <w:p>
            <w:pPr>
              <w:pStyle w:val="Compact"/>
              <w:spacing w:line="240" w:lineRule="auto" w:after="20"/>
            </w:pPr>
            <w:r>
              <w:rPr>
                <w:rStyle w:val="VerbatimChar"/>
                <w:sz w:val="20"/>
              </w:rPr>
              <w:t xml:space="preserve">elevation_mean</w:t>
            </w:r>
          </w:p>
        </w:tc>
        <w:tc>
          <w:tcPr>
            <w:tcW w:type="dxa" w:w="1260"/>
          </w:tcPr>
          <w:p>
            <w:pPr>
              <w:pStyle w:val="Compact"/>
              <w:spacing w:line="240" w:lineRule="auto" w:after="20"/>
            </w:pPr>
            <w:r>
              <w:rPr>
                <w:sz w:val="20"/>
              </w:rPr>
              <w:t xml:space="preserve">Manavgat</w:t>
            </w:r>
          </w:p>
        </w:tc>
        <w:tc>
          <w:tcPr>
            <w:tcW w:type="dxa" w:w="630"/>
          </w:tcPr>
          <w:p>
            <w:pPr>
              <w:pStyle w:val="Compact"/>
              <w:spacing w:line="240" w:lineRule="auto" w:after="20"/>
              <w:jc w:val="right"/>
            </w:pPr>
            <w:r>
              <w:rPr>
                <w:sz w:val="20"/>
              </w:rPr>
              <w:t xml:space="preserve">0.232</w:t>
            </w:r>
          </w:p>
        </w:tc>
        <w:tc>
          <w:tcPr>
            <w:tcW w:type="dxa" w:w="1260"/>
          </w:tcPr>
          <w:p>
            <w:pPr>
              <w:pStyle w:val="Compact"/>
              <w:spacing w:line="240" w:lineRule="auto" w:after="20"/>
            </w:pPr>
            <w:r>
              <w:rPr>
                <w:sz w:val="20"/>
              </w:rPr>
              <w:t xml:space="preserve">Muğla</w:t>
            </w:r>
          </w:p>
        </w:tc>
        <w:tc>
          <w:tcPr>
            <w:tcW w:type="dxa" w:w="630"/>
          </w:tcPr>
          <w:p>
            <w:pPr>
              <w:pStyle w:val="Compact"/>
              <w:spacing w:line="240" w:lineRule="auto" w:after="20"/>
              <w:jc w:val="right"/>
            </w:pPr>
            <w:r>
              <w:rPr>
                <w:sz w:val="20"/>
              </w:rPr>
              <w:t xml:space="preserve">0.611</w:t>
            </w:r>
          </w:p>
        </w:tc>
        <w:tc>
          <w:tcPr>
            <w:tcW w:type="dxa" w:w="2897"/>
          </w:tcPr>
          <w:p>
            <w:pPr>
              <w:pStyle w:val="Compact"/>
              <w:spacing w:line="240" w:lineRule="auto" w:after="20"/>
            </w:pPr>
            <w:r>
              <w:rPr>
                <w:sz w:val="20"/>
              </w:rPr>
              <w:t xml:space="preserve">+0.379 [+0.274, +0.476]</w:t>
            </w:r>
          </w:p>
        </w:tc>
      </w:tr>
      <w:tr>
        <w:trPr>
          <w:cantSplit/>
        </w:trPr>
        <w:tc>
          <w:tcPr>
            <w:tcW w:type="dxa" w:w="2393"/>
          </w:tcPr>
          <w:p>
            <w:pPr>
              <w:pStyle w:val="Compact"/>
              <w:spacing w:line="240" w:lineRule="auto" w:after="20"/>
            </w:pPr>
            <w:r>
              <w:rPr>
                <w:rStyle w:val="VerbatimChar"/>
                <w:sz w:val="20"/>
              </w:rPr>
              <w:t xml:space="preserve">slope_mean</w:t>
            </w:r>
          </w:p>
        </w:tc>
        <w:tc>
          <w:tcPr>
            <w:tcW w:type="dxa" w:w="1260"/>
          </w:tcPr>
          <w:p>
            <w:pPr>
              <w:pStyle w:val="Compact"/>
              <w:spacing w:line="240" w:lineRule="auto" w:after="20"/>
            </w:pPr>
            <w:r>
              <w:rPr>
                <w:sz w:val="20"/>
              </w:rPr>
              <w:t xml:space="preserve">Manavgat</w:t>
            </w:r>
          </w:p>
        </w:tc>
        <w:tc>
          <w:tcPr>
            <w:tcW w:type="dxa" w:w="630"/>
          </w:tcPr>
          <w:p>
            <w:pPr>
              <w:pStyle w:val="Compact"/>
              <w:spacing w:line="240" w:lineRule="auto" w:after="20"/>
              <w:jc w:val="right"/>
            </w:pPr>
            <w:r>
              <w:rPr>
                <w:sz w:val="20"/>
              </w:rPr>
              <w:t xml:space="preserve">0.400</w:t>
            </w:r>
          </w:p>
        </w:tc>
        <w:tc>
          <w:tcPr>
            <w:tcW w:type="dxa" w:w="1260"/>
          </w:tcPr>
          <w:p>
            <w:pPr>
              <w:pStyle w:val="Compact"/>
              <w:spacing w:line="240" w:lineRule="auto" w:after="20"/>
            </w:pPr>
            <w:r>
              <w:rPr>
                <w:sz w:val="20"/>
              </w:rPr>
              <w:t xml:space="preserve">Muğla</w:t>
            </w:r>
          </w:p>
        </w:tc>
        <w:tc>
          <w:tcPr>
            <w:tcW w:type="dxa" w:w="630"/>
          </w:tcPr>
          <w:p>
            <w:pPr>
              <w:pStyle w:val="Compact"/>
              <w:spacing w:line="240" w:lineRule="auto" w:after="20"/>
              <w:jc w:val="right"/>
            </w:pPr>
            <w:r>
              <w:rPr>
                <w:sz w:val="20"/>
              </w:rPr>
              <w:t xml:space="preserve">0.637</w:t>
            </w:r>
          </w:p>
        </w:tc>
        <w:tc>
          <w:tcPr>
            <w:tcW w:type="dxa" w:w="2897"/>
          </w:tcPr>
          <w:p>
            <w:pPr>
              <w:pStyle w:val="Compact"/>
              <w:spacing w:line="240" w:lineRule="auto" w:after="20"/>
            </w:pPr>
            <w:r>
              <w:rPr>
                <w:sz w:val="20"/>
              </w:rPr>
              <w:t xml:space="preserve">+0.237 [+0.158, +0.313]</w:t>
            </w:r>
          </w:p>
        </w:tc>
      </w:tr>
      <w:tr>
        <w:trPr>
          <w:cantSplit/>
        </w:trPr>
        <w:tc>
          <w:tcPr>
            <w:tcW w:type="dxa" w:w="2393"/>
          </w:tcPr>
          <w:p>
            <w:pPr>
              <w:pStyle w:val="Compact"/>
              <w:spacing w:line="240" w:lineRule="auto" w:after="20"/>
            </w:pPr>
            <w:r>
              <w:rPr>
                <w:rStyle w:val="VerbatimChar"/>
                <w:sz w:val="20"/>
              </w:rPr>
              <w:t xml:space="preserve">slope_mean</w:t>
            </w:r>
          </w:p>
        </w:tc>
        <w:tc>
          <w:tcPr>
            <w:tcW w:type="dxa" w:w="1260"/>
          </w:tcPr>
          <w:p>
            <w:pPr>
              <w:pStyle w:val="Compact"/>
              <w:spacing w:line="240" w:lineRule="auto" w:after="20"/>
            </w:pPr>
            <w:r>
              <w:rPr>
                <w:sz w:val="20"/>
              </w:rPr>
              <w:t xml:space="preserve">Manavgat</w:t>
            </w:r>
          </w:p>
        </w:tc>
        <w:tc>
          <w:tcPr>
            <w:tcW w:type="dxa" w:w="630"/>
          </w:tcPr>
          <w:p>
            <w:pPr>
              <w:pStyle w:val="Compact"/>
              <w:spacing w:line="240" w:lineRule="auto" w:after="20"/>
              <w:jc w:val="right"/>
            </w:pPr>
            <w:r>
              <w:rPr>
                <w:sz w:val="20"/>
              </w:rPr>
              <w:t xml:space="preserve">0.400</w:t>
            </w:r>
          </w:p>
        </w:tc>
        <w:tc>
          <w:tcPr>
            <w:tcW w:type="dxa" w:w="1260"/>
          </w:tcPr>
          <w:p>
            <w:pPr>
              <w:pStyle w:val="Compact"/>
              <w:spacing w:line="240" w:lineRule="auto" w:after="20"/>
            </w:pPr>
            <w:r>
              <w:rPr>
                <w:sz w:val="20"/>
              </w:rPr>
              <w:t xml:space="preserve">Montiferru</w:t>
            </w:r>
          </w:p>
        </w:tc>
        <w:tc>
          <w:tcPr>
            <w:tcW w:type="dxa" w:w="630"/>
          </w:tcPr>
          <w:p>
            <w:pPr>
              <w:pStyle w:val="Compact"/>
              <w:spacing w:line="240" w:lineRule="auto" w:after="20"/>
              <w:jc w:val="right"/>
            </w:pPr>
            <w:r>
              <w:rPr>
                <w:sz w:val="20"/>
              </w:rPr>
              <w:t xml:space="preserve">0.652</w:t>
            </w:r>
          </w:p>
        </w:tc>
        <w:tc>
          <w:tcPr>
            <w:tcW w:type="dxa" w:w="2897"/>
          </w:tcPr>
          <w:p>
            <w:pPr>
              <w:pStyle w:val="Compact"/>
              <w:spacing w:line="240" w:lineRule="auto" w:after="20"/>
            </w:pPr>
            <w:r>
              <w:rPr>
                <w:sz w:val="20"/>
              </w:rPr>
              <w:t xml:space="preserve">+0.252 [+0.100, +0.389]</w:t>
            </w:r>
          </w:p>
        </w:tc>
      </w:tr>
      <w:tr>
        <w:trPr>
          <w:cantSplit/>
        </w:trPr>
        <w:tc>
          <w:tcPr>
            <w:tcW w:type="dxa" w:w="2393"/>
          </w:tcPr>
          <w:p>
            <w:pPr>
              <w:pStyle w:val="Compact"/>
              <w:spacing w:line="240" w:lineRule="auto" w:after="20"/>
            </w:pPr>
            <w:r>
              <w:rPr>
                <w:rStyle w:val="VerbatimChar"/>
                <w:sz w:val="20"/>
              </w:rPr>
              <w:t xml:space="preserve">lst_anomaly_mean</w:t>
            </w:r>
          </w:p>
        </w:tc>
        <w:tc>
          <w:tcPr>
            <w:tcW w:type="dxa" w:w="1260"/>
          </w:tcPr>
          <w:p>
            <w:pPr>
              <w:pStyle w:val="Compact"/>
              <w:spacing w:line="240" w:lineRule="auto" w:after="20"/>
            </w:pPr>
            <w:r>
              <w:rPr>
                <w:sz w:val="20"/>
              </w:rPr>
              <w:t xml:space="preserve">Bejís</w:t>
            </w:r>
          </w:p>
        </w:tc>
        <w:tc>
          <w:tcPr>
            <w:tcW w:type="dxa" w:w="630"/>
          </w:tcPr>
          <w:p>
            <w:pPr>
              <w:pStyle w:val="Compact"/>
              <w:spacing w:line="240" w:lineRule="auto" w:after="20"/>
              <w:jc w:val="right"/>
            </w:pPr>
            <w:r>
              <w:rPr>
                <w:sz w:val="20"/>
              </w:rPr>
              <w:t xml:space="preserve">0.418</w:t>
            </w:r>
          </w:p>
        </w:tc>
        <w:tc>
          <w:tcPr>
            <w:tcW w:type="dxa" w:w="1260"/>
          </w:tcPr>
          <w:p>
            <w:pPr>
              <w:pStyle w:val="Compact"/>
              <w:spacing w:line="240" w:lineRule="auto" w:after="20"/>
            </w:pPr>
            <w:r>
              <w:rPr>
                <w:sz w:val="20"/>
              </w:rPr>
              <w:t xml:space="preserve">Evia</w:t>
            </w:r>
          </w:p>
        </w:tc>
        <w:tc>
          <w:tcPr>
            <w:tcW w:type="dxa" w:w="630"/>
          </w:tcPr>
          <w:p>
            <w:pPr>
              <w:pStyle w:val="Compact"/>
              <w:spacing w:line="240" w:lineRule="auto" w:after="20"/>
              <w:jc w:val="right"/>
            </w:pPr>
            <w:r>
              <w:rPr>
                <w:sz w:val="20"/>
              </w:rPr>
              <w:t xml:space="preserve">0.640</w:t>
            </w:r>
          </w:p>
        </w:tc>
        <w:tc>
          <w:tcPr>
            <w:tcW w:type="dxa" w:w="2897"/>
          </w:tcPr>
          <w:p>
            <w:pPr>
              <w:pStyle w:val="Compact"/>
              <w:spacing w:line="240" w:lineRule="auto" w:after="20"/>
            </w:pPr>
            <w:r>
              <w:rPr>
                <w:sz w:val="20"/>
              </w:rPr>
              <w:t xml:space="preserve">+0.222 [+0.129, +0.316]</w:t>
            </w:r>
          </w:p>
        </w:tc>
      </w:tr>
      <w:tr>
        <w:trPr>
          <w:cantSplit/>
        </w:trPr>
        <w:tc>
          <w:tcPr>
            <w:tcW w:type="dxa" w:w="2393"/>
          </w:tcPr>
          <w:p>
            <w:pPr>
              <w:pStyle w:val="Compact"/>
              <w:spacing w:line="240" w:lineRule="auto" w:after="20"/>
            </w:pPr>
            <w:r>
              <w:rPr>
                <w:rStyle w:val="VerbatimChar"/>
                <w:sz w:val="20"/>
              </w:rPr>
              <w:t xml:space="preserve">current_lst_mean</w:t>
            </w:r>
          </w:p>
        </w:tc>
        <w:tc>
          <w:tcPr>
            <w:tcW w:type="dxa" w:w="1260"/>
          </w:tcPr>
          <w:p>
            <w:pPr>
              <w:pStyle w:val="Compact"/>
              <w:spacing w:line="240" w:lineRule="auto" w:after="20"/>
            </w:pPr>
            <w:r>
              <w:rPr>
                <w:sz w:val="20"/>
              </w:rPr>
              <w:t xml:space="preserve">Muğla</w:t>
            </w:r>
          </w:p>
        </w:tc>
        <w:tc>
          <w:tcPr>
            <w:tcW w:type="dxa" w:w="630"/>
          </w:tcPr>
          <w:p>
            <w:pPr>
              <w:pStyle w:val="Compact"/>
              <w:spacing w:line="240" w:lineRule="auto" w:after="20"/>
              <w:jc w:val="right"/>
            </w:pPr>
            <w:r>
              <w:rPr>
                <w:sz w:val="20"/>
              </w:rPr>
              <w:t xml:space="preserve">0.325</w:t>
            </w:r>
          </w:p>
        </w:tc>
        <w:tc>
          <w:tcPr>
            <w:tcW w:type="dxa" w:w="1260"/>
          </w:tcPr>
          <w:p>
            <w:pPr>
              <w:pStyle w:val="Compact"/>
              <w:spacing w:line="240" w:lineRule="auto" w:after="20"/>
            </w:pPr>
            <w:r>
              <w:rPr>
                <w:sz w:val="20"/>
              </w:rPr>
              <w:t xml:space="preserve">Manavgat</w:t>
            </w:r>
          </w:p>
        </w:tc>
        <w:tc>
          <w:tcPr>
            <w:tcW w:type="dxa" w:w="630"/>
          </w:tcPr>
          <w:p>
            <w:pPr>
              <w:pStyle w:val="Compact"/>
              <w:spacing w:line="240" w:lineRule="auto" w:after="20"/>
              <w:jc w:val="right"/>
            </w:pPr>
            <w:r>
              <w:rPr>
                <w:sz w:val="20"/>
              </w:rPr>
              <w:t xml:space="preserve">0.665</w:t>
            </w:r>
          </w:p>
        </w:tc>
        <w:tc>
          <w:tcPr>
            <w:tcW w:type="dxa" w:w="2897"/>
          </w:tcPr>
          <w:p>
            <w:pPr>
              <w:pStyle w:val="Compact"/>
              <w:spacing w:line="240" w:lineRule="auto" w:after="20"/>
            </w:pPr>
            <w:r>
              <w:rPr>
                <w:sz w:val="20"/>
              </w:rPr>
              <w:t xml:space="preserve">+0.340 [+0.260, +0.413]</w:t>
            </w:r>
          </w:p>
        </w:tc>
      </w:tr>
      <w:tr>
        <w:trPr>
          <w:cantSplit/>
        </w:trPr>
        <w:tc>
          <w:tcPr>
            <w:tcW w:type="dxa" w:w="2393"/>
          </w:tcPr>
          <w:p>
            <w:pPr>
              <w:pStyle w:val="Compact"/>
              <w:spacing w:line="240" w:lineRule="auto" w:after="20"/>
            </w:pPr>
            <w:r>
              <w:rPr>
                <w:rStyle w:val="VerbatimChar"/>
                <w:sz w:val="20"/>
              </w:rPr>
              <w:t xml:space="preserve">current_lst_mean</w:t>
            </w:r>
          </w:p>
        </w:tc>
        <w:tc>
          <w:tcPr>
            <w:tcW w:type="dxa" w:w="1260"/>
          </w:tcPr>
          <w:p>
            <w:pPr>
              <w:pStyle w:val="Compact"/>
              <w:spacing w:line="240" w:lineRule="auto" w:after="20"/>
            </w:pPr>
            <w:r>
              <w:rPr>
                <w:sz w:val="20"/>
              </w:rPr>
              <w:t xml:space="preserve">Evia</w:t>
            </w:r>
          </w:p>
        </w:tc>
        <w:tc>
          <w:tcPr>
            <w:tcW w:type="dxa" w:w="630"/>
          </w:tcPr>
          <w:p>
            <w:pPr>
              <w:pStyle w:val="Compact"/>
              <w:spacing w:line="240" w:lineRule="auto" w:after="20"/>
              <w:jc w:val="right"/>
            </w:pPr>
            <w:r>
              <w:rPr>
                <w:sz w:val="20"/>
              </w:rPr>
              <w:t xml:space="preserve">0.377</w:t>
            </w:r>
          </w:p>
        </w:tc>
        <w:tc>
          <w:tcPr>
            <w:tcW w:type="dxa" w:w="1260"/>
          </w:tcPr>
          <w:p>
            <w:pPr>
              <w:pStyle w:val="Compact"/>
              <w:spacing w:line="240" w:lineRule="auto" w:after="20"/>
            </w:pPr>
            <w:r>
              <w:rPr>
                <w:sz w:val="20"/>
              </w:rPr>
              <w:t xml:space="preserve">Manavgat</w:t>
            </w:r>
          </w:p>
        </w:tc>
        <w:tc>
          <w:tcPr>
            <w:tcW w:type="dxa" w:w="630"/>
          </w:tcPr>
          <w:p>
            <w:pPr>
              <w:pStyle w:val="Compact"/>
              <w:spacing w:line="240" w:lineRule="auto" w:after="20"/>
              <w:jc w:val="right"/>
            </w:pPr>
            <w:r>
              <w:rPr>
                <w:sz w:val="20"/>
              </w:rPr>
              <w:t xml:space="preserve">0.665</w:t>
            </w:r>
          </w:p>
        </w:tc>
        <w:tc>
          <w:tcPr>
            <w:tcW w:type="dxa" w:w="2897"/>
          </w:tcPr>
          <w:p>
            <w:pPr>
              <w:pStyle w:val="Compact"/>
              <w:spacing w:line="240" w:lineRule="auto" w:after="20"/>
            </w:pPr>
            <w:r>
              <w:rPr>
                <w:sz w:val="20"/>
              </w:rPr>
              <w:t xml:space="preserve">+0.288 [+0.195, +0.384]</w:t>
            </w:r>
          </w:p>
        </w:tc>
      </w:tr>
      <w:tr>
        <w:trPr>
          <w:cantSplit/>
        </w:trPr>
        <w:tc>
          <w:tcPr>
            <w:tcW w:type="dxa" w:w="2393"/>
          </w:tcPr>
          <w:p>
            <w:pPr>
              <w:pStyle w:val="Compact"/>
              <w:spacing w:line="240" w:lineRule="auto" w:after="20"/>
            </w:pPr>
            <w:r>
              <w:rPr>
                <w:rStyle w:val="VerbatimChar"/>
                <w:sz w:val="20"/>
              </w:rPr>
              <w:t xml:space="preserve">current_tvdi_mean</w:t>
            </w:r>
          </w:p>
        </w:tc>
        <w:tc>
          <w:tcPr>
            <w:tcW w:type="dxa" w:w="1260"/>
          </w:tcPr>
          <w:p>
            <w:pPr>
              <w:pStyle w:val="Compact"/>
              <w:spacing w:line="240" w:lineRule="auto" w:after="20"/>
            </w:pPr>
            <w:r>
              <w:rPr>
                <w:sz w:val="20"/>
              </w:rPr>
              <w:t xml:space="preserve">Muğla</w:t>
            </w:r>
          </w:p>
        </w:tc>
        <w:tc>
          <w:tcPr>
            <w:tcW w:type="dxa" w:w="630"/>
          </w:tcPr>
          <w:p>
            <w:pPr>
              <w:pStyle w:val="Compact"/>
              <w:spacing w:line="240" w:lineRule="auto" w:after="20"/>
              <w:jc w:val="right"/>
            </w:pPr>
            <w:r>
              <w:rPr>
                <w:sz w:val="20"/>
              </w:rPr>
              <w:t xml:space="preserve">0.336</w:t>
            </w:r>
          </w:p>
        </w:tc>
        <w:tc>
          <w:tcPr>
            <w:tcW w:type="dxa" w:w="1260"/>
          </w:tcPr>
          <w:p>
            <w:pPr>
              <w:pStyle w:val="Compact"/>
              <w:spacing w:line="240" w:lineRule="auto" w:after="20"/>
            </w:pPr>
            <w:r>
              <w:rPr>
                <w:sz w:val="20"/>
              </w:rPr>
              <w:t xml:space="preserve">Manavgat</w:t>
            </w:r>
          </w:p>
        </w:tc>
        <w:tc>
          <w:tcPr>
            <w:tcW w:type="dxa" w:w="630"/>
          </w:tcPr>
          <w:p>
            <w:pPr>
              <w:pStyle w:val="Compact"/>
              <w:spacing w:line="240" w:lineRule="auto" w:after="20"/>
              <w:jc w:val="right"/>
            </w:pPr>
            <w:r>
              <w:rPr>
                <w:sz w:val="20"/>
              </w:rPr>
              <w:t xml:space="preserve">0.677</w:t>
            </w:r>
          </w:p>
        </w:tc>
        <w:tc>
          <w:tcPr>
            <w:tcW w:type="dxa" w:w="2897"/>
          </w:tcPr>
          <w:p>
            <w:pPr>
              <w:pStyle w:val="Compact"/>
              <w:spacing w:line="240" w:lineRule="auto" w:after="20"/>
            </w:pPr>
            <w:r>
              <w:rPr>
                <w:sz w:val="20"/>
              </w:rPr>
              <w:t xml:space="preserve">+0.341 [+0.253, +0.422]</w:t>
            </w:r>
          </w:p>
        </w:tc>
      </w:tr>
      <w:tr>
        <w:trPr>
          <w:cantSplit/>
        </w:trPr>
        <w:tc>
          <w:tcPr>
            <w:tcW w:type="dxa" w:w="2393"/>
          </w:tcPr>
          <w:p>
            <w:pPr>
              <w:pStyle w:val="Compact"/>
              <w:spacing w:line="240" w:lineRule="auto" w:after="20"/>
            </w:pPr>
            <w:r>
              <w:rPr>
                <w:rStyle w:val="VerbatimChar"/>
                <w:sz w:val="20"/>
              </w:rPr>
              <w:t xml:space="preserve">current_tvdi_mean</w:t>
            </w:r>
          </w:p>
        </w:tc>
        <w:tc>
          <w:tcPr>
            <w:tcW w:type="dxa" w:w="1260"/>
          </w:tcPr>
          <w:p>
            <w:pPr>
              <w:pStyle w:val="Compact"/>
              <w:spacing w:line="240" w:lineRule="auto" w:after="20"/>
            </w:pPr>
            <w:r>
              <w:rPr>
                <w:sz w:val="20"/>
              </w:rPr>
              <w:t xml:space="preserve">Evia</w:t>
            </w:r>
          </w:p>
        </w:tc>
        <w:tc>
          <w:tcPr>
            <w:tcW w:type="dxa" w:w="630"/>
          </w:tcPr>
          <w:p>
            <w:pPr>
              <w:pStyle w:val="Compact"/>
              <w:spacing w:line="240" w:lineRule="auto" w:after="20"/>
              <w:jc w:val="right"/>
            </w:pPr>
            <w:r>
              <w:rPr>
                <w:sz w:val="20"/>
              </w:rPr>
              <w:t xml:space="preserve">0.362</w:t>
            </w:r>
          </w:p>
        </w:tc>
        <w:tc>
          <w:tcPr>
            <w:tcW w:type="dxa" w:w="1260"/>
          </w:tcPr>
          <w:p>
            <w:pPr>
              <w:pStyle w:val="Compact"/>
              <w:spacing w:line="240" w:lineRule="auto" w:after="20"/>
            </w:pPr>
            <w:r>
              <w:rPr>
                <w:sz w:val="20"/>
              </w:rPr>
              <w:t xml:space="preserve">Manavgat</w:t>
            </w:r>
          </w:p>
        </w:tc>
        <w:tc>
          <w:tcPr>
            <w:tcW w:type="dxa" w:w="630"/>
          </w:tcPr>
          <w:p>
            <w:pPr>
              <w:pStyle w:val="Compact"/>
              <w:spacing w:line="240" w:lineRule="auto" w:after="20"/>
              <w:jc w:val="right"/>
            </w:pPr>
            <w:r>
              <w:rPr>
                <w:sz w:val="20"/>
              </w:rPr>
              <w:t xml:space="preserve">0.677</w:t>
            </w:r>
          </w:p>
        </w:tc>
        <w:tc>
          <w:tcPr>
            <w:tcW w:type="dxa" w:w="2897"/>
          </w:tcPr>
          <w:p>
            <w:pPr>
              <w:pStyle w:val="Compact"/>
              <w:spacing w:line="240" w:lineRule="auto" w:after="20"/>
            </w:pPr>
            <w:r>
              <w:rPr>
                <w:sz w:val="20"/>
              </w:rPr>
              <w:t xml:space="preserve">+0.315 [+0.221, +0.413]</w:t>
            </w:r>
          </w:p>
        </w:tc>
      </w:tr>
      <w:tr>
        <w:trPr>
          <w:cantSplit/>
        </w:trPr>
        <w:tc>
          <w:tcPr>
            <w:tcW w:type="dxa" w:w="2393"/>
          </w:tcPr>
          <w:p>
            <w:pPr>
              <w:pStyle w:val="Compact"/>
              <w:spacing w:line="240" w:lineRule="auto" w:after="20"/>
            </w:pPr>
            <w:r>
              <w:rPr>
                <w:rStyle w:val="VerbatimChar"/>
                <w:sz w:val="20"/>
              </w:rPr>
              <w:t xml:space="preserve">current_tvdi_mean</w:t>
            </w:r>
          </w:p>
        </w:tc>
        <w:tc>
          <w:tcPr>
            <w:tcW w:type="dxa" w:w="1260"/>
          </w:tcPr>
          <w:p>
            <w:pPr>
              <w:pStyle w:val="Compact"/>
              <w:spacing w:line="240" w:lineRule="auto" w:after="20"/>
            </w:pPr>
            <w:r>
              <w:rPr>
                <w:sz w:val="20"/>
              </w:rPr>
              <w:t xml:space="preserve">Montiferru</w:t>
            </w:r>
          </w:p>
        </w:tc>
        <w:tc>
          <w:tcPr>
            <w:tcW w:type="dxa" w:w="630"/>
          </w:tcPr>
          <w:p>
            <w:pPr>
              <w:pStyle w:val="Compact"/>
              <w:spacing w:line="240" w:lineRule="auto" w:after="20"/>
              <w:jc w:val="right"/>
            </w:pPr>
            <w:r>
              <w:rPr>
                <w:sz w:val="20"/>
              </w:rPr>
              <w:t xml:space="preserve">0.356</w:t>
            </w:r>
          </w:p>
        </w:tc>
        <w:tc>
          <w:tcPr>
            <w:tcW w:type="dxa" w:w="1260"/>
          </w:tcPr>
          <w:p>
            <w:pPr>
              <w:pStyle w:val="Compact"/>
              <w:spacing w:line="240" w:lineRule="auto" w:after="20"/>
            </w:pPr>
            <w:r>
              <w:rPr>
                <w:sz w:val="20"/>
              </w:rPr>
              <w:t xml:space="preserve">Manavgat</w:t>
            </w:r>
          </w:p>
        </w:tc>
        <w:tc>
          <w:tcPr>
            <w:tcW w:type="dxa" w:w="630"/>
          </w:tcPr>
          <w:p>
            <w:pPr>
              <w:pStyle w:val="Compact"/>
              <w:spacing w:line="240" w:lineRule="auto" w:after="20"/>
              <w:jc w:val="right"/>
            </w:pPr>
            <w:r>
              <w:rPr>
                <w:sz w:val="20"/>
              </w:rPr>
              <w:t xml:space="preserve">0.677</w:t>
            </w:r>
          </w:p>
        </w:tc>
        <w:tc>
          <w:tcPr>
            <w:tcW w:type="dxa" w:w="2897"/>
          </w:tcPr>
          <w:p>
            <w:pPr>
              <w:pStyle w:val="Compact"/>
              <w:spacing w:line="240" w:lineRule="auto" w:after="20"/>
            </w:pPr>
            <w:r>
              <w:rPr>
                <w:sz w:val="20"/>
              </w:rPr>
              <w:t xml:space="preserve">+0.322 [+0.161, +0.453]</w:t>
            </w:r>
          </w:p>
        </w:tc>
      </w:tr>
      <w:tr>
        <w:trPr>
          <w:cantSplit/>
        </w:trPr>
        <w:tc>
          <w:tcPr>
            <w:tcW w:type="dxa" w:w="2393"/>
          </w:tcPr>
          <w:p>
            <w:pPr>
              <w:pStyle w:val="Compact"/>
              <w:spacing w:line="240" w:lineRule="auto" w:after="20"/>
            </w:pPr>
            <w:r>
              <w:rPr>
                <w:rStyle w:val="VerbatimChar"/>
                <w:sz w:val="20"/>
              </w:rPr>
              <w:t xml:space="preserve">downscaled_lst_mean</w:t>
            </w:r>
          </w:p>
        </w:tc>
        <w:tc>
          <w:tcPr>
            <w:tcW w:type="dxa" w:w="1260"/>
          </w:tcPr>
          <w:p>
            <w:pPr>
              <w:pStyle w:val="Compact"/>
              <w:spacing w:line="240" w:lineRule="auto" w:after="20"/>
            </w:pPr>
            <w:r>
              <w:rPr>
                <w:sz w:val="20"/>
              </w:rPr>
              <w:t xml:space="preserve">Muğla</w:t>
            </w:r>
          </w:p>
        </w:tc>
        <w:tc>
          <w:tcPr>
            <w:tcW w:type="dxa" w:w="630"/>
          </w:tcPr>
          <w:p>
            <w:pPr>
              <w:pStyle w:val="Compact"/>
              <w:spacing w:line="240" w:lineRule="auto" w:after="20"/>
              <w:jc w:val="right"/>
            </w:pPr>
            <w:r>
              <w:rPr>
                <w:sz w:val="20"/>
              </w:rPr>
              <w:t xml:space="preserve">0.307</w:t>
            </w:r>
          </w:p>
        </w:tc>
        <w:tc>
          <w:tcPr>
            <w:tcW w:type="dxa" w:w="1260"/>
          </w:tcPr>
          <w:p>
            <w:pPr>
              <w:pStyle w:val="Compact"/>
              <w:spacing w:line="240" w:lineRule="auto" w:after="20"/>
            </w:pPr>
            <w:r>
              <w:rPr>
                <w:sz w:val="20"/>
              </w:rPr>
              <w:t xml:space="preserve">Manavgat</w:t>
            </w:r>
          </w:p>
        </w:tc>
        <w:tc>
          <w:tcPr>
            <w:tcW w:type="dxa" w:w="630"/>
          </w:tcPr>
          <w:p>
            <w:pPr>
              <w:pStyle w:val="Compact"/>
              <w:spacing w:line="240" w:lineRule="auto" w:after="20"/>
              <w:jc w:val="right"/>
            </w:pPr>
            <w:r>
              <w:rPr>
                <w:sz w:val="20"/>
              </w:rPr>
              <w:t xml:space="preserve">0.683</w:t>
            </w:r>
          </w:p>
        </w:tc>
        <w:tc>
          <w:tcPr>
            <w:tcW w:type="dxa" w:w="2897"/>
          </w:tcPr>
          <w:p>
            <w:pPr>
              <w:pStyle w:val="Compact"/>
              <w:spacing w:line="240" w:lineRule="auto" w:after="20"/>
            </w:pPr>
            <w:r>
              <w:rPr>
                <w:sz w:val="20"/>
              </w:rPr>
              <w:t xml:space="preserve">+0.376 [+0.295, +0.451]</w:t>
            </w:r>
          </w:p>
        </w:tc>
      </w:tr>
      <w:tr>
        <w:trPr>
          <w:cantSplit/>
        </w:trPr>
        <w:tc>
          <w:tcPr>
            <w:tcW w:type="dxa" w:w="2393"/>
          </w:tcPr>
          <w:p>
            <w:pPr>
              <w:pStyle w:val="Compact"/>
              <w:spacing w:line="240" w:lineRule="auto" w:after="20"/>
            </w:pPr>
            <w:r>
              <w:rPr>
                <w:rStyle w:val="VerbatimChar"/>
                <w:sz w:val="20"/>
              </w:rPr>
              <w:t xml:space="preserve">downscaled_lst_mean</w:t>
            </w:r>
          </w:p>
        </w:tc>
        <w:tc>
          <w:tcPr>
            <w:tcW w:type="dxa" w:w="1260"/>
          </w:tcPr>
          <w:p>
            <w:pPr>
              <w:pStyle w:val="Compact"/>
              <w:spacing w:line="240" w:lineRule="auto" w:after="20"/>
            </w:pPr>
            <w:r>
              <w:rPr>
                <w:sz w:val="20"/>
              </w:rPr>
              <w:t xml:space="preserve">Evia</w:t>
            </w:r>
          </w:p>
        </w:tc>
        <w:tc>
          <w:tcPr>
            <w:tcW w:type="dxa" w:w="630"/>
          </w:tcPr>
          <w:p>
            <w:pPr>
              <w:pStyle w:val="Compact"/>
              <w:spacing w:line="240" w:lineRule="auto" w:after="20"/>
              <w:jc w:val="right"/>
            </w:pPr>
            <w:r>
              <w:rPr>
                <w:sz w:val="20"/>
              </w:rPr>
              <w:t xml:space="preserve">0.377</w:t>
            </w:r>
          </w:p>
        </w:tc>
        <w:tc>
          <w:tcPr>
            <w:tcW w:type="dxa" w:w="1260"/>
          </w:tcPr>
          <w:p>
            <w:pPr>
              <w:pStyle w:val="Compact"/>
              <w:spacing w:line="240" w:lineRule="auto" w:after="20"/>
            </w:pPr>
            <w:r>
              <w:rPr>
                <w:sz w:val="20"/>
              </w:rPr>
              <w:t xml:space="preserve">Manavgat</w:t>
            </w:r>
          </w:p>
        </w:tc>
        <w:tc>
          <w:tcPr>
            <w:tcW w:type="dxa" w:w="630"/>
          </w:tcPr>
          <w:p>
            <w:pPr>
              <w:pStyle w:val="Compact"/>
              <w:spacing w:line="240" w:lineRule="auto" w:after="20"/>
              <w:jc w:val="right"/>
            </w:pPr>
            <w:r>
              <w:rPr>
                <w:sz w:val="20"/>
              </w:rPr>
              <w:t xml:space="preserve">0.683</w:t>
            </w:r>
          </w:p>
        </w:tc>
        <w:tc>
          <w:tcPr>
            <w:tcW w:type="dxa" w:w="2897"/>
          </w:tcPr>
          <w:p>
            <w:pPr>
              <w:pStyle w:val="Compact"/>
              <w:spacing w:line="240" w:lineRule="auto" w:after="20"/>
            </w:pPr>
            <w:r>
              <w:rPr>
                <w:sz w:val="20"/>
              </w:rPr>
              <w:t xml:space="preserve">+0.307 [+0.209, +0.405]</w:t>
            </w:r>
          </w:p>
        </w:tc>
      </w:tr>
      <w:tr>
        <w:trPr>
          <w:cantSplit/>
        </w:trPr>
        <w:tc>
          <w:tcPr>
            <w:tcW w:type="dxa" w:w="2393"/>
          </w:tcPr>
          <w:p>
            <w:pPr>
              <w:pStyle w:val="Compact"/>
              <w:spacing w:line="240" w:lineRule="auto" w:after="20"/>
            </w:pPr>
            <w:r>
              <w:rPr>
                <w:rStyle w:val="VerbatimChar"/>
                <w:sz w:val="20"/>
              </w:rPr>
              <w:t xml:space="preserve">fused_lst_mean</w:t>
            </w:r>
          </w:p>
        </w:tc>
        <w:tc>
          <w:tcPr>
            <w:tcW w:type="dxa" w:w="1260"/>
          </w:tcPr>
          <w:p>
            <w:pPr>
              <w:pStyle w:val="Compact"/>
              <w:spacing w:line="240" w:lineRule="auto" w:after="20"/>
            </w:pPr>
            <w:r>
              <w:rPr>
                <w:sz w:val="20"/>
              </w:rPr>
              <w:t xml:space="preserve">Muğla</w:t>
            </w:r>
          </w:p>
        </w:tc>
        <w:tc>
          <w:tcPr>
            <w:tcW w:type="dxa" w:w="630"/>
          </w:tcPr>
          <w:p>
            <w:pPr>
              <w:pStyle w:val="Compact"/>
              <w:spacing w:line="240" w:lineRule="auto" w:after="20"/>
              <w:jc w:val="right"/>
            </w:pPr>
            <w:r>
              <w:rPr>
                <w:sz w:val="20"/>
              </w:rPr>
              <w:t xml:space="preserve">0.325</w:t>
            </w:r>
          </w:p>
        </w:tc>
        <w:tc>
          <w:tcPr>
            <w:tcW w:type="dxa" w:w="1260"/>
          </w:tcPr>
          <w:p>
            <w:pPr>
              <w:pStyle w:val="Compact"/>
              <w:spacing w:line="240" w:lineRule="auto" w:after="20"/>
            </w:pPr>
            <w:r>
              <w:rPr>
                <w:sz w:val="20"/>
              </w:rPr>
              <w:t xml:space="preserve">Manavgat</w:t>
            </w:r>
          </w:p>
        </w:tc>
        <w:tc>
          <w:tcPr>
            <w:tcW w:type="dxa" w:w="630"/>
          </w:tcPr>
          <w:p>
            <w:pPr>
              <w:pStyle w:val="Compact"/>
              <w:spacing w:line="240" w:lineRule="auto" w:after="20"/>
              <w:jc w:val="right"/>
            </w:pPr>
            <w:r>
              <w:rPr>
                <w:sz w:val="20"/>
              </w:rPr>
              <w:t xml:space="preserve">0.666</w:t>
            </w:r>
          </w:p>
        </w:tc>
        <w:tc>
          <w:tcPr>
            <w:tcW w:type="dxa" w:w="2897"/>
          </w:tcPr>
          <w:p>
            <w:pPr>
              <w:pStyle w:val="Compact"/>
              <w:spacing w:line="240" w:lineRule="auto" w:after="20"/>
            </w:pPr>
            <w:r>
              <w:rPr>
                <w:sz w:val="20"/>
              </w:rPr>
              <w:t xml:space="preserve">+0.341 [+0.261, +0.413]</w:t>
            </w:r>
          </w:p>
        </w:tc>
      </w:tr>
      <w:tr>
        <w:trPr>
          <w:cantSplit/>
        </w:trPr>
        <w:tc>
          <w:tcPr>
            <w:tcW w:type="dxa" w:w="2393"/>
          </w:tcPr>
          <w:p>
            <w:pPr>
              <w:pStyle w:val="Compact"/>
              <w:spacing w:line="240" w:lineRule="auto" w:after="20"/>
            </w:pPr>
            <w:r>
              <w:rPr>
                <w:rStyle w:val="VerbatimChar"/>
                <w:sz w:val="20"/>
              </w:rPr>
              <w:t xml:space="preserve">fused_lst_mean</w:t>
            </w:r>
          </w:p>
        </w:tc>
        <w:tc>
          <w:tcPr>
            <w:tcW w:type="dxa" w:w="1260"/>
          </w:tcPr>
          <w:p>
            <w:pPr>
              <w:pStyle w:val="Compact"/>
              <w:spacing w:line="240" w:lineRule="auto" w:after="20"/>
            </w:pPr>
            <w:r>
              <w:rPr>
                <w:sz w:val="20"/>
              </w:rPr>
              <w:t xml:space="preserve">Evia</w:t>
            </w:r>
          </w:p>
        </w:tc>
        <w:tc>
          <w:tcPr>
            <w:tcW w:type="dxa" w:w="630"/>
          </w:tcPr>
          <w:p>
            <w:pPr>
              <w:pStyle w:val="Compact"/>
              <w:spacing w:line="240" w:lineRule="auto" w:after="20"/>
              <w:jc w:val="right"/>
            </w:pPr>
            <w:r>
              <w:rPr>
                <w:sz w:val="20"/>
              </w:rPr>
              <w:t xml:space="preserve">0.376</w:t>
            </w:r>
          </w:p>
        </w:tc>
        <w:tc>
          <w:tcPr>
            <w:tcW w:type="dxa" w:w="1260"/>
          </w:tcPr>
          <w:p>
            <w:pPr>
              <w:pStyle w:val="Compact"/>
              <w:spacing w:line="240" w:lineRule="auto" w:after="20"/>
            </w:pPr>
            <w:r>
              <w:rPr>
                <w:sz w:val="20"/>
              </w:rPr>
              <w:t xml:space="preserve">Manavgat</w:t>
            </w:r>
          </w:p>
        </w:tc>
        <w:tc>
          <w:tcPr>
            <w:tcW w:type="dxa" w:w="630"/>
          </w:tcPr>
          <w:p>
            <w:pPr>
              <w:pStyle w:val="Compact"/>
              <w:spacing w:line="240" w:lineRule="auto" w:after="20"/>
              <w:jc w:val="right"/>
            </w:pPr>
            <w:r>
              <w:rPr>
                <w:sz w:val="20"/>
              </w:rPr>
              <w:t xml:space="preserve">0.666</w:t>
            </w:r>
          </w:p>
        </w:tc>
        <w:tc>
          <w:tcPr>
            <w:tcW w:type="dxa" w:w="2897"/>
          </w:tcPr>
          <w:p>
            <w:pPr>
              <w:pStyle w:val="Compact"/>
              <w:spacing w:line="240" w:lineRule="auto" w:after="20"/>
            </w:pPr>
            <w:r>
              <w:rPr>
                <w:sz w:val="20"/>
              </w:rPr>
              <w:t xml:space="preserve">+0.291 [+0.198, +0.386]</w:t>
            </w:r>
          </w:p>
        </w:tc>
      </w:tr>
    </w:tbl>
    <w:p>
      <w:pPr>
        <w:pStyle w:val="BodyText"/>
      </w:pPr>
      <w:r>
        <w:t xml:space="preserve">There are fourteen reversals between pairs, across</w:t>
      </w:r>
      <w:r>
        <w:t xml:space="preserve"> </w:t>
      </w:r>
      <w:r>
        <w:rPr>
          <w:b/>
          <w:bCs/>
        </w:rPr>
        <w:t xml:space="preserve">seven</w:t>
      </w:r>
      <w:r>
        <w:t xml:space="preserve"> </w:t>
      </w:r>
      <w:r>
        <w:t xml:space="preserve">features, and thirteen of them involve</w:t>
      </w:r>
      <w:r>
        <w:t xml:space="preserve"> </w:t>
      </w:r>
      <w:r>
        <w:t xml:space="preserve">Manavgat. Under the original label there were three, across two features: elevation and the LST</w:t>
      </w:r>
      <w:r>
        <w:t xml:space="preserve"> </w:t>
      </w:r>
      <w:r>
        <w:t xml:space="preserve">anomaly. The feature-removal analysis of Section 3.11 keeps these two and does not re-select.</w:t>
      </w:r>
      <w:r>
        <w:t xml:space="preserve"> </w:t>
      </w:r>
      <w:r>
        <w:t xml:space="preserve">Twenty-six further pairs reverse at the point estimate only, and they are not counted. The strict</w:t>
      </w:r>
      <w:r>
        <w:t xml:space="preserve"> </w:t>
      </w:r>
      <w:r>
        <w:t xml:space="preserve">criterion reduces the number of findings: a difference interval on the pair (the test of Section</w:t>
      </w:r>
      <w:r>
        <w:t xml:space="preserve"> </w:t>
      </w:r>
      <w:r>
        <w:t xml:space="preserve">S1.12) would support seventeen further reversals. None of the fourteen is corrected for</w:t>
      </w:r>
      <w:r>
        <w:t xml:space="preserve"> </w:t>
      </w:r>
      <w:r>
        <w:t xml:space="preserve">multiplicity; Table S30 gives the corrected counts.</w:t>
      </w:r>
    </w:p>
    <w:bookmarkStart w:id="47" w:name="X352a247e862b156ea5c3bc60cd0031eea17b758"/>
    <w:p>
      <w:pPr>
        <w:pStyle w:val="Heading2"/>
      </w:pPr>
      <w:r>
        <w:t xml:space="preserve">S2.1 The transfer matrix in precision-recall terms</w:t>
      </w:r>
    </w:p>
    <w:p>
      <w:pPr>
        <w:pStyle w:val="FirstParagraph"/>
      </w:pPr>
      <w:r>
        <w:t xml:space="preserve">ROC-AUC is used in the main text so that the results can be compared with the susceptibility</w:t>
      </w:r>
      <w:r>
        <w:t xml:space="preserve"> </w:t>
      </w:r>
      <w:r>
        <w:t xml:space="preserve">literature. A susceptibility map is used to rank areas, so precision-recall measures its practical</w:t>
      </w:r>
      <w:r>
        <w:t xml:space="preserve"> </w:t>
      </w:r>
      <w:r>
        <w:t xml:space="preserve">value. At target prevalences of 7.0 to 28.7 %, the two measures can differ strongly. Values are read</w:t>
      </w:r>
      <w:r>
        <w:t xml:space="preserve"> </w:t>
      </w:r>
      <w:r>
        <w:t xml:space="preserve">from the step9b exports of the re-frozen outputs</w:t>
      </w:r>
      <w:r>
        <w:t xml:space="preserve"> </w:t>
      </w:r>
      <w:r>
        <w:t xml:space="preserve">(</w:t>
      </w:r>
      <w:r>
        <w:rPr>
          <w:rStyle w:val="VerbatimChar"/>
        </w:rPr>
        <w:t xml:space="preserve">paper/labelfix_rerun/round5/tables/corrected/*/step9b_metrics.json</w:t>
      </w:r>
      <w:r>
        <w:t xml:space="preserve">).</w:t>
      </w:r>
    </w:p>
    <w:p>
      <w:pPr>
        <w:pStyle w:val="BodyText"/>
        <w:keepNext/>
      </w:pPr>
      <w:r>
        <w:rPr>
          <w:b/>
          <w:bCs/>
        </w:rPr>
        <w:t xml:space="preserve">Table S11. Thermal transfer, PR-AUC against the no-skill baseline.</w:t>
      </w:r>
      <w:r>
        <w:t xml:space="preserve"> </w:t>
      </w:r>
      <w:r>
        <w:t xml:space="preserve">The baseline is the burned</w:t>
      </w:r>
      <w:r>
        <w:t xml:space="preserve"> </w:t>
      </w:r>
      <w:r>
        <w:t xml:space="preserve">prevalence of the target. Lift is PR-AUC divided by this baseline; a lift of 1 is no better than a</w:t>
      </w:r>
      <w:r>
        <w:t xml:space="preserve"> </w:t>
      </w:r>
      <w:r>
        <w:t xml:space="preserve">random ranking. Ordered by lift. Checked row by row by</w:t>
      </w:r>
      <w:r>
        <w:t xml:space="preserve"> </w:t>
      </w:r>
      <w:r>
        <w:rPr>
          <w:rStyle w:val="VerbatimChar"/>
        </w:rPr>
        <w:t xml:space="preserve">paper/code/appendix_tables.py</w:t>
      </w:r>
      <w:r>
        <w:t xml:space="preserve">. PR-AUC</w:t>
      </w:r>
      <w:r>
        <w:t xml:space="preserve"> </w:t>
      </w:r>
      <w:r>
        <w:t xml:space="preserve">intervals at 2-cell and 10-cell blocking for every direction are in</w:t>
      </w:r>
      <w:r>
        <w:t xml:space="preserve"> </w:t>
      </w:r>
      <w:r>
        <w:rPr>
          <w:rStyle w:val="VerbatimChar"/>
        </w:rPr>
        <w:t xml:space="preserve">paper/labelfix_rerun/round7/r7a_pr_auc_10cell.csv</w:t>
      </w:r>
      <w:r>
        <w:t xml:space="preserve">.</w:t>
      </w:r>
    </w:p>
    <w:tbl>
      <w:tblPr>
        <w:tblStyle w:val="Table"/>
        <w:tblW w:type="auto" w:w="0"/>
        <w:tblLook w:firstRow="1" w:lastRow="0" w:firstColumn="0" w:lastColumn="0" w:noHBand="0" w:noVBand="0" w:val="0020"/>
      </w:tblPr>
      <w:tblGrid>
        <w:gridCol w:w="4141"/>
        <w:gridCol w:w="1380"/>
        <w:gridCol w:w="1183"/>
        <w:gridCol w:w="1577"/>
        <w:gridCol w:w="789"/>
      </w:tblGrid>
      <w:tr>
        <w:trPr>
          <w:tblHeader w:val="on"/>
          <w:cantSplit/>
        </w:trPr>
        <w:tc>
          <w:tcPr>
            <w:tcW w:type="dxa" w:w="4141"/>
          </w:tcPr>
          <w:p>
            <w:pPr>
              <w:pStyle w:val="Compact"/>
              <w:spacing w:line="240" w:lineRule="auto" w:after="20"/>
            </w:pPr>
            <w:r>
              <w:rPr>
                <w:sz w:val="20"/>
              </w:rPr>
              <w:t xml:space="preserve">Direction</w:t>
            </w:r>
          </w:p>
        </w:tc>
        <w:tc>
          <w:tcPr>
            <w:tcW w:type="dxa" w:w="1380"/>
          </w:tcPr>
          <w:p>
            <w:pPr>
              <w:pStyle w:val="Compact"/>
              <w:spacing w:line="240" w:lineRule="auto" w:after="20"/>
              <w:jc w:val="right"/>
            </w:pPr>
            <w:r>
              <w:rPr>
                <w:sz w:val="20"/>
              </w:rPr>
              <w:t xml:space="preserve">ROC-AUC</w:t>
            </w:r>
          </w:p>
        </w:tc>
        <w:tc>
          <w:tcPr>
            <w:tcW w:type="dxa" w:w="1183"/>
          </w:tcPr>
          <w:p>
            <w:pPr>
              <w:pStyle w:val="Compact"/>
              <w:spacing w:line="240" w:lineRule="auto" w:after="20"/>
              <w:jc w:val="right"/>
            </w:pPr>
            <w:r>
              <w:rPr>
                <w:sz w:val="20"/>
              </w:rPr>
              <w:t xml:space="preserve">PR-AUC</w:t>
            </w:r>
          </w:p>
        </w:tc>
        <w:tc>
          <w:tcPr>
            <w:tcW w:type="dxa" w:w="1577"/>
          </w:tcPr>
          <w:p>
            <w:pPr>
              <w:pStyle w:val="Compact"/>
              <w:spacing w:line="240" w:lineRule="auto" w:after="20"/>
              <w:jc w:val="right"/>
            </w:pPr>
            <w:r>
              <w:rPr>
                <w:sz w:val="20"/>
              </w:rPr>
              <w:t xml:space="preserve">No-skill</w:t>
            </w:r>
          </w:p>
        </w:tc>
        <w:tc>
          <w:tcPr>
            <w:tcW w:type="dxa" w:w="789"/>
          </w:tcPr>
          <w:p>
            <w:pPr>
              <w:pStyle w:val="Compact"/>
              <w:spacing w:line="240" w:lineRule="auto" w:after="20"/>
              <w:jc w:val="right"/>
            </w:pPr>
            <w:r>
              <w:rPr>
                <w:sz w:val="20"/>
              </w:rPr>
              <w:t xml:space="preserve">Lift</w:t>
            </w:r>
          </w:p>
        </w:tc>
      </w:tr>
      <w:tr>
        <w:trPr>
          <w:cantSplit/>
        </w:trPr>
        <w:tc>
          <w:tcPr>
            <w:tcW w:type="dxa" w:w="4141"/>
          </w:tcPr>
          <w:p>
            <w:pPr>
              <w:pStyle w:val="Compact"/>
              <w:spacing w:line="240" w:lineRule="auto" w:after="20"/>
            </w:pPr>
            <w:r>
              <w:rPr>
                <w:sz w:val="20"/>
              </w:rPr>
              <w:t xml:space="preserve">Evia → Manavgat</w:t>
            </w:r>
          </w:p>
        </w:tc>
        <w:tc>
          <w:tcPr>
            <w:tcW w:type="dxa" w:w="1380"/>
          </w:tcPr>
          <w:p>
            <w:pPr>
              <w:pStyle w:val="Compact"/>
              <w:spacing w:line="240" w:lineRule="auto" w:after="20"/>
              <w:jc w:val="right"/>
            </w:pPr>
            <w:r>
              <w:rPr>
                <w:sz w:val="20"/>
              </w:rPr>
              <w:t xml:space="preserve">0.677</w:t>
            </w:r>
          </w:p>
        </w:tc>
        <w:tc>
          <w:tcPr>
            <w:tcW w:type="dxa" w:w="1183"/>
          </w:tcPr>
          <w:p>
            <w:pPr>
              <w:pStyle w:val="Compact"/>
              <w:spacing w:line="240" w:lineRule="auto" w:after="20"/>
              <w:jc w:val="right"/>
            </w:pPr>
            <w:r>
              <w:rPr>
                <w:sz w:val="20"/>
              </w:rPr>
              <w:t xml:space="preserve">0.321</w:t>
            </w:r>
          </w:p>
        </w:tc>
        <w:tc>
          <w:tcPr>
            <w:tcW w:type="dxa" w:w="1577"/>
          </w:tcPr>
          <w:p>
            <w:pPr>
              <w:pStyle w:val="Compact"/>
              <w:spacing w:line="240" w:lineRule="auto" w:after="20"/>
              <w:jc w:val="right"/>
            </w:pPr>
            <w:r>
              <w:rPr>
                <w:sz w:val="20"/>
              </w:rPr>
              <w:t xml:space="preserve">0.143</w:t>
            </w:r>
          </w:p>
        </w:tc>
        <w:tc>
          <w:tcPr>
            <w:tcW w:type="dxa" w:w="789"/>
          </w:tcPr>
          <w:p>
            <w:pPr>
              <w:pStyle w:val="Compact"/>
              <w:spacing w:line="240" w:lineRule="auto" w:after="20"/>
              <w:jc w:val="right"/>
            </w:pPr>
            <w:r>
              <w:rPr>
                <w:b/>
                <w:bCs/>
                <w:sz w:val="20"/>
              </w:rPr>
              <w:t xml:space="preserve">2.24</w:t>
            </w:r>
          </w:p>
        </w:tc>
      </w:tr>
      <w:tr>
        <w:trPr>
          <w:cantSplit/>
        </w:trPr>
        <w:tc>
          <w:tcPr>
            <w:tcW w:type="dxa" w:w="4141"/>
          </w:tcPr>
          <w:p>
            <w:pPr>
              <w:pStyle w:val="Compact"/>
              <w:spacing w:line="240" w:lineRule="auto" w:after="20"/>
            </w:pPr>
            <w:r>
              <w:rPr>
                <w:sz w:val="20"/>
              </w:rPr>
              <w:t xml:space="preserve">Manavgat → Evia</w:t>
            </w:r>
          </w:p>
        </w:tc>
        <w:tc>
          <w:tcPr>
            <w:tcW w:type="dxa" w:w="1380"/>
          </w:tcPr>
          <w:p>
            <w:pPr>
              <w:pStyle w:val="Compact"/>
              <w:spacing w:line="240" w:lineRule="auto" w:after="20"/>
              <w:jc w:val="right"/>
            </w:pPr>
            <w:r>
              <w:rPr>
                <w:sz w:val="20"/>
              </w:rPr>
              <w:t xml:space="preserve">0.654</w:t>
            </w:r>
          </w:p>
        </w:tc>
        <w:tc>
          <w:tcPr>
            <w:tcW w:type="dxa" w:w="1183"/>
          </w:tcPr>
          <w:p>
            <w:pPr>
              <w:pStyle w:val="Compact"/>
              <w:spacing w:line="240" w:lineRule="auto" w:after="20"/>
              <w:jc w:val="right"/>
            </w:pPr>
            <w:r>
              <w:rPr>
                <w:sz w:val="20"/>
              </w:rPr>
              <w:t xml:space="preserve">0.407</w:t>
            </w:r>
          </w:p>
        </w:tc>
        <w:tc>
          <w:tcPr>
            <w:tcW w:type="dxa" w:w="1577"/>
          </w:tcPr>
          <w:p>
            <w:pPr>
              <w:pStyle w:val="Compact"/>
              <w:spacing w:line="240" w:lineRule="auto" w:after="20"/>
              <w:jc w:val="right"/>
            </w:pPr>
            <w:r>
              <w:rPr>
                <w:sz w:val="20"/>
              </w:rPr>
              <w:t xml:space="preserve">0.287</w:t>
            </w:r>
          </w:p>
        </w:tc>
        <w:tc>
          <w:tcPr>
            <w:tcW w:type="dxa" w:w="789"/>
          </w:tcPr>
          <w:p>
            <w:pPr>
              <w:pStyle w:val="Compact"/>
              <w:spacing w:line="240" w:lineRule="auto" w:after="20"/>
              <w:jc w:val="right"/>
            </w:pPr>
            <w:r>
              <w:rPr>
                <w:sz w:val="20"/>
              </w:rPr>
              <w:t xml:space="preserve">1.42</w:t>
            </w:r>
          </w:p>
        </w:tc>
      </w:tr>
      <w:tr>
        <w:trPr>
          <w:cantSplit/>
        </w:trPr>
        <w:tc>
          <w:tcPr>
            <w:tcW w:type="dxa" w:w="4141"/>
          </w:tcPr>
          <w:p>
            <w:pPr>
              <w:pStyle w:val="Compact"/>
              <w:spacing w:line="240" w:lineRule="auto" w:after="20"/>
            </w:pPr>
            <w:r>
              <w:rPr>
                <w:sz w:val="20"/>
              </w:rPr>
              <w:t xml:space="preserve">Bejís → Montiferru</w:t>
            </w:r>
          </w:p>
        </w:tc>
        <w:tc>
          <w:tcPr>
            <w:tcW w:type="dxa" w:w="1380"/>
          </w:tcPr>
          <w:p>
            <w:pPr>
              <w:pStyle w:val="Compact"/>
              <w:spacing w:line="240" w:lineRule="auto" w:after="20"/>
              <w:jc w:val="right"/>
            </w:pPr>
            <w:r>
              <w:rPr>
                <w:sz w:val="20"/>
              </w:rPr>
              <w:t xml:space="preserve">0.594</w:t>
            </w:r>
          </w:p>
        </w:tc>
        <w:tc>
          <w:tcPr>
            <w:tcW w:type="dxa" w:w="1183"/>
          </w:tcPr>
          <w:p>
            <w:pPr>
              <w:pStyle w:val="Compact"/>
              <w:spacing w:line="240" w:lineRule="auto" w:after="20"/>
              <w:jc w:val="right"/>
            </w:pPr>
            <w:r>
              <w:rPr>
                <w:sz w:val="20"/>
              </w:rPr>
              <w:t xml:space="preserve">0.289</w:t>
            </w:r>
          </w:p>
        </w:tc>
        <w:tc>
          <w:tcPr>
            <w:tcW w:type="dxa" w:w="1577"/>
          </w:tcPr>
          <w:p>
            <w:pPr>
              <w:pStyle w:val="Compact"/>
              <w:spacing w:line="240" w:lineRule="auto" w:after="20"/>
              <w:jc w:val="right"/>
            </w:pPr>
            <w:r>
              <w:rPr>
                <w:sz w:val="20"/>
              </w:rPr>
              <w:t xml:space="preserve">0.212</w:t>
            </w:r>
          </w:p>
        </w:tc>
        <w:tc>
          <w:tcPr>
            <w:tcW w:type="dxa" w:w="789"/>
          </w:tcPr>
          <w:p>
            <w:pPr>
              <w:pStyle w:val="Compact"/>
              <w:spacing w:line="240" w:lineRule="auto" w:after="20"/>
              <w:jc w:val="right"/>
            </w:pPr>
            <w:r>
              <w:rPr>
                <w:sz w:val="20"/>
              </w:rPr>
              <w:t xml:space="preserve">1.36</w:t>
            </w:r>
          </w:p>
        </w:tc>
      </w:tr>
      <w:tr>
        <w:trPr>
          <w:cantSplit/>
        </w:trPr>
        <w:tc>
          <w:tcPr>
            <w:tcW w:type="dxa" w:w="4141"/>
          </w:tcPr>
          <w:p>
            <w:pPr>
              <w:pStyle w:val="Compact"/>
              <w:spacing w:line="240" w:lineRule="auto" w:after="20"/>
            </w:pPr>
            <w:r>
              <w:rPr>
                <w:sz w:val="20"/>
              </w:rPr>
              <w:t xml:space="preserve">Evia → Montiferru</w:t>
            </w:r>
          </w:p>
        </w:tc>
        <w:tc>
          <w:tcPr>
            <w:tcW w:type="dxa" w:w="1380"/>
          </w:tcPr>
          <w:p>
            <w:pPr>
              <w:pStyle w:val="Compact"/>
              <w:spacing w:line="240" w:lineRule="auto" w:after="20"/>
              <w:jc w:val="right"/>
            </w:pPr>
            <w:r>
              <w:rPr>
                <w:sz w:val="20"/>
              </w:rPr>
              <w:t xml:space="preserve">0.647</w:t>
            </w:r>
          </w:p>
        </w:tc>
        <w:tc>
          <w:tcPr>
            <w:tcW w:type="dxa" w:w="1183"/>
          </w:tcPr>
          <w:p>
            <w:pPr>
              <w:pStyle w:val="Compact"/>
              <w:spacing w:line="240" w:lineRule="auto" w:after="20"/>
              <w:jc w:val="right"/>
            </w:pPr>
            <w:r>
              <w:rPr>
                <w:sz w:val="20"/>
              </w:rPr>
              <w:t xml:space="preserve">0.283</w:t>
            </w:r>
          </w:p>
        </w:tc>
        <w:tc>
          <w:tcPr>
            <w:tcW w:type="dxa" w:w="1577"/>
          </w:tcPr>
          <w:p>
            <w:pPr>
              <w:pStyle w:val="Compact"/>
              <w:spacing w:line="240" w:lineRule="auto" w:after="20"/>
              <w:jc w:val="right"/>
            </w:pPr>
            <w:r>
              <w:rPr>
                <w:sz w:val="20"/>
              </w:rPr>
              <w:t xml:space="preserve">0.212</w:t>
            </w:r>
          </w:p>
        </w:tc>
        <w:tc>
          <w:tcPr>
            <w:tcW w:type="dxa" w:w="789"/>
          </w:tcPr>
          <w:p>
            <w:pPr>
              <w:pStyle w:val="Compact"/>
              <w:spacing w:line="240" w:lineRule="auto" w:after="20"/>
              <w:jc w:val="right"/>
            </w:pPr>
            <w:r>
              <w:rPr>
                <w:sz w:val="20"/>
              </w:rPr>
              <w:t xml:space="preserve">1.34</w:t>
            </w:r>
          </w:p>
        </w:tc>
      </w:tr>
      <w:tr>
        <w:trPr>
          <w:cantSplit/>
        </w:trPr>
        <w:tc>
          <w:tcPr>
            <w:tcW w:type="dxa" w:w="4141"/>
          </w:tcPr>
          <w:p>
            <w:pPr>
              <w:pStyle w:val="Compact"/>
              <w:spacing w:line="240" w:lineRule="auto" w:after="20"/>
            </w:pPr>
            <w:r>
              <w:rPr>
                <w:sz w:val="20"/>
              </w:rPr>
              <w:t xml:space="preserve">Bejís → Muğla</w:t>
            </w:r>
          </w:p>
        </w:tc>
        <w:tc>
          <w:tcPr>
            <w:tcW w:type="dxa" w:w="1380"/>
          </w:tcPr>
          <w:p>
            <w:pPr>
              <w:pStyle w:val="Compact"/>
              <w:spacing w:line="240" w:lineRule="auto" w:after="20"/>
              <w:jc w:val="right"/>
            </w:pPr>
            <w:r>
              <w:rPr>
                <w:sz w:val="20"/>
              </w:rPr>
              <w:t xml:space="preserve">0.618</w:t>
            </w:r>
          </w:p>
        </w:tc>
        <w:tc>
          <w:tcPr>
            <w:tcW w:type="dxa" w:w="1183"/>
          </w:tcPr>
          <w:p>
            <w:pPr>
              <w:pStyle w:val="Compact"/>
              <w:spacing w:line="240" w:lineRule="auto" w:after="20"/>
              <w:jc w:val="right"/>
            </w:pPr>
            <w:r>
              <w:rPr>
                <w:sz w:val="20"/>
              </w:rPr>
              <w:t xml:space="preserve">0.093</w:t>
            </w:r>
          </w:p>
        </w:tc>
        <w:tc>
          <w:tcPr>
            <w:tcW w:type="dxa" w:w="1577"/>
          </w:tcPr>
          <w:p>
            <w:pPr>
              <w:pStyle w:val="Compact"/>
              <w:spacing w:line="240" w:lineRule="auto" w:after="20"/>
              <w:jc w:val="right"/>
            </w:pPr>
            <w:r>
              <w:rPr>
                <w:sz w:val="20"/>
              </w:rPr>
              <w:t xml:space="preserve">0.070</w:t>
            </w:r>
          </w:p>
        </w:tc>
        <w:tc>
          <w:tcPr>
            <w:tcW w:type="dxa" w:w="789"/>
          </w:tcPr>
          <w:p>
            <w:pPr>
              <w:pStyle w:val="Compact"/>
              <w:spacing w:line="240" w:lineRule="auto" w:after="20"/>
              <w:jc w:val="right"/>
            </w:pPr>
            <w:r>
              <w:rPr>
                <w:sz w:val="20"/>
              </w:rPr>
              <w:t xml:space="preserve">1.33</w:t>
            </w:r>
          </w:p>
        </w:tc>
      </w:tr>
      <w:tr>
        <w:trPr>
          <w:cantSplit/>
        </w:trPr>
        <w:tc>
          <w:tcPr>
            <w:tcW w:type="dxa" w:w="4141"/>
          </w:tcPr>
          <w:p>
            <w:pPr>
              <w:pStyle w:val="Compact"/>
              <w:spacing w:line="240" w:lineRule="auto" w:after="20"/>
            </w:pPr>
            <w:r>
              <w:rPr>
                <w:sz w:val="20"/>
              </w:rPr>
              <w:t xml:space="preserve">Muğla → Evia</w:t>
            </w:r>
          </w:p>
        </w:tc>
        <w:tc>
          <w:tcPr>
            <w:tcW w:type="dxa" w:w="1380"/>
          </w:tcPr>
          <w:p>
            <w:pPr>
              <w:pStyle w:val="Compact"/>
              <w:spacing w:line="240" w:lineRule="auto" w:after="20"/>
              <w:jc w:val="right"/>
            </w:pPr>
            <w:r>
              <w:rPr>
                <w:sz w:val="20"/>
              </w:rPr>
              <w:t xml:space="preserve">0.653</w:t>
            </w:r>
          </w:p>
        </w:tc>
        <w:tc>
          <w:tcPr>
            <w:tcW w:type="dxa" w:w="1183"/>
          </w:tcPr>
          <w:p>
            <w:pPr>
              <w:pStyle w:val="Compact"/>
              <w:spacing w:line="240" w:lineRule="auto" w:after="20"/>
              <w:jc w:val="right"/>
            </w:pPr>
            <w:r>
              <w:rPr>
                <w:sz w:val="20"/>
              </w:rPr>
              <w:t xml:space="preserve">0.379</w:t>
            </w:r>
          </w:p>
        </w:tc>
        <w:tc>
          <w:tcPr>
            <w:tcW w:type="dxa" w:w="1577"/>
          </w:tcPr>
          <w:p>
            <w:pPr>
              <w:pStyle w:val="Compact"/>
              <w:spacing w:line="240" w:lineRule="auto" w:after="20"/>
              <w:jc w:val="right"/>
            </w:pPr>
            <w:r>
              <w:rPr>
                <w:sz w:val="20"/>
              </w:rPr>
              <w:t xml:space="preserve">0.287</w:t>
            </w:r>
          </w:p>
        </w:tc>
        <w:tc>
          <w:tcPr>
            <w:tcW w:type="dxa" w:w="789"/>
          </w:tcPr>
          <w:p>
            <w:pPr>
              <w:pStyle w:val="Compact"/>
              <w:spacing w:line="240" w:lineRule="auto" w:after="20"/>
              <w:jc w:val="right"/>
            </w:pPr>
            <w:r>
              <w:rPr>
                <w:sz w:val="20"/>
              </w:rPr>
              <w:t xml:space="preserve">1.32</w:t>
            </w:r>
          </w:p>
        </w:tc>
      </w:tr>
      <w:tr>
        <w:trPr>
          <w:cantSplit/>
        </w:trPr>
        <w:tc>
          <w:tcPr>
            <w:tcW w:type="dxa" w:w="4141"/>
          </w:tcPr>
          <w:p>
            <w:pPr>
              <w:pStyle w:val="Compact"/>
              <w:spacing w:line="240" w:lineRule="auto" w:after="20"/>
            </w:pPr>
            <w:r>
              <w:rPr>
                <w:sz w:val="20"/>
              </w:rPr>
              <w:t xml:space="preserve">Montiferru → Bejís</w:t>
            </w:r>
          </w:p>
        </w:tc>
        <w:tc>
          <w:tcPr>
            <w:tcW w:type="dxa" w:w="1380"/>
          </w:tcPr>
          <w:p>
            <w:pPr>
              <w:pStyle w:val="Compact"/>
              <w:spacing w:line="240" w:lineRule="auto" w:after="20"/>
              <w:jc w:val="right"/>
            </w:pPr>
            <w:r>
              <w:rPr>
                <w:sz w:val="20"/>
              </w:rPr>
              <w:t xml:space="preserve">0.548</w:t>
            </w:r>
          </w:p>
        </w:tc>
        <w:tc>
          <w:tcPr>
            <w:tcW w:type="dxa" w:w="1183"/>
          </w:tcPr>
          <w:p>
            <w:pPr>
              <w:pStyle w:val="Compact"/>
              <w:spacing w:line="240" w:lineRule="auto" w:after="20"/>
              <w:jc w:val="right"/>
            </w:pPr>
            <w:r>
              <w:rPr>
                <w:sz w:val="20"/>
              </w:rPr>
              <w:t xml:space="preserve">0.093</w:t>
            </w:r>
          </w:p>
        </w:tc>
        <w:tc>
          <w:tcPr>
            <w:tcW w:type="dxa" w:w="1577"/>
          </w:tcPr>
          <w:p>
            <w:pPr>
              <w:pStyle w:val="Compact"/>
              <w:spacing w:line="240" w:lineRule="auto" w:after="20"/>
              <w:jc w:val="right"/>
            </w:pPr>
            <w:r>
              <w:rPr>
                <w:sz w:val="20"/>
              </w:rPr>
              <w:t xml:space="preserve">0.072</w:t>
            </w:r>
          </w:p>
        </w:tc>
        <w:tc>
          <w:tcPr>
            <w:tcW w:type="dxa" w:w="789"/>
          </w:tcPr>
          <w:p>
            <w:pPr>
              <w:pStyle w:val="Compact"/>
              <w:spacing w:line="240" w:lineRule="auto" w:after="20"/>
              <w:jc w:val="right"/>
            </w:pPr>
            <w:r>
              <w:rPr>
                <w:sz w:val="20"/>
              </w:rPr>
              <w:t xml:space="preserve">1.28</w:t>
            </w:r>
          </w:p>
        </w:tc>
      </w:tr>
      <w:tr>
        <w:trPr>
          <w:cantSplit/>
        </w:trPr>
        <w:tc>
          <w:tcPr>
            <w:tcW w:type="dxa" w:w="4141"/>
          </w:tcPr>
          <w:p>
            <w:pPr>
              <w:pStyle w:val="Compact"/>
              <w:spacing w:line="240" w:lineRule="auto" w:after="20"/>
            </w:pPr>
            <w:r>
              <w:rPr>
                <w:sz w:val="20"/>
              </w:rPr>
              <w:t xml:space="preserve">Montiferru → Muğla</w:t>
            </w:r>
          </w:p>
        </w:tc>
        <w:tc>
          <w:tcPr>
            <w:tcW w:type="dxa" w:w="1380"/>
          </w:tcPr>
          <w:p>
            <w:pPr>
              <w:pStyle w:val="Compact"/>
              <w:spacing w:line="240" w:lineRule="auto" w:after="20"/>
              <w:jc w:val="right"/>
            </w:pPr>
            <w:r>
              <w:rPr>
                <w:sz w:val="20"/>
              </w:rPr>
              <w:t xml:space="preserve">0.619</w:t>
            </w:r>
          </w:p>
        </w:tc>
        <w:tc>
          <w:tcPr>
            <w:tcW w:type="dxa" w:w="1183"/>
          </w:tcPr>
          <w:p>
            <w:pPr>
              <w:pStyle w:val="Compact"/>
              <w:spacing w:line="240" w:lineRule="auto" w:after="20"/>
              <w:jc w:val="right"/>
            </w:pPr>
            <w:r>
              <w:rPr>
                <w:sz w:val="20"/>
              </w:rPr>
              <w:t xml:space="preserve">0.089</w:t>
            </w:r>
          </w:p>
        </w:tc>
        <w:tc>
          <w:tcPr>
            <w:tcW w:type="dxa" w:w="1577"/>
          </w:tcPr>
          <w:p>
            <w:pPr>
              <w:pStyle w:val="Compact"/>
              <w:spacing w:line="240" w:lineRule="auto" w:after="20"/>
              <w:jc w:val="right"/>
            </w:pPr>
            <w:r>
              <w:rPr>
                <w:sz w:val="20"/>
              </w:rPr>
              <w:t xml:space="preserve">0.070</w:t>
            </w:r>
          </w:p>
        </w:tc>
        <w:tc>
          <w:tcPr>
            <w:tcW w:type="dxa" w:w="789"/>
          </w:tcPr>
          <w:p>
            <w:pPr>
              <w:pStyle w:val="Compact"/>
              <w:spacing w:line="240" w:lineRule="auto" w:after="20"/>
              <w:jc w:val="right"/>
            </w:pPr>
            <w:r>
              <w:rPr>
                <w:sz w:val="20"/>
              </w:rPr>
              <w:t xml:space="preserve">1.27</w:t>
            </w:r>
          </w:p>
        </w:tc>
      </w:tr>
      <w:tr>
        <w:trPr>
          <w:cantSplit/>
        </w:trPr>
        <w:tc>
          <w:tcPr>
            <w:tcW w:type="dxa" w:w="4141"/>
          </w:tcPr>
          <w:p>
            <w:pPr>
              <w:pStyle w:val="Compact"/>
              <w:spacing w:line="240" w:lineRule="auto" w:after="20"/>
            </w:pPr>
            <w:r>
              <w:rPr>
                <w:sz w:val="20"/>
              </w:rPr>
              <w:t xml:space="preserve">Evia → Muğla</w:t>
            </w:r>
          </w:p>
        </w:tc>
        <w:tc>
          <w:tcPr>
            <w:tcW w:type="dxa" w:w="1380"/>
          </w:tcPr>
          <w:p>
            <w:pPr>
              <w:pStyle w:val="Compact"/>
              <w:spacing w:line="240" w:lineRule="auto" w:after="20"/>
              <w:jc w:val="right"/>
            </w:pPr>
            <w:r>
              <w:rPr>
                <w:sz w:val="20"/>
              </w:rPr>
              <w:t xml:space="preserve">0.577</w:t>
            </w:r>
          </w:p>
        </w:tc>
        <w:tc>
          <w:tcPr>
            <w:tcW w:type="dxa" w:w="1183"/>
          </w:tcPr>
          <w:p>
            <w:pPr>
              <w:pStyle w:val="Compact"/>
              <w:spacing w:line="240" w:lineRule="auto" w:after="20"/>
              <w:jc w:val="right"/>
            </w:pPr>
            <w:r>
              <w:rPr>
                <w:sz w:val="20"/>
              </w:rPr>
              <w:t xml:space="preserve">0.086</w:t>
            </w:r>
          </w:p>
        </w:tc>
        <w:tc>
          <w:tcPr>
            <w:tcW w:type="dxa" w:w="1577"/>
          </w:tcPr>
          <w:p>
            <w:pPr>
              <w:pStyle w:val="Compact"/>
              <w:spacing w:line="240" w:lineRule="auto" w:after="20"/>
              <w:jc w:val="right"/>
            </w:pPr>
            <w:r>
              <w:rPr>
                <w:sz w:val="20"/>
              </w:rPr>
              <w:t xml:space="preserve">0.070</w:t>
            </w:r>
          </w:p>
        </w:tc>
        <w:tc>
          <w:tcPr>
            <w:tcW w:type="dxa" w:w="789"/>
          </w:tcPr>
          <w:p>
            <w:pPr>
              <w:pStyle w:val="Compact"/>
              <w:spacing w:line="240" w:lineRule="auto" w:after="20"/>
              <w:jc w:val="right"/>
            </w:pPr>
            <w:r>
              <w:rPr>
                <w:sz w:val="20"/>
              </w:rPr>
              <w:t xml:space="preserve">1.23</w:t>
            </w:r>
          </w:p>
        </w:tc>
      </w:tr>
      <w:tr>
        <w:trPr>
          <w:cantSplit/>
        </w:trPr>
        <w:tc>
          <w:tcPr>
            <w:tcW w:type="dxa" w:w="4141"/>
          </w:tcPr>
          <w:p>
            <w:pPr>
              <w:pStyle w:val="Compact"/>
              <w:spacing w:line="240" w:lineRule="auto" w:after="20"/>
            </w:pPr>
            <w:r>
              <w:rPr>
                <w:sz w:val="20"/>
              </w:rPr>
              <w:t xml:space="preserve">Muğla → Bejís</w:t>
            </w:r>
          </w:p>
        </w:tc>
        <w:tc>
          <w:tcPr>
            <w:tcW w:type="dxa" w:w="1380"/>
          </w:tcPr>
          <w:p>
            <w:pPr>
              <w:pStyle w:val="Compact"/>
              <w:spacing w:line="240" w:lineRule="auto" w:after="20"/>
              <w:jc w:val="right"/>
            </w:pPr>
            <w:r>
              <w:rPr>
                <w:sz w:val="20"/>
              </w:rPr>
              <w:t xml:space="preserve">0.583</w:t>
            </w:r>
          </w:p>
        </w:tc>
        <w:tc>
          <w:tcPr>
            <w:tcW w:type="dxa" w:w="1183"/>
          </w:tcPr>
          <w:p>
            <w:pPr>
              <w:pStyle w:val="Compact"/>
              <w:spacing w:line="240" w:lineRule="auto" w:after="20"/>
              <w:jc w:val="right"/>
            </w:pPr>
            <w:r>
              <w:rPr>
                <w:sz w:val="20"/>
              </w:rPr>
              <w:t xml:space="preserve">0.088</w:t>
            </w:r>
          </w:p>
        </w:tc>
        <w:tc>
          <w:tcPr>
            <w:tcW w:type="dxa" w:w="1577"/>
          </w:tcPr>
          <w:p>
            <w:pPr>
              <w:pStyle w:val="Compact"/>
              <w:spacing w:line="240" w:lineRule="auto" w:after="20"/>
              <w:jc w:val="right"/>
            </w:pPr>
            <w:r>
              <w:rPr>
                <w:sz w:val="20"/>
              </w:rPr>
              <w:t xml:space="preserve">0.072</w:t>
            </w:r>
          </w:p>
        </w:tc>
        <w:tc>
          <w:tcPr>
            <w:tcW w:type="dxa" w:w="789"/>
          </w:tcPr>
          <w:p>
            <w:pPr>
              <w:pStyle w:val="Compact"/>
              <w:spacing w:line="240" w:lineRule="auto" w:after="20"/>
              <w:jc w:val="right"/>
            </w:pPr>
            <w:r>
              <w:rPr>
                <w:sz w:val="20"/>
              </w:rPr>
              <w:t xml:space="preserve">1.22</w:t>
            </w:r>
          </w:p>
        </w:tc>
      </w:tr>
      <w:tr>
        <w:trPr>
          <w:cantSplit/>
        </w:trPr>
        <w:tc>
          <w:tcPr>
            <w:tcW w:type="dxa" w:w="4141"/>
          </w:tcPr>
          <w:p>
            <w:pPr>
              <w:pStyle w:val="Compact"/>
              <w:spacing w:line="240" w:lineRule="auto" w:after="20"/>
            </w:pPr>
            <w:r>
              <w:rPr>
                <w:sz w:val="20"/>
              </w:rPr>
              <w:t xml:space="preserve">Manavgat → Montiferru</w:t>
            </w:r>
          </w:p>
        </w:tc>
        <w:tc>
          <w:tcPr>
            <w:tcW w:type="dxa" w:w="1380"/>
          </w:tcPr>
          <w:p>
            <w:pPr>
              <w:pStyle w:val="Compact"/>
              <w:spacing w:line="240" w:lineRule="auto" w:after="20"/>
              <w:jc w:val="right"/>
            </w:pPr>
            <w:r>
              <w:rPr>
                <w:sz w:val="20"/>
              </w:rPr>
              <w:t xml:space="preserve">0.518</w:t>
            </w:r>
          </w:p>
        </w:tc>
        <w:tc>
          <w:tcPr>
            <w:tcW w:type="dxa" w:w="1183"/>
          </w:tcPr>
          <w:p>
            <w:pPr>
              <w:pStyle w:val="Compact"/>
              <w:spacing w:line="240" w:lineRule="auto" w:after="20"/>
              <w:jc w:val="right"/>
            </w:pPr>
            <w:r>
              <w:rPr>
                <w:sz w:val="20"/>
              </w:rPr>
              <w:t xml:space="preserve">0.243</w:t>
            </w:r>
          </w:p>
        </w:tc>
        <w:tc>
          <w:tcPr>
            <w:tcW w:type="dxa" w:w="1577"/>
          </w:tcPr>
          <w:p>
            <w:pPr>
              <w:pStyle w:val="Compact"/>
              <w:spacing w:line="240" w:lineRule="auto" w:after="20"/>
              <w:jc w:val="right"/>
            </w:pPr>
            <w:r>
              <w:rPr>
                <w:sz w:val="20"/>
              </w:rPr>
              <w:t xml:space="preserve">0.212</w:t>
            </w:r>
          </w:p>
        </w:tc>
        <w:tc>
          <w:tcPr>
            <w:tcW w:type="dxa" w:w="789"/>
          </w:tcPr>
          <w:p>
            <w:pPr>
              <w:pStyle w:val="Compact"/>
              <w:spacing w:line="240" w:lineRule="auto" w:after="20"/>
              <w:jc w:val="right"/>
            </w:pPr>
            <w:r>
              <w:rPr>
                <w:sz w:val="20"/>
              </w:rPr>
              <w:t xml:space="preserve">1.15</w:t>
            </w:r>
          </w:p>
        </w:tc>
      </w:tr>
      <w:tr>
        <w:trPr>
          <w:cantSplit/>
        </w:trPr>
        <w:tc>
          <w:tcPr>
            <w:tcW w:type="dxa" w:w="4141"/>
          </w:tcPr>
          <w:p>
            <w:pPr>
              <w:pStyle w:val="Compact"/>
              <w:spacing w:line="240" w:lineRule="auto" w:after="20"/>
            </w:pPr>
            <w:r>
              <w:rPr>
                <w:sz w:val="20"/>
              </w:rPr>
              <w:t xml:space="preserve">Montiferru → Evia</w:t>
            </w:r>
          </w:p>
        </w:tc>
        <w:tc>
          <w:tcPr>
            <w:tcW w:type="dxa" w:w="1380"/>
          </w:tcPr>
          <w:p>
            <w:pPr>
              <w:pStyle w:val="Compact"/>
              <w:spacing w:line="240" w:lineRule="auto" w:after="20"/>
              <w:jc w:val="right"/>
            </w:pPr>
            <w:r>
              <w:rPr>
                <w:sz w:val="20"/>
              </w:rPr>
              <w:t xml:space="preserve">0.586</w:t>
            </w:r>
          </w:p>
        </w:tc>
        <w:tc>
          <w:tcPr>
            <w:tcW w:type="dxa" w:w="1183"/>
          </w:tcPr>
          <w:p>
            <w:pPr>
              <w:pStyle w:val="Compact"/>
              <w:spacing w:line="240" w:lineRule="auto" w:after="20"/>
              <w:jc w:val="right"/>
            </w:pPr>
            <w:r>
              <w:rPr>
                <w:sz w:val="20"/>
              </w:rPr>
              <w:t xml:space="preserve">0.317</w:t>
            </w:r>
          </w:p>
        </w:tc>
        <w:tc>
          <w:tcPr>
            <w:tcW w:type="dxa" w:w="1577"/>
          </w:tcPr>
          <w:p>
            <w:pPr>
              <w:pStyle w:val="Compact"/>
              <w:spacing w:line="240" w:lineRule="auto" w:after="20"/>
              <w:jc w:val="right"/>
            </w:pPr>
            <w:r>
              <w:rPr>
                <w:sz w:val="20"/>
              </w:rPr>
              <w:t xml:space="preserve">0.287</w:t>
            </w:r>
          </w:p>
        </w:tc>
        <w:tc>
          <w:tcPr>
            <w:tcW w:type="dxa" w:w="789"/>
          </w:tcPr>
          <w:p>
            <w:pPr>
              <w:pStyle w:val="Compact"/>
              <w:spacing w:line="240" w:lineRule="auto" w:after="20"/>
              <w:jc w:val="right"/>
            </w:pPr>
            <w:r>
              <w:rPr>
                <w:sz w:val="20"/>
              </w:rPr>
              <w:t xml:space="preserve">1.11</w:t>
            </w:r>
          </w:p>
        </w:tc>
      </w:tr>
      <w:tr>
        <w:trPr>
          <w:cantSplit/>
        </w:trPr>
        <w:tc>
          <w:tcPr>
            <w:tcW w:type="dxa" w:w="4141"/>
          </w:tcPr>
          <w:p>
            <w:pPr>
              <w:pStyle w:val="Compact"/>
              <w:spacing w:line="240" w:lineRule="auto" w:after="20"/>
            </w:pPr>
            <w:r>
              <w:rPr>
                <w:sz w:val="20"/>
              </w:rPr>
              <w:t xml:space="preserve">Muğla → Montiferru</w:t>
            </w:r>
          </w:p>
        </w:tc>
        <w:tc>
          <w:tcPr>
            <w:tcW w:type="dxa" w:w="1380"/>
          </w:tcPr>
          <w:p>
            <w:pPr>
              <w:pStyle w:val="Compact"/>
              <w:spacing w:line="240" w:lineRule="auto" w:after="20"/>
              <w:jc w:val="right"/>
            </w:pPr>
            <w:r>
              <w:rPr>
                <w:sz w:val="20"/>
              </w:rPr>
              <w:t xml:space="preserve">0.531</w:t>
            </w:r>
          </w:p>
        </w:tc>
        <w:tc>
          <w:tcPr>
            <w:tcW w:type="dxa" w:w="1183"/>
          </w:tcPr>
          <w:p>
            <w:pPr>
              <w:pStyle w:val="Compact"/>
              <w:spacing w:line="240" w:lineRule="auto" w:after="20"/>
              <w:jc w:val="right"/>
            </w:pPr>
            <w:r>
              <w:rPr>
                <w:sz w:val="20"/>
              </w:rPr>
              <w:t xml:space="preserve">0.214</w:t>
            </w:r>
          </w:p>
        </w:tc>
        <w:tc>
          <w:tcPr>
            <w:tcW w:type="dxa" w:w="1577"/>
          </w:tcPr>
          <w:p>
            <w:pPr>
              <w:pStyle w:val="Compact"/>
              <w:spacing w:line="240" w:lineRule="auto" w:after="20"/>
              <w:jc w:val="right"/>
            </w:pPr>
            <w:r>
              <w:rPr>
                <w:sz w:val="20"/>
              </w:rPr>
              <w:t xml:space="preserve">0.212</w:t>
            </w:r>
          </w:p>
        </w:tc>
        <w:tc>
          <w:tcPr>
            <w:tcW w:type="dxa" w:w="789"/>
          </w:tcPr>
          <w:p>
            <w:pPr>
              <w:pStyle w:val="Compact"/>
              <w:spacing w:line="240" w:lineRule="auto" w:after="20"/>
              <w:jc w:val="right"/>
            </w:pPr>
            <w:r>
              <w:rPr>
                <w:sz w:val="20"/>
              </w:rPr>
              <w:t xml:space="preserve">1.01</w:t>
            </w:r>
          </w:p>
        </w:tc>
      </w:tr>
      <w:tr>
        <w:trPr>
          <w:cantSplit/>
        </w:trPr>
        <w:tc>
          <w:tcPr>
            <w:tcW w:type="dxa" w:w="4141"/>
          </w:tcPr>
          <w:p>
            <w:pPr>
              <w:pStyle w:val="Compact"/>
              <w:spacing w:line="240" w:lineRule="auto" w:after="20"/>
            </w:pPr>
            <w:r>
              <w:rPr>
                <w:sz w:val="20"/>
              </w:rPr>
              <w:t xml:space="preserve">Manavgat → Muğla</w:t>
            </w:r>
          </w:p>
        </w:tc>
        <w:tc>
          <w:tcPr>
            <w:tcW w:type="dxa" w:w="1380"/>
          </w:tcPr>
          <w:p>
            <w:pPr>
              <w:pStyle w:val="Compact"/>
              <w:spacing w:line="240" w:lineRule="auto" w:after="20"/>
              <w:jc w:val="right"/>
            </w:pPr>
            <w:r>
              <w:rPr>
                <w:sz w:val="20"/>
              </w:rPr>
              <w:t xml:space="preserve">0.438</w:t>
            </w:r>
          </w:p>
        </w:tc>
        <w:tc>
          <w:tcPr>
            <w:tcW w:type="dxa" w:w="1183"/>
          </w:tcPr>
          <w:p>
            <w:pPr>
              <w:pStyle w:val="Compact"/>
              <w:spacing w:line="240" w:lineRule="auto" w:after="20"/>
              <w:jc w:val="right"/>
            </w:pPr>
            <w:r>
              <w:rPr>
                <w:sz w:val="20"/>
              </w:rPr>
              <w:t xml:space="preserve">0.060</w:t>
            </w:r>
          </w:p>
        </w:tc>
        <w:tc>
          <w:tcPr>
            <w:tcW w:type="dxa" w:w="1577"/>
          </w:tcPr>
          <w:p>
            <w:pPr>
              <w:pStyle w:val="Compact"/>
              <w:spacing w:line="240" w:lineRule="auto" w:after="20"/>
              <w:jc w:val="right"/>
            </w:pPr>
            <w:r>
              <w:rPr>
                <w:sz w:val="20"/>
              </w:rPr>
              <w:t xml:space="preserve">0.070</w:t>
            </w:r>
          </w:p>
        </w:tc>
        <w:tc>
          <w:tcPr>
            <w:tcW w:type="dxa" w:w="789"/>
          </w:tcPr>
          <w:p>
            <w:pPr>
              <w:pStyle w:val="Compact"/>
              <w:spacing w:line="240" w:lineRule="auto" w:after="20"/>
              <w:jc w:val="right"/>
            </w:pPr>
            <w:r>
              <w:rPr>
                <w:b/>
                <w:bCs/>
                <w:sz w:val="20"/>
              </w:rPr>
              <w:t xml:space="preserve">0.85</w:t>
            </w:r>
          </w:p>
        </w:tc>
      </w:tr>
      <w:tr>
        <w:trPr>
          <w:cantSplit/>
        </w:trPr>
        <w:tc>
          <w:tcPr>
            <w:tcW w:type="dxa" w:w="4141"/>
          </w:tcPr>
          <w:p>
            <w:pPr>
              <w:pStyle w:val="Compact"/>
              <w:spacing w:line="240" w:lineRule="auto" w:after="20"/>
            </w:pPr>
            <w:r>
              <w:rPr>
                <w:sz w:val="20"/>
              </w:rPr>
              <w:t xml:space="preserve">Evia → Bejís</w:t>
            </w:r>
          </w:p>
        </w:tc>
        <w:tc>
          <w:tcPr>
            <w:tcW w:type="dxa" w:w="1380"/>
          </w:tcPr>
          <w:p>
            <w:pPr>
              <w:pStyle w:val="Compact"/>
              <w:spacing w:line="240" w:lineRule="auto" w:after="20"/>
              <w:jc w:val="right"/>
            </w:pPr>
            <w:r>
              <w:rPr>
                <w:sz w:val="20"/>
              </w:rPr>
              <w:t xml:space="preserve">0.448</w:t>
            </w:r>
          </w:p>
        </w:tc>
        <w:tc>
          <w:tcPr>
            <w:tcW w:type="dxa" w:w="1183"/>
          </w:tcPr>
          <w:p>
            <w:pPr>
              <w:pStyle w:val="Compact"/>
              <w:spacing w:line="240" w:lineRule="auto" w:after="20"/>
              <w:jc w:val="right"/>
            </w:pPr>
            <w:r>
              <w:rPr>
                <w:sz w:val="20"/>
              </w:rPr>
              <w:t xml:space="preserve">0.059</w:t>
            </w:r>
          </w:p>
        </w:tc>
        <w:tc>
          <w:tcPr>
            <w:tcW w:type="dxa" w:w="1577"/>
          </w:tcPr>
          <w:p>
            <w:pPr>
              <w:pStyle w:val="Compact"/>
              <w:spacing w:line="240" w:lineRule="auto" w:after="20"/>
              <w:jc w:val="right"/>
            </w:pPr>
            <w:r>
              <w:rPr>
                <w:sz w:val="20"/>
              </w:rPr>
              <w:t xml:space="preserve">0.072</w:t>
            </w:r>
          </w:p>
        </w:tc>
        <w:tc>
          <w:tcPr>
            <w:tcW w:type="dxa" w:w="789"/>
          </w:tcPr>
          <w:p>
            <w:pPr>
              <w:pStyle w:val="Compact"/>
              <w:spacing w:line="240" w:lineRule="auto" w:after="20"/>
              <w:jc w:val="right"/>
            </w:pPr>
            <w:r>
              <w:rPr>
                <w:b/>
                <w:bCs/>
                <w:sz w:val="20"/>
              </w:rPr>
              <w:t xml:space="preserve">0.82</w:t>
            </w:r>
          </w:p>
        </w:tc>
      </w:tr>
      <w:tr>
        <w:trPr>
          <w:cantSplit/>
        </w:trPr>
        <w:tc>
          <w:tcPr>
            <w:tcW w:type="dxa" w:w="4141"/>
          </w:tcPr>
          <w:p>
            <w:pPr>
              <w:pStyle w:val="Compact"/>
              <w:spacing w:line="240" w:lineRule="auto" w:after="20"/>
            </w:pPr>
            <w:r>
              <w:rPr>
                <w:sz w:val="20"/>
              </w:rPr>
              <w:t xml:space="preserve">Montiferru → Manavgat</w:t>
            </w:r>
          </w:p>
        </w:tc>
        <w:tc>
          <w:tcPr>
            <w:tcW w:type="dxa" w:w="1380"/>
          </w:tcPr>
          <w:p>
            <w:pPr>
              <w:pStyle w:val="Compact"/>
              <w:spacing w:line="240" w:lineRule="auto" w:after="20"/>
              <w:jc w:val="right"/>
            </w:pPr>
            <w:r>
              <w:rPr>
                <w:sz w:val="20"/>
              </w:rPr>
              <w:t xml:space="preserve">0.404</w:t>
            </w:r>
          </w:p>
        </w:tc>
        <w:tc>
          <w:tcPr>
            <w:tcW w:type="dxa" w:w="1183"/>
          </w:tcPr>
          <w:p>
            <w:pPr>
              <w:pStyle w:val="Compact"/>
              <w:spacing w:line="240" w:lineRule="auto" w:after="20"/>
              <w:jc w:val="right"/>
            </w:pPr>
            <w:r>
              <w:rPr>
                <w:sz w:val="20"/>
              </w:rPr>
              <w:t xml:space="preserve">0.113</w:t>
            </w:r>
          </w:p>
        </w:tc>
        <w:tc>
          <w:tcPr>
            <w:tcW w:type="dxa" w:w="1577"/>
          </w:tcPr>
          <w:p>
            <w:pPr>
              <w:pStyle w:val="Compact"/>
              <w:spacing w:line="240" w:lineRule="auto" w:after="20"/>
              <w:jc w:val="right"/>
            </w:pPr>
            <w:r>
              <w:rPr>
                <w:sz w:val="20"/>
              </w:rPr>
              <w:t xml:space="preserve">0.143</w:t>
            </w:r>
          </w:p>
        </w:tc>
        <w:tc>
          <w:tcPr>
            <w:tcW w:type="dxa" w:w="789"/>
          </w:tcPr>
          <w:p>
            <w:pPr>
              <w:pStyle w:val="Compact"/>
              <w:spacing w:line="240" w:lineRule="auto" w:after="20"/>
              <w:jc w:val="right"/>
            </w:pPr>
            <w:r>
              <w:rPr>
                <w:b/>
                <w:bCs/>
                <w:sz w:val="20"/>
              </w:rPr>
              <w:t xml:space="preserve">0.79</w:t>
            </w:r>
          </w:p>
        </w:tc>
      </w:tr>
      <w:tr>
        <w:trPr>
          <w:cantSplit/>
        </w:trPr>
        <w:tc>
          <w:tcPr>
            <w:tcW w:type="dxa" w:w="4141"/>
          </w:tcPr>
          <w:p>
            <w:pPr>
              <w:pStyle w:val="Compact"/>
              <w:spacing w:line="240" w:lineRule="auto" w:after="20"/>
            </w:pPr>
            <w:r>
              <w:rPr>
                <w:sz w:val="20"/>
              </w:rPr>
              <w:t xml:space="preserve">Bejís → Evia</w:t>
            </w:r>
          </w:p>
        </w:tc>
        <w:tc>
          <w:tcPr>
            <w:tcW w:type="dxa" w:w="1380"/>
          </w:tcPr>
          <w:p>
            <w:pPr>
              <w:pStyle w:val="Compact"/>
              <w:spacing w:line="240" w:lineRule="auto" w:after="20"/>
              <w:jc w:val="right"/>
            </w:pPr>
            <w:r>
              <w:rPr>
                <w:sz w:val="20"/>
              </w:rPr>
              <w:t xml:space="preserve">0.383</w:t>
            </w:r>
          </w:p>
        </w:tc>
        <w:tc>
          <w:tcPr>
            <w:tcW w:type="dxa" w:w="1183"/>
          </w:tcPr>
          <w:p>
            <w:pPr>
              <w:pStyle w:val="Compact"/>
              <w:spacing w:line="240" w:lineRule="auto" w:after="20"/>
              <w:jc w:val="right"/>
            </w:pPr>
            <w:r>
              <w:rPr>
                <w:sz w:val="20"/>
              </w:rPr>
              <w:t xml:space="preserve">0.226</w:t>
            </w:r>
          </w:p>
        </w:tc>
        <w:tc>
          <w:tcPr>
            <w:tcW w:type="dxa" w:w="1577"/>
          </w:tcPr>
          <w:p>
            <w:pPr>
              <w:pStyle w:val="Compact"/>
              <w:spacing w:line="240" w:lineRule="auto" w:after="20"/>
              <w:jc w:val="right"/>
            </w:pPr>
            <w:r>
              <w:rPr>
                <w:sz w:val="20"/>
              </w:rPr>
              <w:t xml:space="preserve">0.287</w:t>
            </w:r>
          </w:p>
        </w:tc>
        <w:tc>
          <w:tcPr>
            <w:tcW w:type="dxa" w:w="789"/>
          </w:tcPr>
          <w:p>
            <w:pPr>
              <w:pStyle w:val="Compact"/>
              <w:spacing w:line="240" w:lineRule="auto" w:after="20"/>
              <w:jc w:val="right"/>
            </w:pPr>
            <w:r>
              <w:rPr>
                <w:b/>
                <w:bCs/>
                <w:sz w:val="20"/>
              </w:rPr>
              <w:t xml:space="preserve">0.79</w:t>
            </w:r>
          </w:p>
        </w:tc>
      </w:tr>
      <w:tr>
        <w:trPr>
          <w:cantSplit/>
        </w:trPr>
        <w:tc>
          <w:tcPr>
            <w:tcW w:type="dxa" w:w="4141"/>
          </w:tcPr>
          <w:p>
            <w:pPr>
              <w:pStyle w:val="Compact"/>
              <w:spacing w:line="240" w:lineRule="auto" w:after="20"/>
            </w:pPr>
            <w:r>
              <w:rPr>
                <w:sz w:val="20"/>
              </w:rPr>
              <w:t xml:space="preserve">Manavgat → Bejís</w:t>
            </w:r>
          </w:p>
        </w:tc>
        <w:tc>
          <w:tcPr>
            <w:tcW w:type="dxa" w:w="1380"/>
          </w:tcPr>
          <w:p>
            <w:pPr>
              <w:pStyle w:val="Compact"/>
              <w:spacing w:line="240" w:lineRule="auto" w:after="20"/>
              <w:jc w:val="right"/>
            </w:pPr>
            <w:r>
              <w:rPr>
                <w:sz w:val="20"/>
              </w:rPr>
              <w:t xml:space="preserve">0.396</w:t>
            </w:r>
          </w:p>
        </w:tc>
        <w:tc>
          <w:tcPr>
            <w:tcW w:type="dxa" w:w="1183"/>
          </w:tcPr>
          <w:p>
            <w:pPr>
              <w:pStyle w:val="Compact"/>
              <w:spacing w:line="240" w:lineRule="auto" w:after="20"/>
              <w:jc w:val="right"/>
            </w:pPr>
            <w:r>
              <w:rPr>
                <w:sz w:val="20"/>
              </w:rPr>
              <w:t xml:space="preserve">0.054</w:t>
            </w:r>
          </w:p>
        </w:tc>
        <w:tc>
          <w:tcPr>
            <w:tcW w:type="dxa" w:w="1577"/>
          </w:tcPr>
          <w:p>
            <w:pPr>
              <w:pStyle w:val="Compact"/>
              <w:spacing w:line="240" w:lineRule="auto" w:after="20"/>
              <w:jc w:val="right"/>
            </w:pPr>
            <w:r>
              <w:rPr>
                <w:sz w:val="20"/>
              </w:rPr>
              <w:t xml:space="preserve">0.072</w:t>
            </w:r>
          </w:p>
        </w:tc>
        <w:tc>
          <w:tcPr>
            <w:tcW w:type="dxa" w:w="789"/>
          </w:tcPr>
          <w:p>
            <w:pPr>
              <w:pStyle w:val="Compact"/>
              <w:spacing w:line="240" w:lineRule="auto" w:after="20"/>
              <w:jc w:val="right"/>
            </w:pPr>
            <w:r>
              <w:rPr>
                <w:b/>
                <w:bCs/>
                <w:sz w:val="20"/>
              </w:rPr>
              <w:t xml:space="preserve">0.75</w:t>
            </w:r>
          </w:p>
        </w:tc>
      </w:tr>
      <w:tr>
        <w:trPr>
          <w:cantSplit/>
        </w:trPr>
        <w:tc>
          <w:tcPr>
            <w:tcW w:type="dxa" w:w="4141"/>
          </w:tcPr>
          <w:p>
            <w:pPr>
              <w:pStyle w:val="Compact"/>
              <w:spacing w:line="240" w:lineRule="auto" w:after="20"/>
            </w:pPr>
            <w:r>
              <w:rPr>
                <w:sz w:val="20"/>
              </w:rPr>
              <w:t xml:space="preserve">Muğla → Manavgat</w:t>
            </w:r>
          </w:p>
        </w:tc>
        <w:tc>
          <w:tcPr>
            <w:tcW w:type="dxa" w:w="1380"/>
          </w:tcPr>
          <w:p>
            <w:pPr>
              <w:pStyle w:val="Compact"/>
              <w:spacing w:line="240" w:lineRule="auto" w:after="20"/>
              <w:jc w:val="right"/>
            </w:pPr>
            <w:r>
              <w:rPr>
                <w:sz w:val="20"/>
              </w:rPr>
              <w:t xml:space="preserve">0.345</w:t>
            </w:r>
          </w:p>
        </w:tc>
        <w:tc>
          <w:tcPr>
            <w:tcW w:type="dxa" w:w="1183"/>
          </w:tcPr>
          <w:p>
            <w:pPr>
              <w:pStyle w:val="Compact"/>
              <w:spacing w:line="240" w:lineRule="auto" w:after="20"/>
              <w:jc w:val="right"/>
            </w:pPr>
            <w:r>
              <w:rPr>
                <w:sz w:val="20"/>
              </w:rPr>
              <w:t xml:space="preserve">0.101</w:t>
            </w:r>
          </w:p>
        </w:tc>
        <w:tc>
          <w:tcPr>
            <w:tcW w:type="dxa" w:w="1577"/>
          </w:tcPr>
          <w:p>
            <w:pPr>
              <w:pStyle w:val="Compact"/>
              <w:spacing w:line="240" w:lineRule="auto" w:after="20"/>
              <w:jc w:val="right"/>
            </w:pPr>
            <w:r>
              <w:rPr>
                <w:sz w:val="20"/>
              </w:rPr>
              <w:t xml:space="preserve">0.143</w:t>
            </w:r>
          </w:p>
        </w:tc>
        <w:tc>
          <w:tcPr>
            <w:tcW w:type="dxa" w:w="789"/>
          </w:tcPr>
          <w:p>
            <w:pPr>
              <w:pStyle w:val="Compact"/>
              <w:spacing w:line="240" w:lineRule="auto" w:after="20"/>
              <w:jc w:val="right"/>
            </w:pPr>
            <w:r>
              <w:rPr>
                <w:b/>
                <w:bCs/>
                <w:sz w:val="20"/>
              </w:rPr>
              <w:t xml:space="preserve">0.70</w:t>
            </w:r>
          </w:p>
        </w:tc>
      </w:tr>
      <w:tr>
        <w:trPr>
          <w:cantSplit/>
        </w:trPr>
        <w:tc>
          <w:tcPr>
            <w:tcW w:type="dxa" w:w="4141"/>
          </w:tcPr>
          <w:p>
            <w:pPr>
              <w:pStyle w:val="Compact"/>
              <w:spacing w:line="240" w:lineRule="auto" w:after="20"/>
            </w:pPr>
            <w:r>
              <w:rPr>
                <w:sz w:val="20"/>
              </w:rPr>
              <w:t xml:space="preserve">Bejís → Manavgat</w:t>
            </w:r>
          </w:p>
        </w:tc>
        <w:tc>
          <w:tcPr>
            <w:tcW w:type="dxa" w:w="1380"/>
          </w:tcPr>
          <w:p>
            <w:pPr>
              <w:pStyle w:val="Compact"/>
              <w:spacing w:line="240" w:lineRule="auto" w:after="20"/>
              <w:jc w:val="right"/>
            </w:pPr>
            <w:r>
              <w:rPr>
                <w:sz w:val="20"/>
              </w:rPr>
              <w:t xml:space="preserve">0.314</w:t>
            </w:r>
          </w:p>
        </w:tc>
        <w:tc>
          <w:tcPr>
            <w:tcW w:type="dxa" w:w="1183"/>
          </w:tcPr>
          <w:p>
            <w:pPr>
              <w:pStyle w:val="Compact"/>
              <w:spacing w:line="240" w:lineRule="auto" w:after="20"/>
              <w:jc w:val="right"/>
            </w:pPr>
            <w:r>
              <w:rPr>
                <w:sz w:val="20"/>
              </w:rPr>
              <w:t xml:space="preserve">0.098</w:t>
            </w:r>
          </w:p>
        </w:tc>
        <w:tc>
          <w:tcPr>
            <w:tcW w:type="dxa" w:w="1577"/>
          </w:tcPr>
          <w:p>
            <w:pPr>
              <w:pStyle w:val="Compact"/>
              <w:spacing w:line="240" w:lineRule="auto" w:after="20"/>
              <w:jc w:val="right"/>
            </w:pPr>
            <w:r>
              <w:rPr>
                <w:sz w:val="20"/>
              </w:rPr>
              <w:t xml:space="preserve">0.143</w:t>
            </w:r>
          </w:p>
        </w:tc>
        <w:tc>
          <w:tcPr>
            <w:tcW w:type="dxa" w:w="789"/>
          </w:tcPr>
          <w:p>
            <w:pPr>
              <w:pStyle w:val="Compact"/>
              <w:spacing w:line="240" w:lineRule="auto" w:after="20"/>
              <w:jc w:val="right"/>
            </w:pPr>
            <w:r>
              <w:rPr>
                <w:b/>
                <w:bCs/>
                <w:sz w:val="20"/>
              </w:rPr>
              <w:t xml:space="preserve">0.68</w:t>
            </w:r>
          </w:p>
        </w:tc>
      </w:tr>
      <w:tr>
        <w:trPr>
          <w:cantSplit/>
        </w:trPr>
        <w:tc>
          <w:tcPr>
            <w:tcW w:type="dxa" w:w="4141"/>
          </w:tcPr>
          <w:p>
            <w:pPr>
              <w:pStyle w:val="Compact"/>
              <w:spacing w:line="240" w:lineRule="auto" w:after="20"/>
            </w:pPr>
            <w:r>
              <w:rPr>
                <w:b/>
                <w:bCs/>
                <w:sz w:val="20"/>
              </w:rPr>
              <w:t xml:space="preserve">Mean</w:t>
            </w:r>
          </w:p>
        </w:tc>
        <w:tc>
          <w:tcPr>
            <w:tcW w:type="dxa" w:w="1380"/>
          </w:tcPr>
          <w:p>
            <w:pPr>
              <w:pStyle w:val="Compact"/>
              <w:spacing w:line="240" w:lineRule="auto" w:after="20"/>
              <w:jc w:val="right"/>
            </w:pPr>
            <w:r>
              <w:rPr>
                <w:b/>
                <w:bCs/>
                <w:sz w:val="20"/>
              </w:rPr>
              <w:t xml:space="preserve">0.527</w:t>
            </w:r>
          </w:p>
        </w:tc>
        <w:tc>
          <w:tcPr>
            <w:tcW w:type="dxa" w:w="1183"/>
          </w:tcPr>
          <w:p>
            <w:pPr>
              <w:pStyle w:val="Compact"/>
              <w:spacing w:line="240" w:lineRule="auto" w:after="20"/>
              <w:jc w:val="right"/>
            </w:pPr>
            <w:r>
              <w:rPr>
                <w:b/>
                <w:bCs/>
                <w:sz w:val="20"/>
              </w:rPr>
              <w:t xml:space="preserve">0.181</w:t>
            </w:r>
          </w:p>
        </w:tc>
        <w:tc>
          <w:tcPr>
            <w:tcW w:type="dxa" w:w="1577"/>
          </w:tcPr>
          <w:p>
            <w:pPr>
              <w:pStyle w:val="Compact"/>
              <w:spacing w:line="240" w:lineRule="auto" w:after="20"/>
              <w:jc w:val="right"/>
            </w:pPr>
            <w:r>
              <w:rPr>
                <w:b/>
                <w:bCs/>
                <w:sz w:val="20"/>
              </w:rPr>
              <w:t xml:space="preserve">0.157</w:t>
            </w:r>
          </w:p>
        </w:tc>
        <w:tc>
          <w:tcPr>
            <w:tcW w:type="dxa" w:w="789"/>
          </w:tcPr>
          <w:p>
            <w:pPr>
              <w:pStyle w:val="Compact"/>
              <w:spacing w:line="240" w:lineRule="auto" w:after="20"/>
              <w:jc w:val="right"/>
            </w:pPr>
            <w:r>
              <w:rPr>
                <w:b/>
                <w:bCs/>
                <w:sz w:val="20"/>
              </w:rPr>
              <w:t xml:space="preserve">1.13</w:t>
            </w:r>
          </w:p>
        </w:tc>
      </w:tr>
    </w:tbl>
    <w:p>
      <w:pPr>
        <w:pStyle w:val="BodyText"/>
      </w:pPr>
      <w:r>
        <w:t xml:space="preserve">Seven directions are below their own no-skill baseline, and only one is above twice its baseline.</w:t>
      </w:r>
      <w:r>
        <w:t xml:space="preserve"> </w:t>
      </w:r>
      <w:r>
        <w:t xml:space="preserve">The seven are the same seven that are below chance on ROC-AUC, as expected for a reversed ranking. At</w:t>
      </w:r>
      <w:r>
        <w:t xml:space="preserve"> </w:t>
      </w:r>
      <w:r>
        <w:t xml:space="preserve">1 km blocking, all seven have PR-AUC intervals fully below the baseline. At 5 km blocking two do:</w:t>
      </w:r>
      <w:r>
        <w:t xml:space="preserve"> </w:t>
      </w:r>
      <w:r>
        <w:t xml:space="preserve">Bejís to Manavgat [0.067, 0.132] and Muğla to Manavgat [0.071, 0.135], against 0.143. Section 4.4</w:t>
      </w:r>
      <w:r>
        <w:t xml:space="preserve"> </w:t>
      </w:r>
      <w:r>
        <w:t xml:space="preserve">shows that the number of directions below chance depends largely on the study areas.</w:t>
      </w:r>
    </w:p>
    <w:bookmarkEnd w:id="47"/>
    <w:bookmarkStart w:id="48" w:name="Xa82a7106f004e36a9dc3d52b0e8d308ca3cd787"/>
    <w:p>
      <w:pPr>
        <w:pStyle w:val="Heading2"/>
      </w:pPr>
      <w:r>
        <w:t xml:space="preserve">S2.2 The same-geography event pair, in full</w:t>
      </w:r>
    </w:p>
    <w:p>
      <w:pPr>
        <w:pStyle w:val="FirstParagraph"/>
      </w:pPr>
      <w:r>
        <w:t xml:space="preserve">Section S1.13 reports this comparison. Section 4.4 shows that its elevation reversal is caused by</w:t>
      </w:r>
      <w:r>
        <w:t xml:space="preserve"> </w:t>
      </w:r>
      <w:r>
        <w:t xml:space="preserve">the study area, and Section S1.13 explains why its thermal channels are not evaluated. The values per</w:t>
      </w:r>
      <w:r>
        <w:t xml:space="preserve"> </w:t>
      </w:r>
      <w:r>
        <w:t xml:space="preserve">feature are kept here because this comparison led to the frame test.</w:t>
      </w:r>
    </w:p>
    <w:p>
      <w:pPr>
        <w:pStyle w:val="BodyText"/>
        <w:keepNext/>
      </w:pPr>
      <w:r>
        <w:rPr>
          <w:b/>
          <w:bCs/>
        </w:rPr>
        <w:t xml:space="preserve">Table S12. Signed univariate feature-burned AUC, Muğla 2021 versus 2022.</w:t>
      </w:r>
      <w:r>
        <w:t xml:space="preserve"> </w:t>
      </w:r>
      <w:r>
        <w:t xml:space="preserve">Raw AUC against</w:t>
      </w:r>
      <w:r>
        <w:t xml:space="preserve"> </w:t>
      </w:r>
      <w:r>
        <w:rPr>
          <w:rStyle w:val="VerbatimChar"/>
        </w:rPr>
        <w:t xml:space="preserve">burned</w:t>
      </w:r>
      <w:r>
        <w:t xml:space="preserve">, not folded to max(AUC, 1 − AUC); 10-cell (≈ 5 km) spatial-block bootstrap, 1,000</w:t>
      </w:r>
      <w:r>
        <w:t xml:space="preserve"> </w:t>
      </w:r>
      <w:r>
        <w:t xml:space="preserve">replicates, seed 42 (Section 3.14). Analysis population 41,730 rows / 2,911 burned (2021) and 38,790</w:t>
      </w:r>
      <w:r>
        <w:t xml:space="preserve"> </w:t>
      </w:r>
      <w:r>
        <w:t xml:space="preserve">rows / 331 burned (2022).</w:t>
      </w:r>
      <w:r>
        <w:t xml:space="preserve"> </w:t>
      </w:r>
      <w:r>
        <w:rPr>
          <w:b/>
          <w:bCs/>
        </w:rPr>
        <w:t xml:space="preserve">Blocks of 5 km with burned cells: 70 in 2021 and 11 in 2022.</w:t>
      </w:r>
      <w:r>
        <w:t xml:space="preserve"> </w:t>
      </w:r>
      <w:r>
        <w:t xml:space="preserve">The note</w:t>
      </w:r>
      <w:r>
        <w:t xml:space="preserve"> </w:t>
      </w:r>
      <w:r>
        <w:t xml:space="preserve">to Table 1 sets sixteen as the minimum for this blocking, so the 2022 intervals are indicative, like</w:t>
      </w:r>
      <w:r>
        <w:t xml:space="preserve"> </w:t>
      </w:r>
      <w:r>
        <w:t xml:space="preserve">the 20-cell row of Table 1. The 2022 fire is also one compact scar, so its eleven blocks are next to</w:t>
      </w:r>
      <w:r>
        <w:t xml:space="preserve"> </w:t>
      </w:r>
      <w:r>
        <w:t xml:space="preserve">each other. Read from</w:t>
      </w:r>
      <w:r>
        <w:t xml:space="preserve"> </w:t>
      </w:r>
      <w:r>
        <w:rPr>
          <w:rStyle w:val="VerbatimChar"/>
        </w:rPr>
        <w:t xml:space="preserve">paper/step9g_raw/.../mugla_2021__mugla_2022_event_relative/step9g_direction_reversal_table.csv</w:t>
      </w:r>
      <w:r>
        <w:t xml:space="preserve">.</w:t>
      </w:r>
    </w:p>
    <w:tbl>
      <w:tblPr>
        <w:tblStyle w:val="Table"/>
        <w:tblW w:type="auto" w:w="0"/>
        <w:tblLook w:firstRow="1" w:lastRow="0" w:firstColumn="0" w:lastColumn="0" w:noHBand="0" w:noVBand="0" w:val="0020"/>
      </w:tblPr>
      <w:tblGrid>
        <w:gridCol w:w="2296"/>
        <w:gridCol w:w="2296"/>
        <w:gridCol w:w="2296"/>
        <w:gridCol w:w="2181"/>
      </w:tblGrid>
      <w:tr>
        <w:trPr>
          <w:tblHeader w:val="on"/>
          <w:cantSplit/>
        </w:trPr>
        <w:tc>
          <w:tcPr>
            <w:tcW w:type="dxa" w:w="2296"/>
          </w:tcPr>
          <w:p>
            <w:pPr>
              <w:pStyle w:val="Compact"/>
              <w:spacing w:line="240" w:lineRule="auto" w:after="20"/>
            </w:pPr>
            <w:r>
              <w:rPr>
                <w:sz w:val="20"/>
              </w:rPr>
              <w:t xml:space="preserve">Feature</w:t>
            </w:r>
          </w:p>
        </w:tc>
        <w:tc>
          <w:tcPr>
            <w:tcW w:type="dxa" w:w="2296"/>
          </w:tcPr>
          <w:p>
            <w:pPr>
              <w:pStyle w:val="Compact"/>
              <w:spacing w:line="240" w:lineRule="auto" w:after="20"/>
            </w:pPr>
            <w:r>
              <w:rPr>
                <w:sz w:val="20"/>
              </w:rPr>
              <w:t xml:space="preserve">2021 AUC [95 % CI]</w:t>
            </w:r>
          </w:p>
        </w:tc>
        <w:tc>
          <w:tcPr>
            <w:tcW w:type="dxa" w:w="2296"/>
          </w:tcPr>
          <w:p>
            <w:pPr>
              <w:pStyle w:val="Compact"/>
              <w:spacing w:line="240" w:lineRule="auto" w:after="20"/>
            </w:pPr>
            <w:r>
              <w:rPr>
                <w:sz w:val="20"/>
              </w:rPr>
              <w:t xml:space="preserve">2022 AUC [95 % CI]</w:t>
            </w:r>
          </w:p>
        </w:tc>
        <w:tc>
          <w:tcPr>
            <w:tcW w:type="dxa" w:w="2181"/>
          </w:tcPr>
          <w:p>
            <w:pPr>
              <w:pStyle w:val="Compact"/>
              <w:spacing w:line="240" w:lineRule="auto" w:after="20"/>
            </w:pPr>
            <w:r>
              <w:rPr>
                <w:sz w:val="20"/>
              </w:rPr>
              <w:t xml:space="preserve">Reversal</w:t>
            </w:r>
          </w:p>
        </w:tc>
      </w:tr>
      <w:tr>
        <w:trPr>
          <w:cantSplit/>
        </w:trPr>
        <w:tc>
          <w:tcPr>
            <w:tcW w:type="dxa" w:w="2296"/>
          </w:tcPr>
          <w:p>
            <w:pPr>
              <w:pStyle w:val="Compact"/>
              <w:spacing w:line="240" w:lineRule="auto" w:after="20"/>
            </w:pPr>
            <w:r>
              <w:rPr>
                <w:b/>
                <w:bCs/>
                <w:sz w:val="20"/>
              </w:rPr>
              <w:t xml:space="preserve">elevation_mean</w:t>
            </w:r>
          </w:p>
        </w:tc>
        <w:tc>
          <w:tcPr>
            <w:tcW w:type="dxa" w:w="2296"/>
          </w:tcPr>
          <w:p>
            <w:pPr>
              <w:pStyle w:val="Compact"/>
              <w:spacing w:line="240" w:lineRule="auto" w:after="20"/>
            </w:pPr>
            <w:r>
              <w:rPr>
                <w:b/>
                <w:bCs/>
                <w:sz w:val="20"/>
              </w:rPr>
              <w:t xml:space="preserve">0.611 [0.532, 0.690]</w:t>
            </w:r>
          </w:p>
        </w:tc>
        <w:tc>
          <w:tcPr>
            <w:tcW w:type="dxa" w:w="2296"/>
          </w:tcPr>
          <w:p>
            <w:pPr>
              <w:pStyle w:val="Compact"/>
              <w:spacing w:line="240" w:lineRule="auto" w:after="20"/>
            </w:pPr>
            <w:r>
              <w:rPr>
                <w:b/>
                <w:bCs/>
                <w:sz w:val="20"/>
              </w:rPr>
              <w:t xml:space="preserve">0.296 [0.230, 0.355]</w:t>
            </w:r>
          </w:p>
        </w:tc>
        <w:tc>
          <w:tcPr>
            <w:tcW w:type="dxa" w:w="2181"/>
          </w:tcPr>
          <w:p>
            <w:pPr>
              <w:pStyle w:val="Compact"/>
              <w:spacing w:line="240" w:lineRule="auto" w:after="20"/>
            </w:pPr>
            <w:r>
              <w:rPr>
                <w:b/>
                <w:bCs/>
                <w:sz w:val="20"/>
              </w:rPr>
              <w:t xml:space="preserve">bootstrap-supported</w:t>
            </w:r>
          </w:p>
        </w:tc>
      </w:tr>
      <w:tr>
        <w:trPr>
          <w:cantSplit/>
        </w:trPr>
        <w:tc>
          <w:tcPr>
            <w:tcW w:type="dxa" w:w="2296"/>
          </w:tcPr>
          <w:p>
            <w:pPr>
              <w:pStyle w:val="Compact"/>
              <w:spacing w:line="240" w:lineRule="auto" w:after="20"/>
            </w:pPr>
            <w:r>
              <w:rPr>
                <w:sz w:val="20"/>
              </w:rPr>
              <w:t xml:space="preserve">current_lst_mean</w:t>
            </w:r>
          </w:p>
        </w:tc>
        <w:tc>
          <w:tcPr>
            <w:tcW w:type="dxa" w:w="2296"/>
          </w:tcPr>
          <w:p>
            <w:pPr>
              <w:pStyle w:val="Compact"/>
              <w:spacing w:line="240" w:lineRule="auto" w:after="20"/>
            </w:pPr>
            <w:r>
              <w:rPr>
                <w:sz w:val="20"/>
              </w:rPr>
              <w:t xml:space="preserve">0.325 [0.271, 0.382]</w:t>
            </w:r>
          </w:p>
        </w:tc>
        <w:tc>
          <w:tcPr>
            <w:tcW w:type="dxa" w:w="2296"/>
          </w:tcPr>
          <w:p>
            <w:pPr>
              <w:pStyle w:val="Compact"/>
              <w:spacing w:line="240" w:lineRule="auto" w:after="20"/>
            </w:pPr>
            <w:r>
              <w:rPr>
                <w:sz w:val="20"/>
              </w:rPr>
              <w:t xml:space="preserve">0.515 [0.434, 0.580]</w:t>
            </w:r>
          </w:p>
        </w:tc>
        <w:tc>
          <w:tcPr>
            <w:tcW w:type="dxa" w:w="2181"/>
          </w:tcPr>
          <w:p>
            <w:pPr>
              <w:pStyle w:val="Compact"/>
              <w:spacing w:line="240" w:lineRule="auto" w:after="20"/>
            </w:pPr>
            <w:r>
              <w:rPr>
                <w:sz w:val="20"/>
              </w:rPr>
              <w:t xml:space="preserve">point only</w:t>
            </w:r>
          </w:p>
        </w:tc>
      </w:tr>
      <w:tr>
        <w:trPr>
          <w:cantSplit/>
        </w:trPr>
        <w:tc>
          <w:tcPr>
            <w:tcW w:type="dxa" w:w="2296"/>
          </w:tcPr>
          <w:p>
            <w:pPr>
              <w:pStyle w:val="Compact"/>
              <w:spacing w:line="240" w:lineRule="auto" w:after="20"/>
            </w:pPr>
            <w:r>
              <w:rPr>
                <w:sz w:val="20"/>
              </w:rPr>
              <w:t xml:space="preserve">current_tvdi_mean</w:t>
            </w:r>
          </w:p>
        </w:tc>
        <w:tc>
          <w:tcPr>
            <w:tcW w:type="dxa" w:w="2296"/>
          </w:tcPr>
          <w:p>
            <w:pPr>
              <w:pStyle w:val="Compact"/>
              <w:spacing w:line="240" w:lineRule="auto" w:after="20"/>
            </w:pPr>
            <w:r>
              <w:rPr>
                <w:sz w:val="20"/>
              </w:rPr>
              <w:t xml:space="preserve">0.336 [0.275, 0.398]</w:t>
            </w:r>
          </w:p>
        </w:tc>
        <w:tc>
          <w:tcPr>
            <w:tcW w:type="dxa" w:w="2296"/>
          </w:tcPr>
          <w:p>
            <w:pPr>
              <w:pStyle w:val="Compact"/>
              <w:spacing w:line="240" w:lineRule="auto" w:after="20"/>
            </w:pPr>
            <w:r>
              <w:rPr>
                <w:sz w:val="20"/>
              </w:rPr>
              <w:t xml:space="preserve">0.594 [0.475, 0.674]</w:t>
            </w:r>
          </w:p>
        </w:tc>
        <w:tc>
          <w:tcPr>
            <w:tcW w:type="dxa" w:w="2181"/>
          </w:tcPr>
          <w:p>
            <w:pPr>
              <w:pStyle w:val="Compact"/>
              <w:spacing w:line="240" w:lineRule="auto" w:after="20"/>
            </w:pPr>
            <w:r>
              <w:rPr>
                <w:sz w:val="20"/>
              </w:rPr>
              <w:t xml:space="preserve">point only</w:t>
            </w:r>
          </w:p>
        </w:tc>
      </w:tr>
      <w:tr>
        <w:trPr>
          <w:cantSplit/>
        </w:trPr>
        <w:tc>
          <w:tcPr>
            <w:tcW w:type="dxa" w:w="2296"/>
          </w:tcPr>
          <w:p>
            <w:pPr>
              <w:pStyle w:val="Compact"/>
              <w:spacing w:line="240" w:lineRule="auto" w:after="20"/>
            </w:pPr>
            <w:r>
              <w:rPr>
                <w:sz w:val="20"/>
              </w:rPr>
              <w:t xml:space="preserve">downscaled_lst_mean</w:t>
            </w:r>
          </w:p>
        </w:tc>
        <w:tc>
          <w:tcPr>
            <w:tcW w:type="dxa" w:w="2296"/>
          </w:tcPr>
          <w:p>
            <w:pPr>
              <w:pStyle w:val="Compact"/>
              <w:spacing w:line="240" w:lineRule="auto" w:after="20"/>
            </w:pPr>
            <w:r>
              <w:rPr>
                <w:sz w:val="20"/>
              </w:rPr>
              <w:t xml:space="preserve">0.307 [0.253, 0.366]</w:t>
            </w:r>
          </w:p>
        </w:tc>
        <w:tc>
          <w:tcPr>
            <w:tcW w:type="dxa" w:w="2296"/>
          </w:tcPr>
          <w:p>
            <w:pPr>
              <w:pStyle w:val="Compact"/>
              <w:spacing w:line="240" w:lineRule="auto" w:after="20"/>
            </w:pPr>
            <w:r>
              <w:rPr>
                <w:sz w:val="20"/>
              </w:rPr>
              <w:t xml:space="preserve">0.508 [0.435, 0.571]</w:t>
            </w:r>
          </w:p>
        </w:tc>
        <w:tc>
          <w:tcPr>
            <w:tcW w:type="dxa" w:w="2181"/>
          </w:tcPr>
          <w:p>
            <w:pPr>
              <w:pStyle w:val="Compact"/>
              <w:spacing w:line="240" w:lineRule="auto" w:after="20"/>
            </w:pPr>
            <w:r>
              <w:rPr>
                <w:sz w:val="20"/>
              </w:rPr>
              <w:t xml:space="preserve">point only</w:t>
            </w:r>
          </w:p>
        </w:tc>
      </w:tr>
      <w:tr>
        <w:trPr>
          <w:cantSplit/>
        </w:trPr>
        <w:tc>
          <w:tcPr>
            <w:tcW w:type="dxa" w:w="2296"/>
          </w:tcPr>
          <w:p>
            <w:pPr>
              <w:pStyle w:val="Compact"/>
              <w:spacing w:line="240" w:lineRule="auto" w:after="20"/>
            </w:pPr>
            <w:r>
              <w:rPr>
                <w:sz w:val="20"/>
              </w:rPr>
              <w:t xml:space="preserve">fused_lst_mean</w:t>
            </w:r>
          </w:p>
        </w:tc>
        <w:tc>
          <w:tcPr>
            <w:tcW w:type="dxa" w:w="2296"/>
          </w:tcPr>
          <w:p>
            <w:pPr>
              <w:pStyle w:val="Compact"/>
              <w:spacing w:line="240" w:lineRule="auto" w:after="20"/>
            </w:pPr>
            <w:r>
              <w:rPr>
                <w:sz w:val="20"/>
              </w:rPr>
              <w:t xml:space="preserve">0.325 [0.272, 0.383]</w:t>
            </w:r>
          </w:p>
        </w:tc>
        <w:tc>
          <w:tcPr>
            <w:tcW w:type="dxa" w:w="2296"/>
          </w:tcPr>
          <w:p>
            <w:pPr>
              <w:pStyle w:val="Compact"/>
              <w:spacing w:line="240" w:lineRule="auto" w:after="20"/>
            </w:pPr>
            <w:r>
              <w:rPr>
                <w:sz w:val="20"/>
              </w:rPr>
              <w:t xml:space="preserve">0.519 [0.436, 0.583]</w:t>
            </w:r>
          </w:p>
        </w:tc>
        <w:tc>
          <w:tcPr>
            <w:tcW w:type="dxa" w:w="2181"/>
          </w:tcPr>
          <w:p>
            <w:pPr>
              <w:pStyle w:val="Compact"/>
              <w:spacing w:line="240" w:lineRule="auto" w:after="20"/>
            </w:pPr>
            <w:r>
              <w:rPr>
                <w:sz w:val="20"/>
              </w:rPr>
              <w:t xml:space="preserve">point only</w:t>
            </w:r>
          </w:p>
        </w:tc>
      </w:tr>
      <w:tr>
        <w:trPr>
          <w:cantSplit/>
        </w:trPr>
        <w:tc>
          <w:tcPr>
            <w:tcW w:type="dxa" w:w="2296"/>
          </w:tcPr>
          <w:p>
            <w:pPr>
              <w:pStyle w:val="Compact"/>
              <w:spacing w:line="240" w:lineRule="auto" w:after="20"/>
            </w:pPr>
            <w:r>
              <w:rPr>
                <w:sz w:val="20"/>
              </w:rPr>
              <w:t xml:space="preserve">ndvi_mean</w:t>
            </w:r>
          </w:p>
        </w:tc>
        <w:tc>
          <w:tcPr>
            <w:tcW w:type="dxa" w:w="2296"/>
          </w:tcPr>
          <w:p>
            <w:pPr>
              <w:pStyle w:val="Compact"/>
              <w:spacing w:line="240" w:lineRule="auto" w:after="20"/>
            </w:pPr>
            <w:r>
              <w:rPr>
                <w:sz w:val="20"/>
              </w:rPr>
              <w:t xml:space="preserve">0.662 [0.616, 0.704]</w:t>
            </w:r>
          </w:p>
        </w:tc>
        <w:tc>
          <w:tcPr>
            <w:tcW w:type="dxa" w:w="2296"/>
          </w:tcPr>
          <w:p>
            <w:pPr>
              <w:pStyle w:val="Compact"/>
              <w:spacing w:line="240" w:lineRule="auto" w:after="20"/>
            </w:pPr>
            <w:r>
              <w:rPr>
                <w:sz w:val="20"/>
              </w:rPr>
              <w:t xml:space="preserve">0.707 [0.624, 0.777]</w:t>
            </w:r>
          </w:p>
        </w:tc>
        <w:tc>
          <w:tcPr>
            <w:tcW w:type="dxa" w:w="2181"/>
          </w:tcPr>
          <w:p>
            <w:pPr>
              <w:pStyle w:val="Compact"/>
              <w:spacing w:line="240" w:lineRule="auto" w:after="20"/>
            </w:pPr>
            <w:r>
              <w:rPr>
                <w:sz w:val="20"/>
              </w:rPr>
              <w:t xml:space="preserve">none</w:t>
            </w:r>
          </w:p>
        </w:tc>
      </w:tr>
      <w:tr>
        <w:trPr>
          <w:cantSplit/>
        </w:trPr>
        <w:tc>
          <w:tcPr>
            <w:tcW w:type="dxa" w:w="2296"/>
          </w:tcPr>
          <w:p>
            <w:pPr>
              <w:pStyle w:val="Compact"/>
              <w:spacing w:line="240" w:lineRule="auto" w:after="20"/>
            </w:pPr>
            <w:r>
              <w:rPr>
                <w:sz w:val="20"/>
              </w:rPr>
              <w:t xml:space="preserve">slope_mean</w:t>
            </w:r>
          </w:p>
        </w:tc>
        <w:tc>
          <w:tcPr>
            <w:tcW w:type="dxa" w:w="2296"/>
          </w:tcPr>
          <w:p>
            <w:pPr>
              <w:pStyle w:val="Compact"/>
              <w:spacing w:line="240" w:lineRule="auto" w:after="20"/>
            </w:pPr>
            <w:r>
              <w:rPr>
                <w:sz w:val="20"/>
              </w:rPr>
              <w:t xml:space="preserve">0.637 [0.582, 0.686]</w:t>
            </w:r>
          </w:p>
        </w:tc>
        <w:tc>
          <w:tcPr>
            <w:tcW w:type="dxa" w:w="2296"/>
          </w:tcPr>
          <w:p>
            <w:pPr>
              <w:pStyle w:val="Compact"/>
              <w:spacing w:line="240" w:lineRule="auto" w:after="20"/>
            </w:pPr>
            <w:r>
              <w:rPr>
                <w:sz w:val="20"/>
              </w:rPr>
              <w:t xml:space="preserve">0.558 [0.468, 0.634]</w:t>
            </w:r>
          </w:p>
        </w:tc>
        <w:tc>
          <w:tcPr>
            <w:tcW w:type="dxa" w:w="2181"/>
          </w:tcPr>
          <w:p>
            <w:pPr>
              <w:pStyle w:val="Compact"/>
              <w:spacing w:line="240" w:lineRule="auto" w:after="20"/>
            </w:pPr>
            <w:r>
              <w:rPr>
                <w:sz w:val="20"/>
              </w:rPr>
              <w:t xml:space="preserve">none</w:t>
            </w:r>
          </w:p>
        </w:tc>
      </w:tr>
      <w:tr>
        <w:trPr>
          <w:cantSplit/>
        </w:trPr>
        <w:tc>
          <w:tcPr>
            <w:tcW w:type="dxa" w:w="2296"/>
          </w:tcPr>
          <w:p>
            <w:pPr>
              <w:pStyle w:val="Compact"/>
              <w:spacing w:line="240" w:lineRule="auto" w:after="20"/>
            </w:pPr>
            <w:r>
              <w:rPr>
                <w:sz w:val="20"/>
              </w:rPr>
              <w:t xml:space="preserve">lst_anomaly_mean</w:t>
            </w:r>
          </w:p>
        </w:tc>
        <w:tc>
          <w:tcPr>
            <w:tcW w:type="dxa" w:w="2296"/>
          </w:tcPr>
          <w:p>
            <w:pPr>
              <w:pStyle w:val="Compact"/>
              <w:spacing w:line="240" w:lineRule="auto" w:after="20"/>
            </w:pPr>
            <w:r>
              <w:rPr>
                <w:sz w:val="20"/>
              </w:rPr>
              <w:t xml:space="preserve">0.485 [0.395, 0.566]</w:t>
            </w:r>
          </w:p>
        </w:tc>
        <w:tc>
          <w:tcPr>
            <w:tcW w:type="dxa" w:w="2296"/>
          </w:tcPr>
          <w:p>
            <w:pPr>
              <w:pStyle w:val="Compact"/>
              <w:spacing w:line="240" w:lineRule="auto" w:after="20"/>
            </w:pPr>
            <w:r>
              <w:rPr>
                <w:sz w:val="20"/>
              </w:rPr>
              <w:t xml:space="preserve">0.380 [0.249, 0.502]</w:t>
            </w:r>
          </w:p>
        </w:tc>
        <w:tc>
          <w:tcPr>
            <w:tcW w:type="dxa" w:w="2181"/>
          </w:tcPr>
          <w:p>
            <w:pPr>
              <w:pStyle w:val="Compact"/>
              <w:spacing w:line="240" w:lineRule="auto" w:after="20"/>
            </w:pPr>
            <w:r>
              <w:rPr>
                <w:sz w:val="20"/>
              </w:rPr>
              <w:t xml:space="preserve">none</w:t>
            </w:r>
          </w:p>
        </w:tc>
      </w:tr>
      <w:tr>
        <w:trPr>
          <w:cantSplit/>
        </w:trPr>
        <w:tc>
          <w:tcPr>
            <w:tcW w:type="dxa" w:w="2296"/>
          </w:tcPr>
          <w:p>
            <w:pPr>
              <w:pStyle w:val="Compact"/>
              <w:spacing w:line="240" w:lineRule="auto" w:after="20"/>
            </w:pPr>
            <w:r>
              <w:rPr>
                <w:sz w:val="20"/>
              </w:rPr>
              <w:t xml:space="preserve">tvdi_difference_mean</w:t>
            </w:r>
          </w:p>
        </w:tc>
        <w:tc>
          <w:tcPr>
            <w:tcW w:type="dxa" w:w="2296"/>
          </w:tcPr>
          <w:p>
            <w:pPr>
              <w:pStyle w:val="Compact"/>
              <w:spacing w:line="240" w:lineRule="auto" w:after="20"/>
            </w:pPr>
            <w:r>
              <w:rPr>
                <w:sz w:val="20"/>
              </w:rPr>
              <w:t xml:space="preserve">0.490 [0.396, 0.575]</w:t>
            </w:r>
          </w:p>
        </w:tc>
        <w:tc>
          <w:tcPr>
            <w:tcW w:type="dxa" w:w="2296"/>
          </w:tcPr>
          <w:p>
            <w:pPr>
              <w:pStyle w:val="Compact"/>
              <w:spacing w:line="240" w:lineRule="auto" w:after="20"/>
            </w:pPr>
            <w:r>
              <w:rPr>
                <w:sz w:val="20"/>
              </w:rPr>
              <w:t xml:space="preserve">0.397 [0.265, 0.514]</w:t>
            </w:r>
          </w:p>
        </w:tc>
        <w:tc>
          <w:tcPr>
            <w:tcW w:type="dxa" w:w="2181"/>
          </w:tcPr>
          <w:p>
            <w:pPr>
              <w:pStyle w:val="Compact"/>
              <w:spacing w:line="240" w:lineRule="auto" w:after="20"/>
            </w:pPr>
            <w:r>
              <w:rPr>
                <w:sz w:val="20"/>
              </w:rPr>
              <w:t xml:space="preserve">none</w:t>
            </w:r>
          </w:p>
        </w:tc>
      </w:tr>
    </w:tbl>
    <w:bookmarkEnd w:id="48"/>
    <w:bookmarkStart w:id="52" w:name="Xb04c43faa0a78ce01256a28bdcfaf43e48d920a"/>
    <w:p>
      <w:pPr>
        <w:pStyle w:val="Heading2"/>
      </w:pPr>
      <w:r>
        <w:t xml:space="preserve">S2.3 The evaluation frames, and the signed associations they produce</w:t>
      </w:r>
    </w:p>
    <w:p>
      <w:pPr>
        <w:pStyle w:val="FirstParagraph"/>
      </w:pPr>
      <w:r>
        <w:t xml:space="preserve">Section 4.4 gives these results. The values per region are given here.</w:t>
      </w:r>
    </w:p>
    <w:p>
      <w:pPr>
        <w:pStyle w:val="CaptionedFigure"/>
      </w:pPr>
      <w:r>
        <w:drawing>
          <wp:inline>
            <wp:extent cx="5753100" cy="4213538"/>
            <wp:effectExtent b="0" l="0" r="0" t="0"/>
            <wp:docPr descr="Fig. S1. The five study areas at cell level. Grey shading is the elevation of the natural-vegetation cells, white cells lie outside this population, and burned cells are orange. The dashed and solid blue lines are the 5 km and 10 km distance collars, and the dotted black lines the 2 km scar frames of Table 2 (Section 3.12). In Muğla one burned area reaches the eastern edge of the study area (15 burned cells on the edge), so its collars are cut there. Axes give approximate distances in km on the ~500 m grid. Drawn by paper/figures/figS1_study_areas.py from the released modelling datasets." title="" id="50" name="Picture"/>
            <a:graphic>
              <a:graphicData uri="http://schemas.openxmlformats.org/drawingml/2006/picture">
                <pic:pic>
                  <pic:nvPicPr>
                    <pic:cNvPr descr="figures/figS1_study_areas.png" id="51" name="Picture"/>
                    <pic:cNvPicPr>
                      <a:picLocks noChangeArrowheads="1" noChangeAspect="1"/>
                    </pic:cNvPicPr>
                  </pic:nvPicPr>
                  <pic:blipFill>
                    <a:blip r:embed="rId49"/>
                    <a:stretch>
                      <a:fillRect/>
                    </a:stretch>
                  </pic:blipFill>
                  <pic:spPr bwMode="auto">
                    <a:xfrm>
                      <a:off x="0" y="0"/>
                      <a:ext cx="5753100" cy="4213538"/>
                    </a:xfrm>
                    <a:prstGeom prst="rect">
                      <a:avLst/>
                    </a:prstGeom>
                    <a:noFill/>
                    <a:ln w="9525">
                      <a:noFill/>
                      <a:headEnd/>
                      <a:tailEnd/>
                    </a:ln>
                  </pic:spPr>
                </pic:pic>
              </a:graphicData>
            </a:graphic>
          </wp:inline>
        </w:drawing>
      </w:r>
    </w:p>
    <w:p>
      <w:pPr>
        <w:pStyle w:val="ImageCaption"/>
      </w:pPr>
      <w:r>
        <w:rPr>
          <w:b/>
          <w:bCs/>
        </w:rPr>
        <w:t xml:space="preserve">Fig. S1. The five study areas at cell level.</w:t>
      </w:r>
      <w:r>
        <w:t xml:space="preserve"> </w:t>
      </w:r>
      <w:r>
        <w:t xml:space="preserve">Grey shading is the elevation of the</w:t>
      </w:r>
      <w:r>
        <w:t xml:space="preserve"> </w:t>
      </w:r>
      <w:r>
        <w:t xml:space="preserve">natural-vegetation cells, white cells lie outside this population, and burned cells are orange. The</w:t>
      </w:r>
      <w:r>
        <w:t xml:space="preserve"> </w:t>
      </w:r>
      <w:r>
        <w:t xml:space="preserve">dashed and solid blue lines are the 5 km and 10 km distance collars, and the dotted black lines the</w:t>
      </w:r>
      <w:r>
        <w:t xml:space="preserve"> </w:t>
      </w:r>
      <w:r>
        <w:t xml:space="preserve">2 km scar frames of Table 2 (Section 3.12). In Muğla one burned area reaches the eastern edge of the</w:t>
      </w:r>
      <w:r>
        <w:t xml:space="preserve"> </w:t>
      </w:r>
      <w:r>
        <w:t xml:space="preserve">study area (15 burned cells on the edge), so its collars are cut there. Axes give approximate</w:t>
      </w:r>
      <w:r>
        <w:t xml:space="preserve"> </w:t>
      </w:r>
      <w:r>
        <w:t xml:space="preserve">distances in km on the ~500 m grid. Drawn by</w:t>
      </w:r>
      <w:r>
        <w:t xml:space="preserve"> </w:t>
      </w:r>
      <w:r>
        <w:rPr>
          <w:rStyle w:val="VerbatimChar"/>
        </w:rPr>
        <w:t xml:space="preserve">paper/figures/figS1_study_areas.py</w:t>
      </w:r>
      <w:r>
        <w:t xml:space="preserve"> </w:t>
      </w:r>
      <w:r>
        <w:t xml:space="preserve">from the released</w:t>
      </w:r>
      <w:r>
        <w:t xml:space="preserve"> </w:t>
      </w:r>
      <w:r>
        <w:t xml:space="preserve">modelling datasets.</w:t>
      </w:r>
    </w:p>
    <w:p>
      <w:pPr>
        <w:pStyle w:val="BodyText"/>
        <w:keepNext/>
      </w:pPr>
      <w:r>
        <w:rPr>
          <w:b/>
          <w:bCs/>
        </w:rPr>
        <w:t xml:space="preserve">Table S13. Geometry of the five study areas.</w:t>
      </w:r>
      <w:r>
        <w:t xml:space="preserve"> </w:t>
      </w:r>
      <w:r>
        <w:t xml:space="preserve">Natural-vegetation population. Distance is the</w:t>
      </w:r>
      <w:r>
        <w:t xml:space="preserve"> </w:t>
      </w:r>
      <w:r>
        <w:t xml:space="preserve">Euclidean distance to the nearest burned cell on the 500 m grid, at 0.45 km per cell. Corrected</w:t>
      </w:r>
      <w:r>
        <w:t xml:space="preserve"> </w:t>
      </w:r>
      <w:r>
        <w:t xml:space="preserve">Manavgat label. Computed by</w:t>
      </w:r>
      <w:r>
        <w:t xml:space="preserve"> </w:t>
      </w:r>
      <w:r>
        <w:rPr>
          <w:rStyle w:val="VerbatimChar"/>
        </w:rPr>
        <w:t xml:space="preserve">paper/code/appendix_tables.py</w:t>
      </w:r>
      <w:r>
        <w:t xml:space="preserve"> </w:t>
      </w:r>
      <w:r>
        <w:t xml:space="preserve">from the step8a tables (read through</w:t>
      </w:r>
      <w:r>
        <w:t xml:space="preserve"> </w:t>
      </w:r>
      <w:r>
        <w:rPr>
          <w:rStyle w:val="VerbatimChar"/>
        </w:rPr>
        <w:t xml:space="preserve">paper/code/_canonical.py</w:t>
      </w:r>
      <w:r>
        <w:t xml:space="preserve">, which checks the sha256 of each file), as in</w:t>
      </w:r>
      <w:r>
        <w:t xml:space="preserve"> </w:t>
      </w:r>
      <w:r>
        <w:rPr>
          <w:rStyle w:val="VerbatimChar"/>
        </w:rPr>
        <w:t xml:space="preserve">paper/code/verify_aoi_frame.py</w:t>
      </w:r>
      <w:r>
        <w:t xml:space="preserve">.</w:t>
      </w:r>
    </w:p>
    <w:tbl>
      <w:tblPr>
        <w:tblStyle w:val="Table"/>
        <w:tblW w:type="auto" w:w="0"/>
        <w:tblLook w:firstRow="1" w:lastRow="0" w:firstColumn="0" w:lastColumn="0" w:noHBand="0" w:noVBand="0" w:val="0020"/>
      </w:tblPr>
      <w:tblGrid>
        <w:gridCol w:w="1395"/>
        <w:gridCol w:w="837"/>
        <w:gridCol w:w="837"/>
        <w:gridCol w:w="3488"/>
        <w:gridCol w:w="2512"/>
      </w:tblGrid>
      <w:tr>
        <w:trPr>
          <w:tblHeader w:val="on"/>
          <w:cantSplit/>
        </w:trPr>
        <w:tc>
          <w:tcPr>
            <w:tcW w:type="dxa" w:w="1395"/>
          </w:tcPr>
          <w:p>
            <w:pPr>
              <w:pStyle w:val="Compact"/>
              <w:spacing w:line="240" w:lineRule="auto" w:after="20"/>
            </w:pPr>
            <w:r>
              <w:rPr>
                <w:sz w:val="20"/>
              </w:rPr>
              <w:t xml:space="preserve">Region</w:t>
            </w:r>
          </w:p>
        </w:tc>
        <w:tc>
          <w:tcPr>
            <w:tcW w:type="dxa" w:w="837"/>
          </w:tcPr>
          <w:p>
            <w:pPr>
              <w:pStyle w:val="Compact"/>
              <w:spacing w:line="240" w:lineRule="auto" w:after="20"/>
              <w:jc w:val="right"/>
            </w:pPr>
            <w:r>
              <w:rPr>
                <w:sz w:val="20"/>
              </w:rPr>
              <w:t xml:space="preserve">cells</w:t>
            </w:r>
          </w:p>
        </w:tc>
        <w:tc>
          <w:tcPr>
            <w:tcW w:type="dxa" w:w="837"/>
          </w:tcPr>
          <w:p>
            <w:pPr>
              <w:pStyle w:val="Compact"/>
              <w:spacing w:line="240" w:lineRule="auto" w:after="20"/>
              <w:jc w:val="right"/>
            </w:pPr>
            <w:r>
              <w:rPr>
                <w:sz w:val="20"/>
              </w:rPr>
              <w:t xml:space="preserve">burned</w:t>
            </w:r>
          </w:p>
        </w:tc>
        <w:tc>
          <w:tcPr>
            <w:tcW w:type="dxa" w:w="3488"/>
          </w:tcPr>
          <w:p>
            <w:pPr>
              <w:pStyle w:val="Compact"/>
              <w:spacing w:line="240" w:lineRule="auto" w:after="20"/>
              <w:jc w:val="right"/>
            </w:pPr>
            <w:r>
              <w:rPr>
                <w:sz w:val="20"/>
              </w:rPr>
              <w:t xml:space="preserve">median distance to burned</w:t>
            </w:r>
          </w:p>
        </w:tc>
        <w:tc>
          <w:tcPr>
            <w:tcW w:type="dxa" w:w="2512"/>
          </w:tcPr>
          <w:p>
            <w:pPr>
              <w:pStyle w:val="Compact"/>
              <w:spacing w:line="240" w:lineRule="auto" w:after="20"/>
              <w:jc w:val="right"/>
            </w:pPr>
            <w:r>
              <w:rPr>
                <w:sz w:val="20"/>
              </w:rPr>
              <w:t xml:space="preserve">share beyond 10 km</w:t>
            </w:r>
          </w:p>
        </w:tc>
      </w:tr>
      <w:tr>
        <w:trPr>
          <w:cantSplit/>
        </w:trPr>
        <w:tc>
          <w:tcPr>
            <w:tcW w:type="dxa" w:w="1395"/>
          </w:tcPr>
          <w:p>
            <w:pPr>
              <w:pStyle w:val="Compact"/>
              <w:spacing w:line="240" w:lineRule="auto" w:after="20"/>
            </w:pPr>
            <w:r>
              <w:rPr>
                <w:sz w:val="20"/>
              </w:rPr>
              <w:t xml:space="preserve">Manavgat</w:t>
            </w:r>
          </w:p>
        </w:tc>
        <w:tc>
          <w:tcPr>
            <w:tcW w:type="dxa" w:w="837"/>
          </w:tcPr>
          <w:p>
            <w:pPr>
              <w:pStyle w:val="Compact"/>
              <w:spacing w:line="240" w:lineRule="auto" w:after="20"/>
              <w:jc w:val="right"/>
            </w:pPr>
            <w:r>
              <w:rPr>
                <w:sz w:val="20"/>
              </w:rPr>
              <w:t xml:space="preserve">20,511</w:t>
            </w:r>
          </w:p>
        </w:tc>
        <w:tc>
          <w:tcPr>
            <w:tcW w:type="dxa" w:w="837"/>
          </w:tcPr>
          <w:p>
            <w:pPr>
              <w:pStyle w:val="Compact"/>
              <w:spacing w:line="240" w:lineRule="auto" w:after="20"/>
              <w:jc w:val="right"/>
            </w:pPr>
            <w:r>
              <w:rPr>
                <w:sz w:val="20"/>
              </w:rPr>
              <w:t xml:space="preserve">2,935</w:t>
            </w:r>
          </w:p>
        </w:tc>
        <w:tc>
          <w:tcPr>
            <w:tcW w:type="dxa" w:w="3488"/>
          </w:tcPr>
          <w:p>
            <w:pPr>
              <w:pStyle w:val="Compact"/>
              <w:spacing w:line="240" w:lineRule="auto" w:after="20"/>
              <w:jc w:val="right"/>
            </w:pPr>
            <w:r>
              <w:rPr>
                <w:sz w:val="20"/>
              </w:rPr>
              <w:t xml:space="preserve">13.1 km</w:t>
            </w:r>
          </w:p>
        </w:tc>
        <w:tc>
          <w:tcPr>
            <w:tcW w:type="dxa" w:w="2512"/>
          </w:tcPr>
          <w:p>
            <w:pPr>
              <w:pStyle w:val="Compact"/>
              <w:spacing w:line="240" w:lineRule="auto" w:after="20"/>
              <w:jc w:val="right"/>
            </w:pPr>
            <w:r>
              <w:rPr>
                <w:b/>
                <w:bCs/>
                <w:sz w:val="20"/>
              </w:rPr>
              <w:t xml:space="preserve">58.5 %</w:t>
            </w:r>
          </w:p>
        </w:tc>
      </w:tr>
      <w:tr>
        <w:trPr>
          <w:cantSplit/>
        </w:trPr>
        <w:tc>
          <w:tcPr>
            <w:tcW w:type="dxa" w:w="1395"/>
          </w:tcPr>
          <w:p>
            <w:pPr>
              <w:pStyle w:val="Compact"/>
              <w:spacing w:line="240" w:lineRule="auto" w:after="20"/>
            </w:pPr>
            <w:r>
              <w:rPr>
                <w:sz w:val="20"/>
              </w:rPr>
              <w:t xml:space="preserve">Bejís</w:t>
            </w:r>
          </w:p>
        </w:tc>
        <w:tc>
          <w:tcPr>
            <w:tcW w:type="dxa" w:w="837"/>
          </w:tcPr>
          <w:p>
            <w:pPr>
              <w:pStyle w:val="Compact"/>
              <w:spacing w:line="240" w:lineRule="auto" w:after="20"/>
              <w:jc w:val="right"/>
            </w:pPr>
            <w:r>
              <w:rPr>
                <w:sz w:val="20"/>
              </w:rPr>
              <w:t xml:space="preserve">15,190</w:t>
            </w:r>
          </w:p>
        </w:tc>
        <w:tc>
          <w:tcPr>
            <w:tcW w:type="dxa" w:w="837"/>
          </w:tcPr>
          <w:p>
            <w:pPr>
              <w:pStyle w:val="Compact"/>
              <w:spacing w:line="240" w:lineRule="auto" w:after="20"/>
              <w:jc w:val="right"/>
            </w:pPr>
            <w:r>
              <w:rPr>
                <w:sz w:val="20"/>
              </w:rPr>
              <w:t xml:space="preserve">1,100</w:t>
            </w:r>
          </w:p>
        </w:tc>
        <w:tc>
          <w:tcPr>
            <w:tcW w:type="dxa" w:w="3488"/>
          </w:tcPr>
          <w:p>
            <w:pPr>
              <w:pStyle w:val="Compact"/>
              <w:spacing w:line="240" w:lineRule="auto" w:after="20"/>
              <w:jc w:val="right"/>
            </w:pPr>
            <w:r>
              <w:rPr>
                <w:sz w:val="20"/>
              </w:rPr>
              <w:t xml:space="preserve">13.5 km</w:t>
            </w:r>
          </w:p>
        </w:tc>
        <w:tc>
          <w:tcPr>
            <w:tcW w:type="dxa" w:w="2512"/>
          </w:tcPr>
          <w:p>
            <w:pPr>
              <w:pStyle w:val="Compact"/>
              <w:spacing w:line="240" w:lineRule="auto" w:after="20"/>
              <w:jc w:val="right"/>
            </w:pPr>
            <w:r>
              <w:rPr>
                <w:b/>
                <w:bCs/>
                <w:sz w:val="20"/>
              </w:rPr>
              <w:t xml:space="preserve">63.1 %</w:t>
            </w:r>
          </w:p>
        </w:tc>
      </w:tr>
      <w:tr>
        <w:trPr>
          <w:cantSplit/>
        </w:trPr>
        <w:tc>
          <w:tcPr>
            <w:tcW w:type="dxa" w:w="1395"/>
          </w:tcPr>
          <w:p>
            <w:pPr>
              <w:pStyle w:val="Compact"/>
              <w:spacing w:line="240" w:lineRule="auto" w:after="20"/>
            </w:pPr>
            <w:r>
              <w:rPr>
                <w:sz w:val="20"/>
              </w:rPr>
              <w:t xml:space="preserve">Muğla</w:t>
            </w:r>
          </w:p>
        </w:tc>
        <w:tc>
          <w:tcPr>
            <w:tcW w:type="dxa" w:w="837"/>
          </w:tcPr>
          <w:p>
            <w:pPr>
              <w:pStyle w:val="Compact"/>
              <w:spacing w:line="240" w:lineRule="auto" w:after="20"/>
              <w:jc w:val="right"/>
            </w:pPr>
            <w:r>
              <w:rPr>
                <w:sz w:val="20"/>
              </w:rPr>
              <w:t xml:space="preserve">41,730</w:t>
            </w:r>
          </w:p>
        </w:tc>
        <w:tc>
          <w:tcPr>
            <w:tcW w:type="dxa" w:w="837"/>
          </w:tcPr>
          <w:p>
            <w:pPr>
              <w:pStyle w:val="Compact"/>
              <w:spacing w:line="240" w:lineRule="auto" w:after="20"/>
              <w:jc w:val="right"/>
            </w:pPr>
            <w:r>
              <w:rPr>
                <w:sz w:val="20"/>
              </w:rPr>
              <w:t xml:space="preserve">2,911</w:t>
            </w:r>
          </w:p>
        </w:tc>
        <w:tc>
          <w:tcPr>
            <w:tcW w:type="dxa" w:w="3488"/>
          </w:tcPr>
          <w:p>
            <w:pPr>
              <w:pStyle w:val="Compact"/>
              <w:spacing w:line="240" w:lineRule="auto" w:after="20"/>
              <w:jc w:val="right"/>
            </w:pPr>
            <w:r>
              <w:rPr>
                <w:sz w:val="20"/>
              </w:rPr>
              <w:t xml:space="preserve">11.3 km</w:t>
            </w:r>
          </w:p>
        </w:tc>
        <w:tc>
          <w:tcPr>
            <w:tcW w:type="dxa" w:w="2512"/>
          </w:tcPr>
          <w:p>
            <w:pPr>
              <w:pStyle w:val="Compact"/>
              <w:spacing w:line="240" w:lineRule="auto" w:after="20"/>
              <w:jc w:val="right"/>
            </w:pPr>
            <w:r>
              <w:rPr>
                <w:sz w:val="20"/>
              </w:rPr>
              <w:t xml:space="preserve">55.3 %</w:t>
            </w:r>
          </w:p>
        </w:tc>
      </w:tr>
      <w:tr>
        <w:trPr>
          <w:cantSplit/>
        </w:trPr>
        <w:tc>
          <w:tcPr>
            <w:tcW w:type="dxa" w:w="1395"/>
          </w:tcPr>
          <w:p>
            <w:pPr>
              <w:pStyle w:val="Compact"/>
              <w:spacing w:line="240" w:lineRule="auto" w:after="20"/>
            </w:pPr>
            <w:r>
              <w:rPr>
                <w:sz w:val="20"/>
              </w:rPr>
              <w:t xml:space="preserve">Evia</w:t>
            </w:r>
          </w:p>
        </w:tc>
        <w:tc>
          <w:tcPr>
            <w:tcW w:type="dxa" w:w="837"/>
          </w:tcPr>
          <w:p>
            <w:pPr>
              <w:pStyle w:val="Compact"/>
              <w:spacing w:line="240" w:lineRule="auto" w:after="20"/>
              <w:jc w:val="right"/>
            </w:pPr>
            <w:r>
              <w:rPr>
                <w:sz w:val="20"/>
              </w:rPr>
              <w:t xml:space="preserve">9,298</w:t>
            </w:r>
          </w:p>
        </w:tc>
        <w:tc>
          <w:tcPr>
            <w:tcW w:type="dxa" w:w="837"/>
          </w:tcPr>
          <w:p>
            <w:pPr>
              <w:pStyle w:val="Compact"/>
              <w:spacing w:line="240" w:lineRule="auto" w:after="20"/>
              <w:jc w:val="right"/>
            </w:pPr>
            <w:r>
              <w:rPr>
                <w:sz w:val="20"/>
              </w:rPr>
              <w:t xml:space="preserve">2,664</w:t>
            </w:r>
          </w:p>
        </w:tc>
        <w:tc>
          <w:tcPr>
            <w:tcW w:type="dxa" w:w="3488"/>
          </w:tcPr>
          <w:p>
            <w:pPr>
              <w:pStyle w:val="Compact"/>
              <w:spacing w:line="240" w:lineRule="auto" w:after="20"/>
              <w:jc w:val="right"/>
            </w:pPr>
            <w:r>
              <w:rPr>
                <w:sz w:val="20"/>
              </w:rPr>
              <w:t xml:space="preserve">8.0 km</w:t>
            </w:r>
          </w:p>
        </w:tc>
        <w:tc>
          <w:tcPr>
            <w:tcW w:type="dxa" w:w="2512"/>
          </w:tcPr>
          <w:p>
            <w:pPr>
              <w:pStyle w:val="Compact"/>
              <w:spacing w:line="240" w:lineRule="auto" w:after="20"/>
              <w:jc w:val="right"/>
            </w:pPr>
            <w:r>
              <w:rPr>
                <w:sz w:val="20"/>
              </w:rPr>
              <w:t xml:space="preserve">43.7 %</w:t>
            </w:r>
          </w:p>
        </w:tc>
      </w:tr>
      <w:tr>
        <w:trPr>
          <w:cantSplit/>
        </w:trPr>
        <w:tc>
          <w:tcPr>
            <w:tcW w:type="dxa" w:w="1395"/>
          </w:tcPr>
          <w:p>
            <w:pPr>
              <w:pStyle w:val="Compact"/>
              <w:spacing w:line="240" w:lineRule="auto" w:after="20"/>
            </w:pPr>
            <w:r>
              <w:rPr>
                <w:sz w:val="20"/>
              </w:rPr>
              <w:t xml:space="preserve">Montiferru</w:t>
            </w:r>
          </w:p>
        </w:tc>
        <w:tc>
          <w:tcPr>
            <w:tcW w:type="dxa" w:w="837"/>
          </w:tcPr>
          <w:p>
            <w:pPr>
              <w:pStyle w:val="Compact"/>
              <w:spacing w:line="240" w:lineRule="auto" w:after="20"/>
              <w:jc w:val="right"/>
            </w:pPr>
            <w:r>
              <w:rPr>
                <w:sz w:val="20"/>
              </w:rPr>
              <w:t xml:space="preserve">2,544</w:t>
            </w:r>
          </w:p>
        </w:tc>
        <w:tc>
          <w:tcPr>
            <w:tcW w:type="dxa" w:w="837"/>
          </w:tcPr>
          <w:p>
            <w:pPr>
              <w:pStyle w:val="Compact"/>
              <w:spacing w:line="240" w:lineRule="auto" w:after="20"/>
              <w:jc w:val="right"/>
            </w:pPr>
            <w:r>
              <w:rPr>
                <w:sz w:val="20"/>
              </w:rPr>
              <w:t xml:space="preserve">539</w:t>
            </w:r>
          </w:p>
        </w:tc>
        <w:tc>
          <w:tcPr>
            <w:tcW w:type="dxa" w:w="3488"/>
          </w:tcPr>
          <w:p>
            <w:pPr>
              <w:pStyle w:val="Compact"/>
              <w:spacing w:line="240" w:lineRule="auto" w:after="20"/>
              <w:jc w:val="right"/>
            </w:pPr>
            <w:r>
              <w:rPr>
                <w:sz w:val="20"/>
              </w:rPr>
              <w:t xml:space="preserve">2.7 km</w:t>
            </w:r>
          </w:p>
        </w:tc>
        <w:tc>
          <w:tcPr>
            <w:tcW w:type="dxa" w:w="2512"/>
          </w:tcPr>
          <w:p>
            <w:pPr>
              <w:pStyle w:val="Compact"/>
              <w:spacing w:line="240" w:lineRule="auto" w:after="20"/>
              <w:jc w:val="right"/>
            </w:pPr>
            <w:r>
              <w:rPr>
                <w:b/>
                <w:bCs/>
                <w:sz w:val="20"/>
              </w:rPr>
              <w:t xml:space="preserve">2.1 %</w:t>
            </w:r>
          </w:p>
        </w:tc>
      </w:tr>
    </w:tbl>
    <w:p>
      <w:pPr>
        <w:pStyle w:val="BodyText"/>
      </w:pPr>
      <w:r>
        <w:t xml:space="preserve">In Manavgat, the median elevation of the modelled cells is 330 m within 5 km of the fire (burned cells</w:t>
      </w:r>
      <w:r>
        <w:t xml:space="preserve"> </w:t>
      </w:r>
      <w:r>
        <w:t xml:space="preserve">included), 995 m at 10 to 20 km and 1,273 m at 20 to 50 km; the burned cells have a median of 287 m</w:t>
      </w:r>
      <w:r>
        <w:t xml:space="preserve"> </w:t>
      </w:r>
      <w:r>
        <w:t xml:space="preserve">(printed by</w:t>
      </w:r>
      <w:r>
        <w:t xml:space="preserve"> </w:t>
      </w:r>
      <w:r>
        <w:rPr>
          <w:rStyle w:val="VerbatimChar"/>
        </w:rPr>
        <w:t xml:space="preserve">paper/code/verify_aoi_frame.py</w:t>
      </w:r>
      <w:r>
        <w:t xml:space="preserve">, stage 1b).</w:t>
      </w:r>
    </w:p>
    <w:p>
      <w:pPr>
        <w:pStyle w:val="BodyText"/>
        <w:keepNext/>
      </w:pPr>
      <w:r>
        <w:rPr>
          <w:b/>
          <w:bCs/>
        </w:rPr>
        <w:t xml:space="preserve">Table S14. Signed univariate AUC, original study area against a 10 km collar.</w:t>
      </w:r>
      <w:r>
        <w:t xml:space="preserve"> </w:t>
      </w:r>
      <w:r>
        <w:t xml:space="preserve">Point estimates.</w:t>
      </w:r>
      <w:r>
        <w:t xml:space="preserve"> </w:t>
      </w:r>
      <w:r>
        <w:t xml:space="preserve">The intervals used for the reversal test are given in the text and in</w:t>
      </w:r>
      <w:r>
        <w:t xml:space="preserve"> </w:t>
      </w:r>
      <w:r>
        <w:rPr>
          <w:rStyle w:val="VerbatimChar"/>
        </w:rPr>
        <w:t xml:space="preserve">collar_frame_bootstrap.csv</w:t>
      </w:r>
      <w:r>
        <w:t xml:space="preserve"> </w:t>
      </w:r>
      <w:r>
        <w:t xml:space="preserve">(10-cell blocks, 1000 replicates, seed 42). Signed and not folded to max(AUC, 1 − AUC), so a value</w:t>
      </w:r>
      <w:r>
        <w:t xml:space="preserve"> </w:t>
      </w:r>
      <w:r>
        <w:t xml:space="preserve">below 0.5 shows a direction, not weakness. The collar removes no burned cells in any region. Full</w:t>
      </w:r>
      <w:r>
        <w:t xml:space="preserve"> </w:t>
      </w:r>
      <w:r>
        <w:t xml:space="preserve">frame from the source of Table S9; collar from</w:t>
      </w:r>
      <w:r>
        <w:t xml:space="preserve"> </w:t>
      </w:r>
      <w:r>
        <w:rPr>
          <w:rStyle w:val="VerbatimChar"/>
        </w:rPr>
        <w:t xml:space="preserve">paper/labelfix_rerun/code/aoi_frame_auc_frozen_mugla.csv</w:t>
      </w:r>
      <w:r>
        <w:t xml:space="preserve"> </w:t>
      </w:r>
      <w:r>
        <w:t xml:space="preserve">(the collar analysis with Muğla read from</w:t>
      </w:r>
      <w:r>
        <w:t xml:space="preserve"> </w:t>
      </w:r>
      <w:r>
        <w:t xml:space="preserve">its canonical file). Checked row by row by</w:t>
      </w:r>
      <w:r>
        <w:t xml:space="preserve"> </w:t>
      </w:r>
      <w:r>
        <w:rPr>
          <w:rStyle w:val="VerbatimChar"/>
        </w:rPr>
        <w:t xml:space="preserve">paper/code/appendix_tables.py</w:t>
      </w:r>
      <w:r>
        <w:t xml:space="preserve">. On every row, Manavgat is</w:t>
      </w:r>
      <w:r>
        <w:t xml:space="preserve"> </w:t>
      </w:r>
      <w:r>
        <w:t xml:space="preserve">on the other side of 0.5 from the other regions, also on the collar.</w:t>
      </w:r>
    </w:p>
    <w:tbl>
      <w:tblPr>
        <w:tblStyle w:val="Table"/>
        <w:tblW w:type="auto" w:w="0"/>
        <w:tblLook w:firstRow="1" w:lastRow="0" w:firstColumn="0" w:lastColumn="0" w:noHBand="0" w:noVBand="0" w:val="0020"/>
      </w:tblPr>
      <w:tblGrid>
        <w:gridCol w:w="3721"/>
        <w:gridCol w:w="930"/>
        <w:gridCol w:w="581"/>
        <w:gridCol w:w="581"/>
        <w:gridCol w:w="581"/>
        <w:gridCol w:w="1163"/>
        <w:gridCol w:w="1512"/>
      </w:tblGrid>
      <w:tr>
        <w:trPr>
          <w:tblHeader w:val="on"/>
          <w:cantSplit/>
        </w:trPr>
        <w:tc>
          <w:tcPr>
            <w:tcW w:type="dxa" w:w="3721"/>
          </w:tcPr>
          <w:p>
            <w:pPr>
              <w:pStyle w:val="Compact"/>
              <w:spacing w:line="240" w:lineRule="auto" w:after="20"/>
            </w:pPr>
            <w:r>
              <w:rPr>
                <w:sz w:val="20"/>
              </w:rPr>
              <w:t xml:space="preserve">Signed univariate AUC</w:t>
            </w:r>
          </w:p>
        </w:tc>
        <w:tc>
          <w:tcPr>
            <w:tcW w:type="dxa" w:w="930"/>
          </w:tcPr>
          <w:p>
            <w:pPr>
              <w:pStyle w:val="Compact"/>
              <w:spacing w:line="240" w:lineRule="auto" w:after="20"/>
              <w:jc w:val="right"/>
            </w:pPr>
            <w:r>
              <w:rPr>
                <w:sz w:val="20"/>
              </w:rPr>
              <w:t xml:space="preserve">Manavgat</w:t>
            </w:r>
          </w:p>
        </w:tc>
        <w:tc>
          <w:tcPr>
            <w:tcW w:type="dxa" w:w="581"/>
          </w:tcPr>
          <w:p>
            <w:pPr>
              <w:pStyle w:val="Compact"/>
              <w:spacing w:line="240" w:lineRule="auto" w:after="20"/>
              <w:jc w:val="right"/>
            </w:pPr>
            <w:r>
              <w:rPr>
                <w:sz w:val="20"/>
              </w:rPr>
              <w:t xml:space="preserve">Bejís</w:t>
            </w:r>
          </w:p>
        </w:tc>
        <w:tc>
          <w:tcPr>
            <w:tcW w:type="dxa" w:w="581"/>
          </w:tcPr>
          <w:p>
            <w:pPr>
              <w:pStyle w:val="Compact"/>
              <w:spacing w:line="240" w:lineRule="auto" w:after="20"/>
              <w:jc w:val="right"/>
            </w:pPr>
            <w:r>
              <w:rPr>
                <w:sz w:val="20"/>
              </w:rPr>
              <w:t xml:space="preserve">Muğla</w:t>
            </w:r>
          </w:p>
        </w:tc>
        <w:tc>
          <w:tcPr>
            <w:tcW w:type="dxa" w:w="581"/>
          </w:tcPr>
          <w:p>
            <w:pPr>
              <w:pStyle w:val="Compact"/>
              <w:spacing w:line="240" w:lineRule="auto" w:after="20"/>
              <w:jc w:val="right"/>
            </w:pPr>
            <w:r>
              <w:rPr>
                <w:sz w:val="20"/>
              </w:rPr>
              <w:t xml:space="preserve">Evia</w:t>
            </w:r>
          </w:p>
        </w:tc>
        <w:tc>
          <w:tcPr>
            <w:tcW w:type="dxa" w:w="1163"/>
          </w:tcPr>
          <w:p>
            <w:pPr>
              <w:pStyle w:val="Compact"/>
              <w:spacing w:line="240" w:lineRule="auto" w:after="20"/>
              <w:jc w:val="right"/>
            </w:pPr>
            <w:r>
              <w:rPr>
                <w:sz w:val="20"/>
              </w:rPr>
              <w:t xml:space="preserve">Montiferru</w:t>
            </w:r>
          </w:p>
        </w:tc>
        <w:tc>
          <w:tcPr>
            <w:tcW w:type="dxa" w:w="1512"/>
          </w:tcPr>
          <w:p>
            <w:pPr>
              <w:pStyle w:val="Compact"/>
              <w:spacing w:line="240" w:lineRule="auto" w:after="20"/>
            </w:pPr>
            <w:r>
              <w:rPr>
                <w:sz w:val="20"/>
              </w:rPr>
              <w:t xml:space="preserve">straddles 0.5</w:t>
            </w:r>
          </w:p>
        </w:tc>
      </w:tr>
      <w:tr>
        <w:trPr>
          <w:cantSplit/>
        </w:trPr>
        <w:tc>
          <w:tcPr>
            <w:tcW w:type="dxa" w:w="3721"/>
          </w:tcPr>
          <w:p>
            <w:pPr>
              <w:pStyle w:val="Compact"/>
              <w:spacing w:line="240" w:lineRule="auto" w:after="20"/>
            </w:pPr>
            <w:r>
              <w:rPr>
                <w:sz w:val="20"/>
              </w:rPr>
              <w:t xml:space="preserve">elevation, full frame (Table S9)</w:t>
            </w:r>
          </w:p>
        </w:tc>
        <w:tc>
          <w:tcPr>
            <w:tcW w:type="dxa" w:w="930"/>
          </w:tcPr>
          <w:p>
            <w:pPr>
              <w:pStyle w:val="Compact"/>
              <w:spacing w:line="240" w:lineRule="auto" w:after="20"/>
              <w:jc w:val="right"/>
            </w:pPr>
            <w:r>
              <w:rPr>
                <w:b/>
                <w:bCs/>
                <w:sz w:val="20"/>
              </w:rPr>
              <w:t xml:space="preserve">0.232</w:t>
            </w:r>
          </w:p>
        </w:tc>
        <w:tc>
          <w:tcPr>
            <w:tcW w:type="dxa" w:w="581"/>
          </w:tcPr>
          <w:p>
            <w:pPr>
              <w:pStyle w:val="Compact"/>
              <w:spacing w:line="240" w:lineRule="auto" w:after="20"/>
              <w:jc w:val="right"/>
            </w:pPr>
            <w:r>
              <w:rPr>
                <w:sz w:val="20"/>
              </w:rPr>
              <w:t xml:space="preserve">0.643</w:t>
            </w:r>
          </w:p>
        </w:tc>
        <w:tc>
          <w:tcPr>
            <w:tcW w:type="dxa" w:w="581"/>
          </w:tcPr>
          <w:p>
            <w:pPr>
              <w:pStyle w:val="Compact"/>
              <w:spacing w:line="240" w:lineRule="auto" w:after="20"/>
              <w:jc w:val="right"/>
            </w:pPr>
            <w:r>
              <w:rPr>
                <w:sz w:val="20"/>
              </w:rPr>
              <w:t xml:space="preserve">0.611</w:t>
            </w:r>
          </w:p>
        </w:tc>
        <w:tc>
          <w:tcPr>
            <w:tcW w:type="dxa" w:w="581"/>
          </w:tcPr>
          <w:p>
            <w:pPr>
              <w:pStyle w:val="Compact"/>
              <w:spacing w:line="240" w:lineRule="auto" w:after="20"/>
              <w:jc w:val="right"/>
            </w:pPr>
            <w:r>
              <w:rPr>
                <w:sz w:val="20"/>
              </w:rPr>
              <w:t xml:space="preserve">0.541</w:t>
            </w:r>
          </w:p>
        </w:tc>
        <w:tc>
          <w:tcPr>
            <w:tcW w:type="dxa" w:w="1163"/>
          </w:tcPr>
          <w:p>
            <w:pPr>
              <w:pStyle w:val="Compact"/>
              <w:spacing w:line="240" w:lineRule="auto" w:after="20"/>
              <w:jc w:val="right"/>
            </w:pPr>
            <w:r>
              <w:rPr>
                <w:sz w:val="20"/>
              </w:rPr>
              <w:t xml:space="preserve">0.584</w:t>
            </w:r>
          </w:p>
        </w:tc>
        <w:tc>
          <w:tcPr>
            <w:tcW w:type="dxa" w:w="1512"/>
          </w:tcPr>
          <w:p>
            <w:pPr>
              <w:pStyle w:val="Compact"/>
              <w:spacing w:line="240" w:lineRule="auto" w:after="20"/>
            </w:pPr>
            <w:r>
              <w:rPr>
                <w:b/>
                <w:bCs/>
                <w:sz w:val="20"/>
              </w:rPr>
              <w:t xml:space="preserve">yes</w:t>
            </w:r>
          </w:p>
        </w:tc>
      </w:tr>
      <w:tr>
        <w:trPr>
          <w:cantSplit/>
        </w:trPr>
        <w:tc>
          <w:tcPr>
            <w:tcW w:type="dxa" w:w="3721"/>
          </w:tcPr>
          <w:p>
            <w:pPr>
              <w:pStyle w:val="Compact"/>
              <w:spacing w:line="240" w:lineRule="auto" w:after="20"/>
            </w:pPr>
            <w:r>
              <w:rPr>
                <w:sz w:val="20"/>
              </w:rPr>
              <w:t xml:space="preserve">elevation, 10 km collar</w:t>
            </w:r>
          </w:p>
        </w:tc>
        <w:tc>
          <w:tcPr>
            <w:tcW w:type="dxa" w:w="930"/>
          </w:tcPr>
          <w:p>
            <w:pPr>
              <w:pStyle w:val="Compact"/>
              <w:spacing w:line="240" w:lineRule="auto" w:after="20"/>
              <w:jc w:val="right"/>
            </w:pPr>
            <w:r>
              <w:rPr>
                <w:b/>
                <w:bCs/>
                <w:sz w:val="20"/>
              </w:rPr>
              <w:t xml:space="preserve">0.376</w:t>
            </w:r>
          </w:p>
        </w:tc>
        <w:tc>
          <w:tcPr>
            <w:tcW w:type="dxa" w:w="581"/>
          </w:tcPr>
          <w:p>
            <w:pPr>
              <w:pStyle w:val="Compact"/>
              <w:spacing w:line="240" w:lineRule="auto" w:after="20"/>
              <w:jc w:val="right"/>
            </w:pPr>
            <w:r>
              <w:rPr>
                <w:sz w:val="20"/>
              </w:rPr>
              <w:t xml:space="preserve">0.614</w:t>
            </w:r>
          </w:p>
        </w:tc>
        <w:tc>
          <w:tcPr>
            <w:tcW w:type="dxa" w:w="581"/>
          </w:tcPr>
          <w:p>
            <w:pPr>
              <w:pStyle w:val="Compact"/>
              <w:spacing w:line="240" w:lineRule="auto" w:after="20"/>
              <w:jc w:val="right"/>
            </w:pPr>
            <w:r>
              <w:rPr>
                <w:sz w:val="20"/>
              </w:rPr>
              <w:t xml:space="preserve">0.606</w:t>
            </w:r>
          </w:p>
        </w:tc>
        <w:tc>
          <w:tcPr>
            <w:tcW w:type="dxa" w:w="581"/>
          </w:tcPr>
          <w:p>
            <w:pPr>
              <w:pStyle w:val="Compact"/>
              <w:spacing w:line="240" w:lineRule="auto" w:after="20"/>
              <w:jc w:val="right"/>
            </w:pPr>
            <w:r>
              <w:rPr>
                <w:sz w:val="20"/>
              </w:rPr>
              <w:t xml:space="preserve">0.648</w:t>
            </w:r>
          </w:p>
        </w:tc>
        <w:tc>
          <w:tcPr>
            <w:tcW w:type="dxa" w:w="1163"/>
          </w:tcPr>
          <w:p>
            <w:pPr>
              <w:pStyle w:val="Compact"/>
              <w:spacing w:line="240" w:lineRule="auto" w:after="20"/>
              <w:jc w:val="right"/>
            </w:pPr>
            <w:r>
              <w:rPr>
                <w:sz w:val="20"/>
              </w:rPr>
              <w:t xml:space="preserve">0.581</w:t>
            </w:r>
          </w:p>
        </w:tc>
        <w:tc>
          <w:tcPr>
            <w:tcW w:type="dxa" w:w="1512"/>
          </w:tcPr>
          <w:p>
            <w:pPr>
              <w:pStyle w:val="Compact"/>
              <w:spacing w:line="240" w:lineRule="auto" w:after="20"/>
            </w:pPr>
            <w:r>
              <w:rPr>
                <w:b/>
                <w:bCs/>
                <w:sz w:val="20"/>
              </w:rPr>
              <w:t xml:space="preserve">yes</w:t>
            </w:r>
          </w:p>
        </w:tc>
      </w:tr>
      <w:tr>
        <w:trPr>
          <w:cantSplit/>
        </w:trPr>
        <w:tc>
          <w:tcPr>
            <w:tcW w:type="dxa" w:w="3721"/>
          </w:tcPr>
          <w:p>
            <w:pPr>
              <w:pStyle w:val="Compact"/>
              <w:spacing w:line="240" w:lineRule="auto" w:after="20"/>
            </w:pPr>
            <w:r>
              <w:rPr>
                <w:sz w:val="20"/>
              </w:rPr>
              <w:t xml:space="preserve">current LST, full frame</w:t>
            </w:r>
          </w:p>
        </w:tc>
        <w:tc>
          <w:tcPr>
            <w:tcW w:type="dxa" w:w="930"/>
          </w:tcPr>
          <w:p>
            <w:pPr>
              <w:pStyle w:val="Compact"/>
              <w:spacing w:line="240" w:lineRule="auto" w:after="20"/>
              <w:jc w:val="right"/>
            </w:pPr>
            <w:r>
              <w:rPr>
                <w:b/>
                <w:bCs/>
                <w:sz w:val="20"/>
              </w:rPr>
              <w:t xml:space="preserve">0.665</w:t>
            </w:r>
          </w:p>
        </w:tc>
        <w:tc>
          <w:tcPr>
            <w:tcW w:type="dxa" w:w="581"/>
          </w:tcPr>
          <w:p>
            <w:pPr>
              <w:pStyle w:val="Compact"/>
              <w:spacing w:line="240" w:lineRule="auto" w:after="20"/>
              <w:jc w:val="right"/>
            </w:pPr>
            <w:r>
              <w:rPr>
                <w:sz w:val="20"/>
              </w:rPr>
              <w:t xml:space="preserve">0.477</w:t>
            </w:r>
          </w:p>
        </w:tc>
        <w:tc>
          <w:tcPr>
            <w:tcW w:type="dxa" w:w="581"/>
          </w:tcPr>
          <w:p>
            <w:pPr>
              <w:pStyle w:val="Compact"/>
              <w:spacing w:line="240" w:lineRule="auto" w:after="20"/>
              <w:jc w:val="right"/>
            </w:pPr>
            <w:r>
              <w:rPr>
                <w:sz w:val="20"/>
              </w:rPr>
              <w:t xml:space="preserve">0.325</w:t>
            </w:r>
          </w:p>
        </w:tc>
        <w:tc>
          <w:tcPr>
            <w:tcW w:type="dxa" w:w="581"/>
          </w:tcPr>
          <w:p>
            <w:pPr>
              <w:pStyle w:val="Compact"/>
              <w:spacing w:line="240" w:lineRule="auto" w:after="20"/>
              <w:jc w:val="right"/>
            </w:pPr>
            <w:r>
              <w:rPr>
                <w:sz w:val="20"/>
              </w:rPr>
              <w:t xml:space="preserve">0.377</w:t>
            </w:r>
          </w:p>
        </w:tc>
        <w:tc>
          <w:tcPr>
            <w:tcW w:type="dxa" w:w="1163"/>
          </w:tcPr>
          <w:p>
            <w:pPr>
              <w:pStyle w:val="Compact"/>
              <w:spacing w:line="240" w:lineRule="auto" w:after="20"/>
              <w:jc w:val="right"/>
            </w:pPr>
            <w:r>
              <w:rPr>
                <w:sz w:val="20"/>
              </w:rPr>
              <w:t xml:space="preserve">0.370</w:t>
            </w:r>
          </w:p>
        </w:tc>
        <w:tc>
          <w:tcPr>
            <w:tcW w:type="dxa" w:w="1512"/>
          </w:tcPr>
          <w:p>
            <w:pPr>
              <w:pStyle w:val="Compact"/>
              <w:spacing w:line="240" w:lineRule="auto" w:after="20"/>
            </w:pPr>
            <w:r>
              <w:rPr>
                <w:b/>
                <w:bCs/>
                <w:sz w:val="20"/>
              </w:rPr>
              <w:t xml:space="preserve">yes</w:t>
            </w:r>
          </w:p>
        </w:tc>
      </w:tr>
      <w:tr>
        <w:trPr>
          <w:cantSplit/>
        </w:trPr>
        <w:tc>
          <w:tcPr>
            <w:tcW w:type="dxa" w:w="3721"/>
          </w:tcPr>
          <w:p>
            <w:pPr>
              <w:pStyle w:val="Compact"/>
              <w:spacing w:line="240" w:lineRule="auto" w:after="20"/>
            </w:pPr>
            <w:r>
              <w:rPr>
                <w:sz w:val="20"/>
              </w:rPr>
              <w:t xml:space="preserve">current LST, 10 km collar</w:t>
            </w:r>
          </w:p>
        </w:tc>
        <w:tc>
          <w:tcPr>
            <w:tcW w:type="dxa" w:w="930"/>
          </w:tcPr>
          <w:p>
            <w:pPr>
              <w:pStyle w:val="Compact"/>
              <w:spacing w:line="240" w:lineRule="auto" w:after="20"/>
              <w:jc w:val="right"/>
            </w:pPr>
            <w:r>
              <w:rPr>
                <w:b/>
                <w:bCs/>
                <w:sz w:val="20"/>
              </w:rPr>
              <w:t xml:space="preserve">0.522</w:t>
            </w:r>
          </w:p>
        </w:tc>
        <w:tc>
          <w:tcPr>
            <w:tcW w:type="dxa" w:w="581"/>
          </w:tcPr>
          <w:p>
            <w:pPr>
              <w:pStyle w:val="Compact"/>
              <w:spacing w:line="240" w:lineRule="auto" w:after="20"/>
              <w:jc w:val="right"/>
            </w:pPr>
            <w:r>
              <w:rPr>
                <w:sz w:val="20"/>
              </w:rPr>
              <w:t xml:space="preserve">0.405</w:t>
            </w:r>
          </w:p>
        </w:tc>
        <w:tc>
          <w:tcPr>
            <w:tcW w:type="dxa" w:w="581"/>
          </w:tcPr>
          <w:p>
            <w:pPr>
              <w:pStyle w:val="Compact"/>
              <w:spacing w:line="240" w:lineRule="auto" w:after="20"/>
              <w:jc w:val="right"/>
            </w:pPr>
            <w:r>
              <w:rPr>
                <w:sz w:val="20"/>
              </w:rPr>
              <w:t xml:space="preserve">0.332</w:t>
            </w:r>
          </w:p>
        </w:tc>
        <w:tc>
          <w:tcPr>
            <w:tcW w:type="dxa" w:w="581"/>
          </w:tcPr>
          <w:p>
            <w:pPr>
              <w:pStyle w:val="Compact"/>
              <w:spacing w:line="240" w:lineRule="auto" w:after="20"/>
              <w:jc w:val="right"/>
            </w:pPr>
            <w:r>
              <w:rPr>
                <w:sz w:val="20"/>
              </w:rPr>
              <w:t xml:space="preserve">0.286</w:t>
            </w:r>
          </w:p>
        </w:tc>
        <w:tc>
          <w:tcPr>
            <w:tcW w:type="dxa" w:w="1163"/>
          </w:tcPr>
          <w:p>
            <w:pPr>
              <w:pStyle w:val="Compact"/>
              <w:spacing w:line="240" w:lineRule="auto" w:after="20"/>
              <w:jc w:val="right"/>
            </w:pPr>
            <w:r>
              <w:rPr>
                <w:sz w:val="20"/>
              </w:rPr>
              <w:t xml:space="preserve">0.376</w:t>
            </w:r>
          </w:p>
        </w:tc>
        <w:tc>
          <w:tcPr>
            <w:tcW w:type="dxa" w:w="1512"/>
          </w:tcPr>
          <w:p>
            <w:pPr>
              <w:pStyle w:val="Compact"/>
              <w:spacing w:line="240" w:lineRule="auto" w:after="20"/>
            </w:pPr>
            <w:r>
              <w:rPr>
                <w:b/>
                <w:bCs/>
                <w:sz w:val="20"/>
              </w:rPr>
              <w:t xml:space="preserve">yes</w:t>
            </w:r>
          </w:p>
        </w:tc>
      </w:tr>
      <w:tr>
        <w:trPr>
          <w:cantSplit/>
        </w:trPr>
        <w:tc>
          <w:tcPr>
            <w:tcW w:type="dxa" w:w="3721"/>
          </w:tcPr>
          <w:p>
            <w:pPr>
              <w:pStyle w:val="Compact"/>
              <w:spacing w:line="240" w:lineRule="auto" w:after="20"/>
            </w:pPr>
            <w:r>
              <w:rPr>
                <w:sz w:val="20"/>
              </w:rPr>
              <w:t xml:space="preserve">current TVDI, full frame</w:t>
            </w:r>
          </w:p>
        </w:tc>
        <w:tc>
          <w:tcPr>
            <w:tcW w:type="dxa" w:w="930"/>
          </w:tcPr>
          <w:p>
            <w:pPr>
              <w:pStyle w:val="Compact"/>
              <w:spacing w:line="240" w:lineRule="auto" w:after="20"/>
              <w:jc w:val="right"/>
            </w:pPr>
            <w:r>
              <w:rPr>
                <w:b/>
                <w:bCs/>
                <w:sz w:val="20"/>
              </w:rPr>
              <w:t xml:space="preserve">0.677</w:t>
            </w:r>
          </w:p>
        </w:tc>
        <w:tc>
          <w:tcPr>
            <w:tcW w:type="dxa" w:w="581"/>
          </w:tcPr>
          <w:p>
            <w:pPr>
              <w:pStyle w:val="Compact"/>
              <w:spacing w:line="240" w:lineRule="auto" w:after="20"/>
              <w:jc w:val="right"/>
            </w:pPr>
            <w:r>
              <w:rPr>
                <w:sz w:val="20"/>
              </w:rPr>
              <w:t xml:space="preserve">0.517</w:t>
            </w:r>
          </w:p>
        </w:tc>
        <w:tc>
          <w:tcPr>
            <w:tcW w:type="dxa" w:w="581"/>
          </w:tcPr>
          <w:p>
            <w:pPr>
              <w:pStyle w:val="Compact"/>
              <w:spacing w:line="240" w:lineRule="auto" w:after="20"/>
              <w:jc w:val="right"/>
            </w:pPr>
            <w:r>
              <w:rPr>
                <w:sz w:val="20"/>
              </w:rPr>
              <w:t xml:space="preserve">0.336</w:t>
            </w:r>
          </w:p>
        </w:tc>
        <w:tc>
          <w:tcPr>
            <w:tcW w:type="dxa" w:w="581"/>
          </w:tcPr>
          <w:p>
            <w:pPr>
              <w:pStyle w:val="Compact"/>
              <w:spacing w:line="240" w:lineRule="auto" w:after="20"/>
              <w:jc w:val="right"/>
            </w:pPr>
            <w:r>
              <w:rPr>
                <w:sz w:val="20"/>
              </w:rPr>
              <w:t xml:space="preserve">0.362</w:t>
            </w:r>
          </w:p>
        </w:tc>
        <w:tc>
          <w:tcPr>
            <w:tcW w:type="dxa" w:w="1163"/>
          </w:tcPr>
          <w:p>
            <w:pPr>
              <w:pStyle w:val="Compact"/>
              <w:spacing w:line="240" w:lineRule="auto" w:after="20"/>
              <w:jc w:val="right"/>
            </w:pPr>
            <w:r>
              <w:rPr>
                <w:sz w:val="20"/>
              </w:rPr>
              <w:t xml:space="preserve">0.356</w:t>
            </w:r>
          </w:p>
        </w:tc>
        <w:tc>
          <w:tcPr>
            <w:tcW w:type="dxa" w:w="1512"/>
          </w:tcPr>
          <w:p>
            <w:pPr>
              <w:pStyle w:val="Compact"/>
              <w:spacing w:line="240" w:lineRule="auto" w:after="20"/>
            </w:pPr>
            <w:r>
              <w:rPr>
                <w:b/>
                <w:bCs/>
                <w:sz w:val="20"/>
              </w:rPr>
              <w:t xml:space="preserve">yes</w:t>
            </w:r>
          </w:p>
        </w:tc>
      </w:tr>
      <w:tr>
        <w:trPr>
          <w:cantSplit/>
        </w:trPr>
        <w:tc>
          <w:tcPr>
            <w:tcW w:type="dxa" w:w="3721"/>
          </w:tcPr>
          <w:p>
            <w:pPr>
              <w:pStyle w:val="Compact"/>
              <w:spacing w:line="240" w:lineRule="auto" w:after="20"/>
            </w:pPr>
            <w:r>
              <w:rPr>
                <w:sz w:val="20"/>
              </w:rPr>
              <w:t xml:space="preserve">current TVDI, 10 km collar</w:t>
            </w:r>
          </w:p>
        </w:tc>
        <w:tc>
          <w:tcPr>
            <w:tcW w:type="dxa" w:w="930"/>
          </w:tcPr>
          <w:p>
            <w:pPr>
              <w:pStyle w:val="Compact"/>
              <w:spacing w:line="240" w:lineRule="auto" w:after="20"/>
              <w:jc w:val="right"/>
            </w:pPr>
            <w:r>
              <w:rPr>
                <w:b/>
                <w:bCs/>
                <w:sz w:val="20"/>
              </w:rPr>
              <w:t xml:space="preserve">0.527</w:t>
            </w:r>
          </w:p>
        </w:tc>
        <w:tc>
          <w:tcPr>
            <w:tcW w:type="dxa" w:w="581"/>
          </w:tcPr>
          <w:p>
            <w:pPr>
              <w:pStyle w:val="Compact"/>
              <w:spacing w:line="240" w:lineRule="auto" w:after="20"/>
              <w:jc w:val="right"/>
            </w:pPr>
            <w:r>
              <w:rPr>
                <w:sz w:val="20"/>
              </w:rPr>
              <w:t xml:space="preserve">0.454</w:t>
            </w:r>
          </w:p>
        </w:tc>
        <w:tc>
          <w:tcPr>
            <w:tcW w:type="dxa" w:w="581"/>
          </w:tcPr>
          <w:p>
            <w:pPr>
              <w:pStyle w:val="Compact"/>
              <w:spacing w:line="240" w:lineRule="auto" w:after="20"/>
              <w:jc w:val="right"/>
            </w:pPr>
            <w:r>
              <w:rPr>
                <w:sz w:val="20"/>
              </w:rPr>
              <w:t xml:space="preserve">0.342</w:t>
            </w:r>
          </w:p>
        </w:tc>
        <w:tc>
          <w:tcPr>
            <w:tcW w:type="dxa" w:w="581"/>
          </w:tcPr>
          <w:p>
            <w:pPr>
              <w:pStyle w:val="Compact"/>
              <w:spacing w:line="240" w:lineRule="auto" w:after="20"/>
              <w:jc w:val="right"/>
            </w:pPr>
            <w:r>
              <w:rPr>
                <w:sz w:val="20"/>
              </w:rPr>
              <w:t xml:space="preserve">0.250</w:t>
            </w:r>
          </w:p>
        </w:tc>
        <w:tc>
          <w:tcPr>
            <w:tcW w:type="dxa" w:w="1163"/>
          </w:tcPr>
          <w:p>
            <w:pPr>
              <w:pStyle w:val="Compact"/>
              <w:spacing w:line="240" w:lineRule="auto" w:after="20"/>
              <w:jc w:val="right"/>
            </w:pPr>
            <w:r>
              <w:rPr>
                <w:sz w:val="20"/>
              </w:rPr>
              <w:t xml:space="preserve">0.361</w:t>
            </w:r>
          </w:p>
        </w:tc>
        <w:tc>
          <w:tcPr>
            <w:tcW w:type="dxa" w:w="1512"/>
          </w:tcPr>
          <w:p>
            <w:pPr>
              <w:pStyle w:val="Compact"/>
              <w:spacing w:line="240" w:lineRule="auto" w:after="20"/>
            </w:pPr>
            <w:r>
              <w:rPr>
                <w:b/>
                <w:bCs/>
                <w:sz w:val="20"/>
              </w:rPr>
              <w:t xml:space="preserve">yes</w:t>
            </w:r>
          </w:p>
        </w:tc>
      </w:tr>
    </w:tbl>
    <w:p>
      <w:pPr>
        <w:pStyle w:val="BodyText"/>
        <w:keepNext/>
      </w:pPr>
      <w:r>
        <w:rPr>
          <w:b/>
          <w:bCs/>
        </w:rPr>
        <w:t xml:space="preserve">Table S15. Region summary: populations and gate results.</w:t>
      </w:r>
      <w:r>
        <w:t xml:space="preserve"> </w:t>
      </w:r>
      <w:r>
        <w:t xml:space="preserve">Counts from the Step 8A dataset</w:t>
      </w:r>
      <w:r>
        <w:t xml:space="preserve"> </w:t>
      </w:r>
      <w:r>
        <w:t xml:space="preserve">statistics of each region; gate fractions from the burned-landcover gate output of each region. TSG =</w:t>
      </w:r>
      <w:r>
        <w:t xml:space="preserve"> </w:t>
      </w:r>
      <w:r>
        <w:t xml:space="preserve">the natural-vegetation population (tree, shrub and grass). The TSG columns use the modelled</w:t>
      </w:r>
      <w:r>
        <w:t xml:space="preserve"> </w:t>
      </w:r>
      <w:r>
        <w:t xml:space="preserve">population,</w:t>
      </w:r>
      <w:r>
        <w:t xml:space="preserve"> </w:t>
      </w:r>
      <w:r>
        <w:rPr>
          <w:rStyle w:val="VerbatimChar"/>
        </w:rPr>
        <w:t xml:space="preserve">burnable_tree_shrub_grass</w:t>
      </w:r>
      <w:r>
        <w:t xml:space="preserve"> </w:t>
      </w:r>
      <w:r>
        <w:rPr>
          <w:b/>
          <w:bCs/>
        </w:rPr>
        <w:t xml:space="preserve">and</w:t>
      </w:r>
      <w:r>
        <w:t xml:space="preserve"> </w:t>
      </w:r>
      <w:r>
        <w:rPr>
          <w:rStyle w:val="VerbatimChar"/>
        </w:rPr>
        <w:t xml:space="preserve">valid_for_modeling == True</w:t>
      </w:r>
      <w:r>
        <w:t xml:space="preserve">, on which every model in</w:t>
      </w:r>
      <w:r>
        <w:t xml:space="preserve"> </w:t>
      </w:r>
      <w:r>
        <w:t xml:space="preserve">this paper was fitted and scored. Counts are computed from the step8a tables, and gate fractions are</w:t>
      </w:r>
      <w:r>
        <w:t xml:space="preserve"> </w:t>
      </w:r>
      <w:r>
        <w:t xml:space="preserve">read from the gate output of each region (</w:t>
      </w:r>
      <w:r>
        <w:rPr>
          <w:rStyle w:val="VerbatimChar"/>
        </w:rPr>
        <w:t xml:space="preserve">paper/labelfix_rerun/round5/tables/corrected/gates/</w:t>
      </w:r>
      <w:r>
        <w:t xml:space="preserve">).</w:t>
      </w:r>
      <w:r>
        <w:t xml:space="preserve"> </w:t>
      </w:r>
      <w:r>
        <w:t xml:space="preserve">Checked row by row by</w:t>
      </w:r>
      <w:r>
        <w:t xml:space="preserve"> </w:t>
      </w:r>
      <w:r>
        <w:rPr>
          <w:rStyle w:val="VerbatimChar"/>
        </w:rPr>
        <w:t xml:space="preserve">paper/code/appendix_tables.py</w:t>
      </w:r>
      <w:r>
        <w:t xml:space="preserve">.</w:t>
      </w:r>
    </w:p>
    <w:tbl>
      <w:tblPr>
        <w:tblStyle w:val="Table"/>
        <w:tblW w:type="auto" w:w="0"/>
        <w:tblLook w:firstRow="1" w:lastRow="0" w:firstColumn="0" w:lastColumn="0" w:noHBand="0" w:noVBand="0" w:val="0020"/>
      </w:tblPr>
      <w:tblGrid>
        <w:gridCol w:w="1562"/>
        <w:gridCol w:w="661"/>
        <w:gridCol w:w="661"/>
        <w:gridCol w:w="360"/>
        <w:gridCol w:w="1321"/>
        <w:gridCol w:w="541"/>
        <w:gridCol w:w="781"/>
        <w:gridCol w:w="841"/>
        <w:gridCol w:w="1622"/>
        <w:gridCol w:w="721"/>
      </w:tblGrid>
      <w:tr>
        <w:trPr>
          <w:tblHeader w:val="on"/>
          <w:cantSplit/>
        </w:trPr>
        <w:tc>
          <w:tcPr>
            <w:tcW w:type="dxa" w:w="1562"/>
          </w:tcPr>
          <w:p>
            <w:pPr>
              <w:pStyle w:val="Compact"/>
              <w:spacing w:line="240" w:lineRule="auto" w:after="20"/>
            </w:pPr>
            <w:r>
              <w:rPr>
                <w:sz w:val="20"/>
              </w:rPr>
              <w:t xml:space="preserve">Region</w:t>
            </w:r>
          </w:p>
        </w:tc>
        <w:tc>
          <w:tcPr>
            <w:tcW w:type="dxa" w:w="661"/>
          </w:tcPr>
          <w:p>
            <w:pPr>
              <w:pStyle w:val="Compact"/>
              <w:spacing w:line="240" w:lineRule="auto" w:after="20"/>
            </w:pPr>
            <w:r>
              <w:rPr>
                <w:sz w:val="20"/>
              </w:rPr>
              <w:t xml:space="preserve">Total cells</w:t>
            </w:r>
          </w:p>
        </w:tc>
        <w:tc>
          <w:tcPr>
            <w:tcW w:type="dxa" w:w="661"/>
          </w:tcPr>
          <w:p>
            <w:pPr>
              <w:pStyle w:val="Compact"/>
              <w:spacing w:line="240" w:lineRule="auto" w:after="20"/>
            </w:pPr>
            <w:r>
              <w:rPr>
                <w:sz w:val="20"/>
              </w:rPr>
              <w:t xml:space="preserve">Valid cells</w:t>
            </w:r>
          </w:p>
        </w:tc>
        <w:tc>
          <w:tcPr>
            <w:tcW w:type="dxa" w:w="360"/>
          </w:tcPr>
          <w:p>
            <w:pPr>
              <w:pStyle w:val="Compact"/>
              <w:spacing w:line="240" w:lineRule="auto" w:after="20"/>
            </w:pPr>
            <w:r>
              <w:rPr>
                <w:sz w:val="20"/>
              </w:rPr>
              <w:t xml:space="preserve">Burned</w:t>
            </w:r>
          </w:p>
        </w:tc>
        <w:tc>
          <w:tcPr>
            <w:tcW w:type="dxa" w:w="1321"/>
          </w:tcPr>
          <w:p>
            <w:pPr>
              <w:pStyle w:val="Compact"/>
              <w:spacing w:line="240" w:lineRule="auto" w:after="20"/>
            </w:pPr>
            <w:r>
              <w:rPr>
                <w:sz w:val="20"/>
              </w:rPr>
              <w:t xml:space="preserve">Prevalence (all valid)</w:t>
            </w:r>
          </w:p>
        </w:tc>
        <w:tc>
          <w:tcPr>
            <w:tcW w:type="dxa" w:w="541"/>
          </w:tcPr>
          <w:p>
            <w:pPr>
              <w:pStyle w:val="Compact"/>
              <w:spacing w:line="240" w:lineRule="auto" w:after="20"/>
            </w:pPr>
            <w:r>
              <w:rPr>
                <w:sz w:val="20"/>
              </w:rPr>
              <w:t xml:space="preserve">TSG cells</w:t>
            </w:r>
          </w:p>
        </w:tc>
        <w:tc>
          <w:tcPr>
            <w:tcW w:type="dxa" w:w="781"/>
          </w:tcPr>
          <w:p>
            <w:pPr>
              <w:pStyle w:val="Compact"/>
              <w:spacing w:line="240" w:lineRule="auto" w:after="20"/>
            </w:pPr>
            <w:r>
              <w:rPr>
                <w:sz w:val="20"/>
              </w:rPr>
              <w:t xml:space="preserve">Burned in TSG</w:t>
            </w:r>
          </w:p>
        </w:tc>
        <w:tc>
          <w:tcPr>
            <w:tcW w:type="dxa" w:w="841"/>
          </w:tcPr>
          <w:p>
            <w:pPr>
              <w:pStyle w:val="Compact"/>
              <w:spacing w:line="240" w:lineRule="auto" w:after="20"/>
            </w:pPr>
            <w:r>
              <w:rPr>
                <w:sz w:val="20"/>
              </w:rPr>
              <w:t xml:space="preserve">TSG prevalence</w:t>
            </w:r>
          </w:p>
        </w:tc>
        <w:tc>
          <w:tcPr>
            <w:tcW w:type="dxa" w:w="1622"/>
          </w:tcPr>
          <w:p>
            <w:pPr>
              <w:pStyle w:val="Compact"/>
              <w:spacing w:line="240" w:lineRule="auto" w:after="20"/>
            </w:pPr>
            <w:r>
              <w:rPr>
                <w:sz w:val="20"/>
              </w:rPr>
              <w:t xml:space="preserve">Burned natural-veg fraction</w:t>
            </w:r>
          </w:p>
        </w:tc>
        <w:tc>
          <w:tcPr>
            <w:tcW w:type="dxa" w:w="721"/>
          </w:tcPr>
          <w:p>
            <w:pPr>
              <w:pStyle w:val="Compact"/>
              <w:spacing w:line="240" w:lineRule="auto" w:after="20"/>
            </w:pPr>
            <w:r>
              <w:rPr>
                <w:sz w:val="20"/>
              </w:rPr>
              <w:t xml:space="preserve">Gate verdict</w:t>
            </w:r>
          </w:p>
        </w:tc>
      </w:tr>
      <w:tr>
        <w:trPr>
          <w:cantSplit/>
        </w:trPr>
        <w:tc>
          <w:tcPr>
            <w:tcW w:type="dxa" w:w="1562"/>
          </w:tcPr>
          <w:p>
            <w:pPr>
              <w:pStyle w:val="Compact"/>
              <w:spacing w:line="240" w:lineRule="auto" w:after="20"/>
            </w:pPr>
            <w:r>
              <w:rPr>
                <w:sz w:val="20"/>
              </w:rPr>
              <w:t xml:space="preserve">Manavgat 2021</w:t>
            </w:r>
          </w:p>
        </w:tc>
        <w:tc>
          <w:tcPr>
            <w:tcW w:type="dxa" w:w="661"/>
          </w:tcPr>
          <w:p>
            <w:pPr>
              <w:pStyle w:val="Compact"/>
              <w:spacing w:line="240" w:lineRule="auto" w:after="20"/>
            </w:pPr>
            <w:r>
              <w:rPr>
                <w:sz w:val="20"/>
              </w:rPr>
              <w:t xml:space="preserve">24,150</w:t>
            </w:r>
          </w:p>
        </w:tc>
        <w:tc>
          <w:tcPr>
            <w:tcW w:type="dxa" w:w="661"/>
          </w:tcPr>
          <w:p>
            <w:pPr>
              <w:pStyle w:val="Compact"/>
              <w:spacing w:line="240" w:lineRule="auto" w:after="20"/>
            </w:pPr>
            <w:r>
              <w:rPr>
                <w:sz w:val="20"/>
              </w:rPr>
              <w:t xml:space="preserve">24,087</w:t>
            </w:r>
          </w:p>
        </w:tc>
        <w:tc>
          <w:tcPr>
            <w:tcW w:type="dxa" w:w="360"/>
          </w:tcPr>
          <w:p>
            <w:pPr>
              <w:pStyle w:val="Compact"/>
              <w:spacing w:line="240" w:lineRule="auto" w:after="20"/>
            </w:pPr>
            <w:r>
              <w:rPr>
                <w:sz w:val="20"/>
              </w:rPr>
              <w:t xml:space="preserve">3,046</w:t>
            </w:r>
          </w:p>
        </w:tc>
        <w:tc>
          <w:tcPr>
            <w:tcW w:type="dxa" w:w="1321"/>
          </w:tcPr>
          <w:p>
            <w:pPr>
              <w:pStyle w:val="Compact"/>
              <w:spacing w:line="240" w:lineRule="auto" w:after="20"/>
            </w:pPr>
            <w:r>
              <w:rPr>
                <w:sz w:val="20"/>
              </w:rPr>
              <w:t xml:space="preserve">0.126</w:t>
            </w:r>
          </w:p>
        </w:tc>
        <w:tc>
          <w:tcPr>
            <w:tcW w:type="dxa" w:w="541"/>
          </w:tcPr>
          <w:p>
            <w:pPr>
              <w:pStyle w:val="Compact"/>
              <w:spacing w:line="240" w:lineRule="auto" w:after="20"/>
            </w:pPr>
            <w:r>
              <w:rPr>
                <w:sz w:val="20"/>
              </w:rPr>
              <w:t xml:space="preserve">20,511</w:t>
            </w:r>
          </w:p>
        </w:tc>
        <w:tc>
          <w:tcPr>
            <w:tcW w:type="dxa" w:w="781"/>
          </w:tcPr>
          <w:p>
            <w:pPr>
              <w:pStyle w:val="Compact"/>
              <w:spacing w:line="240" w:lineRule="auto" w:after="20"/>
            </w:pPr>
            <w:r>
              <w:rPr>
                <w:sz w:val="20"/>
              </w:rPr>
              <w:t xml:space="preserve">2,935</w:t>
            </w:r>
          </w:p>
        </w:tc>
        <w:tc>
          <w:tcPr>
            <w:tcW w:type="dxa" w:w="841"/>
          </w:tcPr>
          <w:p>
            <w:pPr>
              <w:pStyle w:val="Compact"/>
              <w:spacing w:line="240" w:lineRule="auto" w:after="20"/>
            </w:pPr>
            <w:r>
              <w:rPr>
                <w:sz w:val="20"/>
              </w:rPr>
              <w:t xml:space="preserve">0.143</w:t>
            </w:r>
          </w:p>
        </w:tc>
        <w:tc>
          <w:tcPr>
            <w:tcW w:type="dxa" w:w="1622"/>
          </w:tcPr>
          <w:p>
            <w:pPr>
              <w:pStyle w:val="Compact"/>
              <w:spacing w:line="240" w:lineRule="auto" w:after="20"/>
            </w:pPr>
            <w:r>
              <w:rPr>
                <w:sz w:val="20"/>
              </w:rPr>
              <w:t xml:space="preserve">0.955</w:t>
            </w:r>
          </w:p>
        </w:tc>
        <w:tc>
          <w:tcPr>
            <w:tcW w:type="dxa" w:w="721"/>
          </w:tcPr>
          <w:p>
            <w:pPr>
              <w:pStyle w:val="Compact"/>
              <w:spacing w:line="240" w:lineRule="auto" w:after="20"/>
            </w:pPr>
            <w:r>
              <w:rPr>
                <w:sz w:val="20"/>
              </w:rPr>
              <w:t xml:space="preserve">pass</w:t>
            </w:r>
          </w:p>
        </w:tc>
      </w:tr>
      <w:tr>
        <w:trPr>
          <w:cantSplit/>
        </w:trPr>
        <w:tc>
          <w:tcPr>
            <w:tcW w:type="dxa" w:w="1562"/>
          </w:tcPr>
          <w:p>
            <w:pPr>
              <w:pStyle w:val="Compact"/>
              <w:spacing w:line="240" w:lineRule="auto" w:after="20"/>
            </w:pPr>
            <w:r>
              <w:rPr>
                <w:sz w:val="20"/>
              </w:rPr>
              <w:t xml:space="preserve">Bejís 2022</w:t>
            </w:r>
          </w:p>
        </w:tc>
        <w:tc>
          <w:tcPr>
            <w:tcW w:type="dxa" w:w="661"/>
          </w:tcPr>
          <w:p>
            <w:pPr>
              <w:pStyle w:val="Compact"/>
              <w:spacing w:line="240" w:lineRule="auto" w:after="20"/>
            </w:pPr>
            <w:r>
              <w:rPr>
                <w:sz w:val="20"/>
              </w:rPr>
              <w:t xml:space="preserve">15,759</w:t>
            </w:r>
          </w:p>
        </w:tc>
        <w:tc>
          <w:tcPr>
            <w:tcW w:type="dxa" w:w="661"/>
          </w:tcPr>
          <w:p>
            <w:pPr>
              <w:pStyle w:val="Compact"/>
              <w:spacing w:line="240" w:lineRule="auto" w:after="20"/>
            </w:pPr>
            <w:r>
              <w:rPr>
                <w:sz w:val="20"/>
              </w:rPr>
              <w:t xml:space="preserve">15,759</w:t>
            </w:r>
          </w:p>
        </w:tc>
        <w:tc>
          <w:tcPr>
            <w:tcW w:type="dxa" w:w="360"/>
          </w:tcPr>
          <w:p>
            <w:pPr>
              <w:pStyle w:val="Compact"/>
              <w:spacing w:line="240" w:lineRule="auto" w:after="20"/>
            </w:pPr>
            <w:r>
              <w:rPr>
                <w:sz w:val="20"/>
              </w:rPr>
              <w:t xml:space="preserve">1,103</w:t>
            </w:r>
          </w:p>
        </w:tc>
        <w:tc>
          <w:tcPr>
            <w:tcW w:type="dxa" w:w="1321"/>
          </w:tcPr>
          <w:p>
            <w:pPr>
              <w:pStyle w:val="Compact"/>
              <w:spacing w:line="240" w:lineRule="auto" w:after="20"/>
            </w:pPr>
            <w:r>
              <w:rPr>
                <w:sz w:val="20"/>
              </w:rPr>
              <w:t xml:space="preserve">0.070</w:t>
            </w:r>
          </w:p>
        </w:tc>
        <w:tc>
          <w:tcPr>
            <w:tcW w:type="dxa" w:w="541"/>
          </w:tcPr>
          <w:p>
            <w:pPr>
              <w:pStyle w:val="Compact"/>
              <w:spacing w:line="240" w:lineRule="auto" w:after="20"/>
            </w:pPr>
            <w:r>
              <w:rPr>
                <w:sz w:val="20"/>
              </w:rPr>
              <w:t xml:space="preserve">15,190</w:t>
            </w:r>
          </w:p>
        </w:tc>
        <w:tc>
          <w:tcPr>
            <w:tcW w:type="dxa" w:w="781"/>
          </w:tcPr>
          <w:p>
            <w:pPr>
              <w:pStyle w:val="Compact"/>
              <w:spacing w:line="240" w:lineRule="auto" w:after="20"/>
            </w:pPr>
            <w:r>
              <w:rPr>
                <w:sz w:val="20"/>
              </w:rPr>
              <w:t xml:space="preserve">1,100</w:t>
            </w:r>
          </w:p>
        </w:tc>
        <w:tc>
          <w:tcPr>
            <w:tcW w:type="dxa" w:w="841"/>
          </w:tcPr>
          <w:p>
            <w:pPr>
              <w:pStyle w:val="Compact"/>
              <w:spacing w:line="240" w:lineRule="auto" w:after="20"/>
            </w:pPr>
            <w:r>
              <w:rPr>
                <w:sz w:val="20"/>
              </w:rPr>
              <w:t xml:space="preserve">0.072</w:t>
            </w:r>
          </w:p>
        </w:tc>
        <w:tc>
          <w:tcPr>
            <w:tcW w:type="dxa" w:w="1622"/>
          </w:tcPr>
          <w:p>
            <w:pPr>
              <w:pStyle w:val="Compact"/>
              <w:spacing w:line="240" w:lineRule="auto" w:after="20"/>
            </w:pPr>
            <w:r>
              <w:rPr>
                <w:sz w:val="20"/>
              </w:rPr>
              <w:t xml:space="preserve">0.991</w:t>
            </w:r>
          </w:p>
        </w:tc>
        <w:tc>
          <w:tcPr>
            <w:tcW w:type="dxa" w:w="721"/>
          </w:tcPr>
          <w:p>
            <w:pPr>
              <w:pStyle w:val="Compact"/>
              <w:spacing w:line="240" w:lineRule="auto" w:after="20"/>
            </w:pPr>
            <w:r>
              <w:rPr>
                <w:sz w:val="20"/>
              </w:rPr>
              <w:t xml:space="preserve">pass</w:t>
            </w:r>
          </w:p>
        </w:tc>
      </w:tr>
      <w:tr>
        <w:trPr>
          <w:cantSplit/>
        </w:trPr>
        <w:tc>
          <w:tcPr>
            <w:tcW w:type="dxa" w:w="1562"/>
          </w:tcPr>
          <w:p>
            <w:pPr>
              <w:pStyle w:val="Compact"/>
              <w:spacing w:line="240" w:lineRule="auto" w:after="20"/>
            </w:pPr>
            <w:r>
              <w:rPr>
                <w:sz w:val="20"/>
              </w:rPr>
              <w:t xml:space="preserve">Muğla 2021</w:t>
            </w:r>
          </w:p>
        </w:tc>
        <w:tc>
          <w:tcPr>
            <w:tcW w:type="dxa" w:w="661"/>
          </w:tcPr>
          <w:p>
            <w:pPr>
              <w:pStyle w:val="Compact"/>
              <w:spacing w:line="240" w:lineRule="auto" w:after="20"/>
            </w:pPr>
            <w:r>
              <w:rPr>
                <w:sz w:val="20"/>
              </w:rPr>
              <w:t xml:space="preserve">73,098</w:t>
            </w:r>
          </w:p>
        </w:tc>
        <w:tc>
          <w:tcPr>
            <w:tcW w:type="dxa" w:w="661"/>
          </w:tcPr>
          <w:p>
            <w:pPr>
              <w:pStyle w:val="Compact"/>
              <w:spacing w:line="240" w:lineRule="auto" w:after="20"/>
            </w:pPr>
            <w:r>
              <w:rPr>
                <w:sz w:val="20"/>
              </w:rPr>
              <w:t xml:space="preserve">73,045</w:t>
            </w:r>
          </w:p>
        </w:tc>
        <w:tc>
          <w:tcPr>
            <w:tcW w:type="dxa" w:w="360"/>
          </w:tcPr>
          <w:p>
            <w:pPr>
              <w:pStyle w:val="Compact"/>
              <w:spacing w:line="240" w:lineRule="auto" w:after="20"/>
            </w:pPr>
            <w:r>
              <w:rPr>
                <w:sz w:val="20"/>
              </w:rPr>
              <w:t xml:space="preserve">3,026</w:t>
            </w:r>
          </w:p>
        </w:tc>
        <w:tc>
          <w:tcPr>
            <w:tcW w:type="dxa" w:w="1321"/>
          </w:tcPr>
          <w:p>
            <w:pPr>
              <w:pStyle w:val="Compact"/>
              <w:spacing w:line="240" w:lineRule="auto" w:after="20"/>
            </w:pPr>
            <w:r>
              <w:rPr>
                <w:sz w:val="20"/>
              </w:rPr>
              <w:t xml:space="preserve">0.041</w:t>
            </w:r>
          </w:p>
        </w:tc>
        <w:tc>
          <w:tcPr>
            <w:tcW w:type="dxa" w:w="541"/>
          </w:tcPr>
          <w:p>
            <w:pPr>
              <w:pStyle w:val="Compact"/>
              <w:spacing w:line="240" w:lineRule="auto" w:after="20"/>
            </w:pPr>
            <w:r>
              <w:rPr>
                <w:sz w:val="20"/>
              </w:rPr>
              <w:t xml:space="preserve">41,730</w:t>
            </w:r>
          </w:p>
        </w:tc>
        <w:tc>
          <w:tcPr>
            <w:tcW w:type="dxa" w:w="781"/>
          </w:tcPr>
          <w:p>
            <w:pPr>
              <w:pStyle w:val="Compact"/>
              <w:spacing w:line="240" w:lineRule="auto" w:after="20"/>
            </w:pPr>
            <w:r>
              <w:rPr>
                <w:sz w:val="20"/>
              </w:rPr>
              <w:t xml:space="preserve">2,911</w:t>
            </w:r>
          </w:p>
        </w:tc>
        <w:tc>
          <w:tcPr>
            <w:tcW w:type="dxa" w:w="841"/>
          </w:tcPr>
          <w:p>
            <w:pPr>
              <w:pStyle w:val="Compact"/>
              <w:spacing w:line="240" w:lineRule="auto" w:after="20"/>
            </w:pPr>
            <w:r>
              <w:rPr>
                <w:sz w:val="20"/>
              </w:rPr>
              <w:t xml:space="preserve">0.070</w:t>
            </w:r>
          </w:p>
        </w:tc>
        <w:tc>
          <w:tcPr>
            <w:tcW w:type="dxa" w:w="1622"/>
          </w:tcPr>
          <w:p>
            <w:pPr>
              <w:pStyle w:val="Compact"/>
              <w:spacing w:line="240" w:lineRule="auto" w:after="20"/>
            </w:pPr>
            <w:r>
              <w:rPr>
                <w:sz w:val="20"/>
              </w:rPr>
              <w:t xml:space="preserve">0.958</w:t>
            </w:r>
          </w:p>
        </w:tc>
        <w:tc>
          <w:tcPr>
            <w:tcW w:type="dxa" w:w="721"/>
          </w:tcPr>
          <w:p>
            <w:pPr>
              <w:pStyle w:val="Compact"/>
              <w:spacing w:line="240" w:lineRule="auto" w:after="20"/>
            </w:pPr>
            <w:r>
              <w:rPr>
                <w:sz w:val="20"/>
              </w:rPr>
              <w:t xml:space="preserve">pass</w:t>
            </w:r>
          </w:p>
        </w:tc>
      </w:tr>
      <w:tr>
        <w:trPr>
          <w:cantSplit/>
        </w:trPr>
        <w:tc>
          <w:tcPr>
            <w:tcW w:type="dxa" w:w="1562"/>
          </w:tcPr>
          <w:p>
            <w:pPr>
              <w:pStyle w:val="Compact"/>
              <w:spacing w:line="240" w:lineRule="auto" w:after="20"/>
            </w:pPr>
            <w:r>
              <w:rPr>
                <w:sz w:val="20"/>
              </w:rPr>
              <w:t xml:space="preserve">North Evia 2021 (extended)</w:t>
            </w:r>
          </w:p>
        </w:tc>
        <w:tc>
          <w:tcPr>
            <w:tcW w:type="dxa" w:w="661"/>
          </w:tcPr>
          <w:p>
            <w:pPr>
              <w:pStyle w:val="Compact"/>
              <w:spacing w:line="240" w:lineRule="auto" w:after="20"/>
            </w:pPr>
            <w:r>
              <w:rPr>
                <w:sz w:val="20"/>
              </w:rPr>
              <w:t xml:space="preserve">22,925</w:t>
            </w:r>
          </w:p>
        </w:tc>
        <w:tc>
          <w:tcPr>
            <w:tcW w:type="dxa" w:w="661"/>
          </w:tcPr>
          <w:p>
            <w:pPr>
              <w:pStyle w:val="Compact"/>
              <w:spacing w:line="240" w:lineRule="auto" w:after="20"/>
            </w:pPr>
            <w:r>
              <w:rPr>
                <w:sz w:val="20"/>
              </w:rPr>
              <w:t xml:space="preserve">22,906</w:t>
            </w:r>
          </w:p>
        </w:tc>
        <w:tc>
          <w:tcPr>
            <w:tcW w:type="dxa" w:w="360"/>
          </w:tcPr>
          <w:p>
            <w:pPr>
              <w:pStyle w:val="Compact"/>
              <w:spacing w:line="240" w:lineRule="auto" w:after="20"/>
            </w:pPr>
            <w:r>
              <w:rPr>
                <w:sz w:val="20"/>
              </w:rPr>
              <w:t xml:space="preserve">2,788</w:t>
            </w:r>
          </w:p>
        </w:tc>
        <w:tc>
          <w:tcPr>
            <w:tcW w:type="dxa" w:w="1321"/>
          </w:tcPr>
          <w:p>
            <w:pPr>
              <w:pStyle w:val="Compact"/>
              <w:spacing w:line="240" w:lineRule="auto" w:after="20"/>
            </w:pPr>
            <w:r>
              <w:rPr>
                <w:sz w:val="20"/>
              </w:rPr>
              <w:t xml:space="preserve">0.122</w:t>
            </w:r>
          </w:p>
        </w:tc>
        <w:tc>
          <w:tcPr>
            <w:tcW w:type="dxa" w:w="541"/>
          </w:tcPr>
          <w:p>
            <w:pPr>
              <w:pStyle w:val="Compact"/>
              <w:spacing w:line="240" w:lineRule="auto" w:after="20"/>
            </w:pPr>
            <w:r>
              <w:rPr>
                <w:sz w:val="20"/>
              </w:rPr>
              <w:t xml:space="preserve">9,298</w:t>
            </w:r>
          </w:p>
        </w:tc>
        <w:tc>
          <w:tcPr>
            <w:tcW w:type="dxa" w:w="781"/>
          </w:tcPr>
          <w:p>
            <w:pPr>
              <w:pStyle w:val="Compact"/>
              <w:spacing w:line="240" w:lineRule="auto" w:after="20"/>
            </w:pPr>
            <w:r>
              <w:rPr>
                <w:sz w:val="20"/>
              </w:rPr>
              <w:t xml:space="preserve">2,664</w:t>
            </w:r>
          </w:p>
        </w:tc>
        <w:tc>
          <w:tcPr>
            <w:tcW w:type="dxa" w:w="841"/>
          </w:tcPr>
          <w:p>
            <w:pPr>
              <w:pStyle w:val="Compact"/>
              <w:spacing w:line="240" w:lineRule="auto" w:after="20"/>
            </w:pPr>
            <w:r>
              <w:rPr>
                <w:sz w:val="20"/>
              </w:rPr>
              <w:t xml:space="preserve">0.287</w:t>
            </w:r>
          </w:p>
        </w:tc>
        <w:tc>
          <w:tcPr>
            <w:tcW w:type="dxa" w:w="1622"/>
          </w:tcPr>
          <w:p>
            <w:pPr>
              <w:pStyle w:val="Compact"/>
              <w:spacing w:line="240" w:lineRule="auto" w:after="20"/>
            </w:pPr>
            <w:r>
              <w:rPr>
                <w:sz w:val="20"/>
              </w:rPr>
              <w:t xml:space="preserve">0.945</w:t>
            </w:r>
          </w:p>
        </w:tc>
        <w:tc>
          <w:tcPr>
            <w:tcW w:type="dxa" w:w="721"/>
          </w:tcPr>
          <w:p>
            <w:pPr>
              <w:pStyle w:val="Compact"/>
              <w:spacing w:line="240" w:lineRule="auto" w:after="20"/>
            </w:pPr>
            <w:r>
              <w:rPr>
                <w:sz w:val="20"/>
              </w:rPr>
              <w:t xml:space="preserve">pass</w:t>
            </w:r>
          </w:p>
        </w:tc>
      </w:tr>
      <w:tr>
        <w:trPr>
          <w:cantSplit/>
        </w:trPr>
        <w:tc>
          <w:tcPr>
            <w:tcW w:type="dxa" w:w="1562"/>
          </w:tcPr>
          <w:p>
            <w:pPr>
              <w:pStyle w:val="Compact"/>
              <w:spacing w:line="240" w:lineRule="auto" w:after="20"/>
            </w:pPr>
            <w:r>
              <w:rPr>
                <w:sz w:val="20"/>
              </w:rPr>
              <w:t xml:space="preserve">Montiferru 2021</w:t>
            </w:r>
          </w:p>
        </w:tc>
        <w:tc>
          <w:tcPr>
            <w:tcW w:type="dxa" w:w="661"/>
          </w:tcPr>
          <w:p>
            <w:pPr>
              <w:pStyle w:val="Compact"/>
              <w:spacing w:line="240" w:lineRule="auto" w:after="20"/>
            </w:pPr>
            <w:r>
              <w:rPr>
                <w:sz w:val="20"/>
              </w:rPr>
              <w:t xml:space="preserve">3,234</w:t>
            </w:r>
          </w:p>
        </w:tc>
        <w:tc>
          <w:tcPr>
            <w:tcW w:type="dxa" w:w="661"/>
          </w:tcPr>
          <w:p>
            <w:pPr>
              <w:pStyle w:val="Compact"/>
              <w:spacing w:line="240" w:lineRule="auto" w:after="20"/>
            </w:pPr>
            <w:r>
              <w:rPr>
                <w:sz w:val="20"/>
              </w:rPr>
              <w:t xml:space="preserve">3,173</w:t>
            </w:r>
          </w:p>
        </w:tc>
        <w:tc>
          <w:tcPr>
            <w:tcW w:type="dxa" w:w="360"/>
          </w:tcPr>
          <w:p>
            <w:pPr>
              <w:pStyle w:val="Compact"/>
              <w:spacing w:line="240" w:lineRule="auto" w:after="20"/>
            </w:pPr>
            <w:r>
              <w:rPr>
                <w:sz w:val="20"/>
              </w:rPr>
              <w:t xml:space="preserve">697</w:t>
            </w:r>
          </w:p>
        </w:tc>
        <w:tc>
          <w:tcPr>
            <w:tcW w:type="dxa" w:w="1321"/>
          </w:tcPr>
          <w:p>
            <w:pPr>
              <w:pStyle w:val="Compact"/>
              <w:spacing w:line="240" w:lineRule="auto" w:after="20"/>
            </w:pPr>
            <w:r>
              <w:rPr>
                <w:sz w:val="20"/>
              </w:rPr>
              <w:t xml:space="preserve">0.220</w:t>
            </w:r>
          </w:p>
        </w:tc>
        <w:tc>
          <w:tcPr>
            <w:tcW w:type="dxa" w:w="541"/>
          </w:tcPr>
          <w:p>
            <w:pPr>
              <w:pStyle w:val="Compact"/>
              <w:spacing w:line="240" w:lineRule="auto" w:after="20"/>
            </w:pPr>
            <w:r>
              <w:rPr>
                <w:sz w:val="20"/>
              </w:rPr>
              <w:t xml:space="preserve">2,544</w:t>
            </w:r>
          </w:p>
        </w:tc>
        <w:tc>
          <w:tcPr>
            <w:tcW w:type="dxa" w:w="781"/>
          </w:tcPr>
          <w:p>
            <w:pPr>
              <w:pStyle w:val="Compact"/>
              <w:spacing w:line="240" w:lineRule="auto" w:after="20"/>
            </w:pPr>
            <w:r>
              <w:rPr>
                <w:sz w:val="20"/>
              </w:rPr>
              <w:t xml:space="preserve">539</w:t>
            </w:r>
          </w:p>
        </w:tc>
        <w:tc>
          <w:tcPr>
            <w:tcW w:type="dxa" w:w="841"/>
          </w:tcPr>
          <w:p>
            <w:pPr>
              <w:pStyle w:val="Compact"/>
              <w:spacing w:line="240" w:lineRule="auto" w:after="20"/>
            </w:pPr>
            <w:r>
              <w:rPr>
                <w:sz w:val="20"/>
              </w:rPr>
              <w:t xml:space="preserve">0.212</w:t>
            </w:r>
          </w:p>
        </w:tc>
        <w:tc>
          <w:tcPr>
            <w:tcW w:type="dxa" w:w="1622"/>
          </w:tcPr>
          <w:p>
            <w:pPr>
              <w:pStyle w:val="Compact"/>
              <w:spacing w:line="240" w:lineRule="auto" w:after="20"/>
            </w:pPr>
            <w:r>
              <w:rPr>
                <w:sz w:val="20"/>
              </w:rPr>
              <w:t xml:space="preserve">0.723</w:t>
            </w:r>
          </w:p>
        </w:tc>
        <w:tc>
          <w:tcPr>
            <w:tcW w:type="dxa" w:w="721"/>
          </w:tcPr>
          <w:p>
            <w:pPr>
              <w:pStyle w:val="Compact"/>
              <w:spacing w:line="240" w:lineRule="auto" w:after="20"/>
            </w:pPr>
            <w:r>
              <w:rPr>
                <w:sz w:val="20"/>
              </w:rPr>
              <w:t xml:space="preserve">pass</w:t>
            </w:r>
          </w:p>
        </w:tc>
      </w:tr>
    </w:tbl>
    <w:p>
      <w:pPr>
        <w:pStyle w:val="BodyText"/>
        <w:keepNext/>
      </w:pPr>
      <w:r>
        <w:rPr>
          <w:b/>
          <w:bCs/>
        </w:rPr>
        <w:t xml:space="preserve">Table S16. Cross-region transfer matrix, thermal model, TSG population.</w:t>
      </w:r>
      <w:r>
        <w:t xml:space="preserve"> </w:t>
      </w:r>
      <w:r>
        <w:t xml:space="preserve">Target ROC-AUC with</w:t>
      </w:r>
      <w:r>
        <w:t xml:space="preserve"> </w:t>
      </w:r>
      <w:r>
        <w:t xml:space="preserve">2-cell spatial-block bootstrap 95% CIs (1000 replicates). CORAL is applied after region-wise</w:t>
      </w:r>
      <w:r>
        <w:t xml:space="preserve"> </w:t>
      </w:r>
      <w:r>
        <w:t xml:space="preserve">z-scoring (λ = 10⁻⁵). Generated by</w:t>
      </w:r>
      <w:r>
        <w:t xml:space="preserve"> </w:t>
      </w:r>
      <w:r>
        <w:rPr>
          <w:rStyle w:val="VerbatimChar"/>
        </w:rPr>
        <w:t xml:space="preserve">paper/code/table_b9.py</w:t>
      </w:r>
      <w:r>
        <w:t xml:space="preserve"> </w:t>
      </w:r>
      <w:r>
        <w:t xml:space="preserve">from the re-frozen outputs</w:t>
      </w:r>
      <w:r>
        <w:t xml:space="preserve"> </w:t>
      </w:r>
      <w:r>
        <w:t xml:space="preserve">(</w:t>
      </w:r>
      <w:r>
        <w:rPr>
          <w:rStyle w:val="VerbatimChar"/>
        </w:rPr>
        <w:t xml:space="preserve">paper/labelfix_rerun/round5/matrix20_official.csv</w:t>
      </w:r>
      <w:r>
        <w:t xml:space="preserve">).</w:t>
      </w:r>
    </w:p>
    <w:tbl>
      <w:tblPr>
        <w:tblStyle w:val="Table"/>
        <w:tblW w:type="auto" w:w="0"/>
        <w:tblLook w:firstRow="1" w:lastRow="0" w:firstColumn="0" w:lastColumn="0" w:noHBand="0" w:noVBand="0" w:val="0020"/>
      </w:tblPr>
      <w:tblGrid>
        <w:gridCol w:w="2181"/>
        <w:gridCol w:w="2296"/>
        <w:gridCol w:w="2296"/>
        <w:gridCol w:w="2296"/>
      </w:tblGrid>
      <w:tr>
        <w:trPr>
          <w:tblHeader w:val="on"/>
          <w:cantSplit/>
        </w:trPr>
        <w:tc>
          <w:tcPr>
            <w:tcW w:type="dxa" w:w="2181"/>
          </w:tcPr>
          <w:p>
            <w:pPr>
              <w:pStyle w:val="Compact"/>
              <w:spacing w:line="240" w:lineRule="auto" w:after="20"/>
            </w:pPr>
            <w:r>
              <w:rPr>
                <w:sz w:val="20"/>
              </w:rPr>
              <w:t xml:space="preserve">Direction</w:t>
            </w:r>
          </w:p>
        </w:tc>
        <w:tc>
          <w:tcPr>
            <w:tcW w:type="dxa" w:w="2296"/>
          </w:tcPr>
          <w:p>
            <w:pPr>
              <w:pStyle w:val="Compact"/>
              <w:spacing w:line="240" w:lineRule="auto" w:after="20"/>
            </w:pPr>
            <w:r>
              <w:rPr>
                <w:sz w:val="20"/>
              </w:rPr>
              <w:t xml:space="preserve">Raw</w:t>
            </w:r>
          </w:p>
        </w:tc>
        <w:tc>
          <w:tcPr>
            <w:tcW w:type="dxa" w:w="2296"/>
          </w:tcPr>
          <w:p>
            <w:pPr>
              <w:pStyle w:val="Compact"/>
              <w:spacing w:line="240" w:lineRule="auto" w:after="20"/>
            </w:pPr>
            <w:r>
              <w:rPr>
                <w:sz w:val="20"/>
              </w:rPr>
              <w:t xml:space="preserve">Region-wise z-score</w:t>
            </w:r>
          </w:p>
        </w:tc>
        <w:tc>
          <w:tcPr>
            <w:tcW w:type="dxa" w:w="2296"/>
          </w:tcPr>
          <w:p>
            <w:pPr>
              <w:pStyle w:val="Compact"/>
              <w:spacing w:line="240" w:lineRule="auto" w:after="20"/>
            </w:pPr>
            <w:r>
              <w:rPr>
                <w:sz w:val="20"/>
              </w:rPr>
              <w:t xml:space="preserve">CORAL</w:t>
            </w:r>
          </w:p>
        </w:tc>
      </w:tr>
      <w:tr>
        <w:trPr>
          <w:cantSplit/>
        </w:trPr>
        <w:tc>
          <w:tcPr>
            <w:tcW w:type="dxa" w:w="2181"/>
          </w:tcPr>
          <w:p>
            <w:pPr>
              <w:pStyle w:val="Compact"/>
              <w:spacing w:line="240" w:lineRule="auto" w:after="20"/>
            </w:pPr>
            <w:r>
              <w:rPr>
                <w:sz w:val="20"/>
              </w:rPr>
              <w:t xml:space="preserve">Manavgat→Bejís</w:t>
            </w:r>
          </w:p>
        </w:tc>
        <w:tc>
          <w:tcPr>
            <w:tcW w:type="dxa" w:w="2296"/>
          </w:tcPr>
          <w:p>
            <w:pPr>
              <w:pStyle w:val="Compact"/>
              <w:spacing w:line="240" w:lineRule="auto" w:after="20"/>
            </w:pPr>
            <w:r>
              <w:rPr>
                <w:sz w:val="20"/>
              </w:rPr>
              <w:t xml:space="preserve">0.396 [0.373, 0.422]</w:t>
            </w:r>
          </w:p>
        </w:tc>
        <w:tc>
          <w:tcPr>
            <w:tcW w:type="dxa" w:w="2296"/>
          </w:tcPr>
          <w:p>
            <w:pPr>
              <w:pStyle w:val="Compact"/>
              <w:spacing w:line="240" w:lineRule="auto" w:after="20"/>
            </w:pPr>
            <w:r>
              <w:rPr>
                <w:sz w:val="20"/>
              </w:rPr>
              <w:t xml:space="preserve">0.450 [0.423, 0.477]</w:t>
            </w:r>
          </w:p>
        </w:tc>
        <w:tc>
          <w:tcPr>
            <w:tcW w:type="dxa" w:w="2296"/>
          </w:tcPr>
          <w:p>
            <w:pPr>
              <w:pStyle w:val="Compact"/>
              <w:spacing w:line="240" w:lineRule="auto" w:after="20"/>
            </w:pPr>
            <w:r>
              <w:rPr>
                <w:sz w:val="20"/>
              </w:rPr>
              <w:t xml:space="preserve">0.467 [0.441, 0.491]</w:t>
            </w:r>
          </w:p>
        </w:tc>
      </w:tr>
      <w:tr>
        <w:trPr>
          <w:cantSplit/>
        </w:trPr>
        <w:tc>
          <w:tcPr>
            <w:tcW w:type="dxa" w:w="2181"/>
          </w:tcPr>
          <w:p>
            <w:pPr>
              <w:pStyle w:val="Compact"/>
              <w:spacing w:line="240" w:lineRule="auto" w:after="20"/>
            </w:pPr>
            <w:r>
              <w:rPr>
                <w:sz w:val="20"/>
              </w:rPr>
              <w:t xml:space="preserve">Bejís→Manavgat</w:t>
            </w:r>
          </w:p>
        </w:tc>
        <w:tc>
          <w:tcPr>
            <w:tcW w:type="dxa" w:w="2296"/>
          </w:tcPr>
          <w:p>
            <w:pPr>
              <w:pStyle w:val="Compact"/>
              <w:spacing w:line="240" w:lineRule="auto" w:after="20"/>
            </w:pPr>
            <w:r>
              <w:rPr>
                <w:sz w:val="20"/>
              </w:rPr>
              <w:t xml:space="preserve">0.314 [0.296, 0.332]</w:t>
            </w:r>
          </w:p>
        </w:tc>
        <w:tc>
          <w:tcPr>
            <w:tcW w:type="dxa" w:w="2296"/>
          </w:tcPr>
          <w:p>
            <w:pPr>
              <w:pStyle w:val="Compact"/>
              <w:spacing w:line="240" w:lineRule="auto" w:after="20"/>
            </w:pPr>
            <w:r>
              <w:rPr>
                <w:sz w:val="20"/>
              </w:rPr>
              <w:t xml:space="preserve">0.302 [0.282, 0.323]</w:t>
            </w:r>
          </w:p>
        </w:tc>
        <w:tc>
          <w:tcPr>
            <w:tcW w:type="dxa" w:w="2296"/>
          </w:tcPr>
          <w:p>
            <w:pPr>
              <w:pStyle w:val="Compact"/>
              <w:spacing w:line="240" w:lineRule="auto" w:after="20"/>
            </w:pPr>
            <w:r>
              <w:rPr>
                <w:sz w:val="20"/>
              </w:rPr>
              <w:t xml:space="preserve">0.406 [0.388, 0.423]</w:t>
            </w:r>
          </w:p>
        </w:tc>
      </w:tr>
      <w:tr>
        <w:trPr>
          <w:cantSplit/>
        </w:trPr>
        <w:tc>
          <w:tcPr>
            <w:tcW w:type="dxa" w:w="2181"/>
          </w:tcPr>
          <w:p>
            <w:pPr>
              <w:pStyle w:val="Compact"/>
              <w:spacing w:line="240" w:lineRule="auto" w:after="20"/>
            </w:pPr>
            <w:r>
              <w:rPr>
                <w:sz w:val="20"/>
              </w:rPr>
              <w:t xml:space="preserve">Manavgat→Muğla</w:t>
            </w:r>
          </w:p>
        </w:tc>
        <w:tc>
          <w:tcPr>
            <w:tcW w:type="dxa" w:w="2296"/>
          </w:tcPr>
          <w:p>
            <w:pPr>
              <w:pStyle w:val="Compact"/>
              <w:spacing w:line="240" w:lineRule="auto" w:after="20"/>
            </w:pPr>
            <w:r>
              <w:rPr>
                <w:sz w:val="20"/>
              </w:rPr>
              <w:t xml:space="preserve">0.438 [0.418, 0.456]</w:t>
            </w:r>
          </w:p>
        </w:tc>
        <w:tc>
          <w:tcPr>
            <w:tcW w:type="dxa" w:w="2296"/>
          </w:tcPr>
          <w:p>
            <w:pPr>
              <w:pStyle w:val="Compact"/>
              <w:spacing w:line="240" w:lineRule="auto" w:after="20"/>
            </w:pPr>
            <w:r>
              <w:rPr>
                <w:sz w:val="20"/>
              </w:rPr>
              <w:t xml:space="preserve">0.427 [0.408, 0.444]</w:t>
            </w:r>
          </w:p>
        </w:tc>
        <w:tc>
          <w:tcPr>
            <w:tcW w:type="dxa" w:w="2296"/>
          </w:tcPr>
          <w:p>
            <w:pPr>
              <w:pStyle w:val="Compact"/>
              <w:spacing w:line="240" w:lineRule="auto" w:after="20"/>
            </w:pPr>
            <w:r>
              <w:rPr>
                <w:sz w:val="20"/>
              </w:rPr>
              <w:t xml:space="preserve">0.417 [0.398, 0.436]</w:t>
            </w:r>
          </w:p>
        </w:tc>
      </w:tr>
      <w:tr>
        <w:trPr>
          <w:cantSplit/>
        </w:trPr>
        <w:tc>
          <w:tcPr>
            <w:tcW w:type="dxa" w:w="2181"/>
          </w:tcPr>
          <w:p>
            <w:pPr>
              <w:pStyle w:val="Compact"/>
              <w:spacing w:line="240" w:lineRule="auto" w:after="20"/>
            </w:pPr>
            <w:r>
              <w:rPr>
                <w:sz w:val="20"/>
              </w:rPr>
              <w:t xml:space="preserve">Muğla→Manavgat</w:t>
            </w:r>
          </w:p>
        </w:tc>
        <w:tc>
          <w:tcPr>
            <w:tcW w:type="dxa" w:w="2296"/>
          </w:tcPr>
          <w:p>
            <w:pPr>
              <w:pStyle w:val="Compact"/>
              <w:spacing w:line="240" w:lineRule="auto" w:after="20"/>
            </w:pPr>
            <w:r>
              <w:rPr>
                <w:sz w:val="20"/>
              </w:rPr>
              <w:t xml:space="preserve">0.345 [0.331, 0.359]</w:t>
            </w:r>
          </w:p>
        </w:tc>
        <w:tc>
          <w:tcPr>
            <w:tcW w:type="dxa" w:w="2296"/>
          </w:tcPr>
          <w:p>
            <w:pPr>
              <w:pStyle w:val="Compact"/>
              <w:spacing w:line="240" w:lineRule="auto" w:after="20"/>
            </w:pPr>
            <w:r>
              <w:rPr>
                <w:sz w:val="20"/>
              </w:rPr>
              <w:t xml:space="preserve">0.485 [0.468, 0.502]</w:t>
            </w:r>
          </w:p>
        </w:tc>
        <w:tc>
          <w:tcPr>
            <w:tcW w:type="dxa" w:w="2296"/>
          </w:tcPr>
          <w:p>
            <w:pPr>
              <w:pStyle w:val="Compact"/>
              <w:spacing w:line="240" w:lineRule="auto" w:after="20"/>
            </w:pPr>
            <w:r>
              <w:rPr>
                <w:sz w:val="20"/>
              </w:rPr>
              <w:t xml:space="preserve">0.476 [0.460, 0.493]</w:t>
            </w:r>
          </w:p>
        </w:tc>
      </w:tr>
      <w:tr>
        <w:trPr>
          <w:cantSplit/>
        </w:trPr>
        <w:tc>
          <w:tcPr>
            <w:tcW w:type="dxa" w:w="2181"/>
          </w:tcPr>
          <w:p>
            <w:pPr>
              <w:pStyle w:val="Compact"/>
              <w:spacing w:line="240" w:lineRule="auto" w:after="20"/>
            </w:pPr>
            <w:r>
              <w:rPr>
                <w:sz w:val="20"/>
              </w:rPr>
              <w:t xml:space="preserve">Manavgat→Evia</w:t>
            </w:r>
          </w:p>
        </w:tc>
        <w:tc>
          <w:tcPr>
            <w:tcW w:type="dxa" w:w="2296"/>
          </w:tcPr>
          <w:p>
            <w:pPr>
              <w:pStyle w:val="Compact"/>
              <w:spacing w:line="240" w:lineRule="auto" w:after="20"/>
            </w:pPr>
            <w:r>
              <w:rPr>
                <w:sz w:val="20"/>
              </w:rPr>
              <w:t xml:space="preserve">0.654 [0.633, 0.676]</w:t>
            </w:r>
          </w:p>
        </w:tc>
        <w:tc>
          <w:tcPr>
            <w:tcW w:type="dxa" w:w="2296"/>
          </w:tcPr>
          <w:p>
            <w:pPr>
              <w:pStyle w:val="Compact"/>
              <w:spacing w:line="240" w:lineRule="auto" w:after="20"/>
            </w:pPr>
            <w:r>
              <w:rPr>
                <w:sz w:val="20"/>
              </w:rPr>
              <w:t xml:space="preserve">0.529 [0.504, 0.553]</w:t>
            </w:r>
          </w:p>
        </w:tc>
        <w:tc>
          <w:tcPr>
            <w:tcW w:type="dxa" w:w="2296"/>
          </w:tcPr>
          <w:p>
            <w:pPr>
              <w:pStyle w:val="Compact"/>
              <w:spacing w:line="240" w:lineRule="auto" w:after="20"/>
            </w:pPr>
            <w:r>
              <w:rPr>
                <w:sz w:val="20"/>
              </w:rPr>
              <w:t xml:space="preserve">0.504 [0.481, 0.528]</w:t>
            </w:r>
          </w:p>
        </w:tc>
      </w:tr>
      <w:tr>
        <w:trPr>
          <w:cantSplit/>
        </w:trPr>
        <w:tc>
          <w:tcPr>
            <w:tcW w:type="dxa" w:w="2181"/>
          </w:tcPr>
          <w:p>
            <w:pPr>
              <w:pStyle w:val="Compact"/>
              <w:spacing w:line="240" w:lineRule="auto" w:after="20"/>
            </w:pPr>
            <w:r>
              <w:rPr>
                <w:sz w:val="20"/>
              </w:rPr>
              <w:t xml:space="preserve">Evia→Manavgat</w:t>
            </w:r>
          </w:p>
        </w:tc>
        <w:tc>
          <w:tcPr>
            <w:tcW w:type="dxa" w:w="2296"/>
          </w:tcPr>
          <w:p>
            <w:pPr>
              <w:pStyle w:val="Compact"/>
              <w:spacing w:line="240" w:lineRule="auto" w:after="20"/>
            </w:pPr>
            <w:r>
              <w:rPr>
                <w:sz w:val="20"/>
              </w:rPr>
              <w:t xml:space="preserve">0.677 [0.658, 0.697]</w:t>
            </w:r>
          </w:p>
        </w:tc>
        <w:tc>
          <w:tcPr>
            <w:tcW w:type="dxa" w:w="2296"/>
          </w:tcPr>
          <w:p>
            <w:pPr>
              <w:pStyle w:val="Compact"/>
              <w:spacing w:line="240" w:lineRule="auto" w:after="20"/>
            </w:pPr>
            <w:r>
              <w:rPr>
                <w:sz w:val="20"/>
              </w:rPr>
              <w:t xml:space="preserve">0.404 [0.386, 0.421]</w:t>
            </w:r>
          </w:p>
        </w:tc>
        <w:tc>
          <w:tcPr>
            <w:tcW w:type="dxa" w:w="2296"/>
          </w:tcPr>
          <w:p>
            <w:pPr>
              <w:pStyle w:val="Compact"/>
              <w:spacing w:line="240" w:lineRule="auto" w:after="20"/>
            </w:pPr>
            <w:r>
              <w:rPr>
                <w:sz w:val="20"/>
              </w:rPr>
              <w:t xml:space="preserve">0.417 [0.399, 0.435]</w:t>
            </w:r>
          </w:p>
        </w:tc>
      </w:tr>
      <w:tr>
        <w:trPr>
          <w:cantSplit/>
        </w:trPr>
        <w:tc>
          <w:tcPr>
            <w:tcW w:type="dxa" w:w="2181"/>
          </w:tcPr>
          <w:p>
            <w:pPr>
              <w:pStyle w:val="Compact"/>
              <w:spacing w:line="240" w:lineRule="auto" w:after="20"/>
            </w:pPr>
            <w:r>
              <w:rPr>
                <w:sz w:val="20"/>
              </w:rPr>
              <w:t xml:space="preserve">Bejís→Muğla</w:t>
            </w:r>
          </w:p>
        </w:tc>
        <w:tc>
          <w:tcPr>
            <w:tcW w:type="dxa" w:w="2296"/>
          </w:tcPr>
          <w:p>
            <w:pPr>
              <w:pStyle w:val="Compact"/>
              <w:spacing w:line="240" w:lineRule="auto" w:after="20"/>
            </w:pPr>
            <w:r>
              <w:rPr>
                <w:sz w:val="20"/>
              </w:rPr>
              <w:t xml:space="preserve">0.618 [0.601, 0.635]</w:t>
            </w:r>
          </w:p>
        </w:tc>
        <w:tc>
          <w:tcPr>
            <w:tcW w:type="dxa" w:w="2296"/>
          </w:tcPr>
          <w:p>
            <w:pPr>
              <w:pStyle w:val="Compact"/>
              <w:spacing w:line="240" w:lineRule="auto" w:after="20"/>
            </w:pPr>
            <w:r>
              <w:rPr>
                <w:sz w:val="20"/>
              </w:rPr>
              <w:t xml:space="preserve">0.518 [0.501, 0.535]</w:t>
            </w:r>
          </w:p>
        </w:tc>
        <w:tc>
          <w:tcPr>
            <w:tcW w:type="dxa" w:w="2296"/>
          </w:tcPr>
          <w:p>
            <w:pPr>
              <w:pStyle w:val="Compact"/>
              <w:spacing w:line="240" w:lineRule="auto" w:after="20"/>
            </w:pPr>
            <w:r>
              <w:rPr>
                <w:sz w:val="20"/>
              </w:rPr>
              <w:t xml:space="preserve">0.507 [0.489, 0.524]</w:t>
            </w:r>
          </w:p>
        </w:tc>
      </w:tr>
      <w:tr>
        <w:trPr>
          <w:cantSplit/>
        </w:trPr>
        <w:tc>
          <w:tcPr>
            <w:tcW w:type="dxa" w:w="2181"/>
          </w:tcPr>
          <w:p>
            <w:pPr>
              <w:pStyle w:val="Compact"/>
              <w:spacing w:line="240" w:lineRule="auto" w:after="20"/>
            </w:pPr>
            <w:r>
              <w:rPr>
                <w:sz w:val="20"/>
              </w:rPr>
              <w:t xml:space="preserve">Muğla→Bejís</w:t>
            </w:r>
          </w:p>
        </w:tc>
        <w:tc>
          <w:tcPr>
            <w:tcW w:type="dxa" w:w="2296"/>
          </w:tcPr>
          <w:p>
            <w:pPr>
              <w:pStyle w:val="Compact"/>
              <w:spacing w:line="240" w:lineRule="auto" w:after="20"/>
            </w:pPr>
            <w:r>
              <w:rPr>
                <w:sz w:val="20"/>
              </w:rPr>
              <w:t xml:space="preserve">0.583 [0.561, 0.607]</w:t>
            </w:r>
          </w:p>
        </w:tc>
        <w:tc>
          <w:tcPr>
            <w:tcW w:type="dxa" w:w="2296"/>
          </w:tcPr>
          <w:p>
            <w:pPr>
              <w:pStyle w:val="Compact"/>
              <w:spacing w:line="240" w:lineRule="auto" w:after="20"/>
            </w:pPr>
            <w:r>
              <w:rPr>
                <w:sz w:val="20"/>
              </w:rPr>
              <w:t xml:space="preserve">0.535 [0.512, 0.557]</w:t>
            </w:r>
          </w:p>
        </w:tc>
        <w:tc>
          <w:tcPr>
            <w:tcW w:type="dxa" w:w="2296"/>
          </w:tcPr>
          <w:p>
            <w:pPr>
              <w:pStyle w:val="Compact"/>
              <w:spacing w:line="240" w:lineRule="auto" w:after="20"/>
            </w:pPr>
            <w:r>
              <w:rPr>
                <w:sz w:val="20"/>
              </w:rPr>
              <w:t xml:space="preserve">0.560 [0.538, 0.581]</w:t>
            </w:r>
          </w:p>
        </w:tc>
      </w:tr>
      <w:tr>
        <w:trPr>
          <w:cantSplit/>
        </w:trPr>
        <w:tc>
          <w:tcPr>
            <w:tcW w:type="dxa" w:w="2181"/>
          </w:tcPr>
          <w:p>
            <w:pPr>
              <w:pStyle w:val="Compact"/>
              <w:spacing w:line="240" w:lineRule="auto" w:after="20"/>
            </w:pPr>
            <w:r>
              <w:rPr>
                <w:sz w:val="20"/>
              </w:rPr>
              <w:t xml:space="preserve">Bejís→Evia</w:t>
            </w:r>
          </w:p>
        </w:tc>
        <w:tc>
          <w:tcPr>
            <w:tcW w:type="dxa" w:w="2296"/>
          </w:tcPr>
          <w:p>
            <w:pPr>
              <w:pStyle w:val="Compact"/>
              <w:spacing w:line="240" w:lineRule="auto" w:after="20"/>
            </w:pPr>
            <w:r>
              <w:rPr>
                <w:sz w:val="20"/>
              </w:rPr>
              <w:t xml:space="preserve">0.383 [0.363, 0.402]</w:t>
            </w:r>
          </w:p>
        </w:tc>
        <w:tc>
          <w:tcPr>
            <w:tcW w:type="dxa" w:w="2296"/>
          </w:tcPr>
          <w:p>
            <w:pPr>
              <w:pStyle w:val="Compact"/>
              <w:spacing w:line="240" w:lineRule="auto" w:after="20"/>
            </w:pPr>
            <w:r>
              <w:rPr>
                <w:sz w:val="20"/>
              </w:rPr>
              <w:t xml:space="preserve">0.532 [0.509, 0.551]</w:t>
            </w:r>
          </w:p>
        </w:tc>
        <w:tc>
          <w:tcPr>
            <w:tcW w:type="dxa" w:w="2296"/>
          </w:tcPr>
          <w:p>
            <w:pPr>
              <w:pStyle w:val="Compact"/>
              <w:spacing w:line="240" w:lineRule="auto" w:after="20"/>
            </w:pPr>
            <w:r>
              <w:rPr>
                <w:sz w:val="20"/>
              </w:rPr>
              <w:t xml:space="preserve">0.499 [0.479, 0.518]</w:t>
            </w:r>
          </w:p>
        </w:tc>
      </w:tr>
      <w:tr>
        <w:trPr>
          <w:cantSplit/>
        </w:trPr>
        <w:tc>
          <w:tcPr>
            <w:tcW w:type="dxa" w:w="2181"/>
          </w:tcPr>
          <w:p>
            <w:pPr>
              <w:pStyle w:val="Compact"/>
              <w:spacing w:line="240" w:lineRule="auto" w:after="20"/>
            </w:pPr>
            <w:r>
              <w:rPr>
                <w:sz w:val="20"/>
              </w:rPr>
              <w:t xml:space="preserve">Evia→Bejís</w:t>
            </w:r>
          </w:p>
        </w:tc>
        <w:tc>
          <w:tcPr>
            <w:tcW w:type="dxa" w:w="2296"/>
          </w:tcPr>
          <w:p>
            <w:pPr>
              <w:pStyle w:val="Compact"/>
              <w:spacing w:line="240" w:lineRule="auto" w:after="20"/>
            </w:pPr>
            <w:r>
              <w:rPr>
                <w:sz w:val="20"/>
              </w:rPr>
              <w:t xml:space="preserve">0.448 [0.426, 0.470]</w:t>
            </w:r>
          </w:p>
        </w:tc>
        <w:tc>
          <w:tcPr>
            <w:tcW w:type="dxa" w:w="2296"/>
          </w:tcPr>
          <w:p>
            <w:pPr>
              <w:pStyle w:val="Compact"/>
              <w:spacing w:line="240" w:lineRule="auto" w:after="20"/>
            </w:pPr>
            <w:r>
              <w:rPr>
                <w:sz w:val="20"/>
              </w:rPr>
              <w:t xml:space="preserve">0.549 [0.524, 0.575]</w:t>
            </w:r>
          </w:p>
        </w:tc>
        <w:tc>
          <w:tcPr>
            <w:tcW w:type="dxa" w:w="2296"/>
          </w:tcPr>
          <w:p>
            <w:pPr>
              <w:pStyle w:val="Compact"/>
              <w:spacing w:line="240" w:lineRule="auto" w:after="20"/>
            </w:pPr>
            <w:r>
              <w:rPr>
                <w:sz w:val="20"/>
              </w:rPr>
              <w:t xml:space="preserve">0.549 [0.525, 0.573]</w:t>
            </w:r>
          </w:p>
        </w:tc>
      </w:tr>
      <w:tr>
        <w:trPr>
          <w:cantSplit/>
        </w:trPr>
        <w:tc>
          <w:tcPr>
            <w:tcW w:type="dxa" w:w="2181"/>
          </w:tcPr>
          <w:p>
            <w:pPr>
              <w:pStyle w:val="Compact"/>
              <w:spacing w:line="240" w:lineRule="auto" w:after="20"/>
            </w:pPr>
            <w:r>
              <w:rPr>
                <w:sz w:val="20"/>
              </w:rPr>
              <w:t xml:space="preserve">Muğla→Evia</w:t>
            </w:r>
          </w:p>
        </w:tc>
        <w:tc>
          <w:tcPr>
            <w:tcW w:type="dxa" w:w="2296"/>
          </w:tcPr>
          <w:p>
            <w:pPr>
              <w:pStyle w:val="Compact"/>
              <w:spacing w:line="240" w:lineRule="auto" w:after="20"/>
            </w:pPr>
            <w:r>
              <w:rPr>
                <w:sz w:val="20"/>
              </w:rPr>
              <w:t xml:space="preserve">0.653 [0.636, 0.671]</w:t>
            </w:r>
          </w:p>
        </w:tc>
        <w:tc>
          <w:tcPr>
            <w:tcW w:type="dxa" w:w="2296"/>
          </w:tcPr>
          <w:p>
            <w:pPr>
              <w:pStyle w:val="Compact"/>
              <w:spacing w:line="240" w:lineRule="auto" w:after="20"/>
            </w:pPr>
            <w:r>
              <w:rPr>
                <w:sz w:val="20"/>
              </w:rPr>
              <w:t xml:space="preserve">0.561 [0.543, 0.580]</w:t>
            </w:r>
          </w:p>
        </w:tc>
        <w:tc>
          <w:tcPr>
            <w:tcW w:type="dxa" w:w="2296"/>
          </w:tcPr>
          <w:p>
            <w:pPr>
              <w:pStyle w:val="Compact"/>
              <w:spacing w:line="240" w:lineRule="auto" w:after="20"/>
            </w:pPr>
            <w:r>
              <w:rPr>
                <w:sz w:val="20"/>
              </w:rPr>
              <w:t xml:space="preserve">0.563 [0.545, 0.582]</w:t>
            </w:r>
          </w:p>
        </w:tc>
      </w:tr>
      <w:tr>
        <w:trPr>
          <w:cantSplit/>
        </w:trPr>
        <w:tc>
          <w:tcPr>
            <w:tcW w:type="dxa" w:w="2181"/>
          </w:tcPr>
          <w:p>
            <w:pPr>
              <w:pStyle w:val="Compact"/>
              <w:spacing w:line="240" w:lineRule="auto" w:after="20"/>
            </w:pPr>
            <w:r>
              <w:rPr>
                <w:sz w:val="20"/>
              </w:rPr>
              <w:t xml:space="preserve">Evia→Muğla</w:t>
            </w:r>
          </w:p>
        </w:tc>
        <w:tc>
          <w:tcPr>
            <w:tcW w:type="dxa" w:w="2296"/>
          </w:tcPr>
          <w:p>
            <w:pPr>
              <w:pStyle w:val="Compact"/>
              <w:spacing w:line="240" w:lineRule="auto" w:after="20"/>
            </w:pPr>
            <w:r>
              <w:rPr>
                <w:sz w:val="20"/>
              </w:rPr>
              <w:t xml:space="preserve">0.577 [0.560, 0.593]</w:t>
            </w:r>
          </w:p>
        </w:tc>
        <w:tc>
          <w:tcPr>
            <w:tcW w:type="dxa" w:w="2296"/>
          </w:tcPr>
          <w:p>
            <w:pPr>
              <w:pStyle w:val="Compact"/>
              <w:spacing w:line="240" w:lineRule="auto" w:after="20"/>
            </w:pPr>
            <w:r>
              <w:rPr>
                <w:sz w:val="20"/>
              </w:rPr>
              <w:t xml:space="preserve">0.501 [0.485, 0.518]</w:t>
            </w:r>
          </w:p>
        </w:tc>
        <w:tc>
          <w:tcPr>
            <w:tcW w:type="dxa" w:w="2296"/>
          </w:tcPr>
          <w:p>
            <w:pPr>
              <w:pStyle w:val="Compact"/>
              <w:spacing w:line="240" w:lineRule="auto" w:after="20"/>
            </w:pPr>
            <w:r>
              <w:rPr>
                <w:sz w:val="20"/>
              </w:rPr>
              <w:t xml:space="preserve">0.530 [0.515, 0.546]</w:t>
            </w:r>
          </w:p>
        </w:tc>
      </w:tr>
      <w:tr>
        <w:trPr>
          <w:cantSplit/>
        </w:trPr>
        <w:tc>
          <w:tcPr>
            <w:tcW w:type="dxa" w:w="2181"/>
          </w:tcPr>
          <w:p>
            <w:pPr>
              <w:pStyle w:val="Compact"/>
              <w:spacing w:line="240" w:lineRule="auto" w:after="20"/>
            </w:pPr>
            <w:r>
              <w:rPr>
                <w:sz w:val="20"/>
              </w:rPr>
              <w:t xml:space="preserve">Montiferru→Manavgat</w:t>
            </w:r>
          </w:p>
        </w:tc>
        <w:tc>
          <w:tcPr>
            <w:tcW w:type="dxa" w:w="2296"/>
          </w:tcPr>
          <w:p>
            <w:pPr>
              <w:pStyle w:val="Compact"/>
              <w:spacing w:line="240" w:lineRule="auto" w:after="20"/>
            </w:pPr>
            <w:r>
              <w:rPr>
                <w:sz w:val="20"/>
              </w:rPr>
              <w:t xml:space="preserve">0.404 [0.385, 0.422]</w:t>
            </w:r>
          </w:p>
        </w:tc>
        <w:tc>
          <w:tcPr>
            <w:tcW w:type="dxa" w:w="2296"/>
          </w:tcPr>
          <w:p>
            <w:pPr>
              <w:pStyle w:val="Compact"/>
              <w:spacing w:line="240" w:lineRule="auto" w:after="20"/>
            </w:pPr>
            <w:r>
              <w:rPr>
                <w:sz w:val="20"/>
              </w:rPr>
              <w:t xml:space="preserve">0.388 [0.367, 0.408]</w:t>
            </w:r>
          </w:p>
        </w:tc>
        <w:tc>
          <w:tcPr>
            <w:tcW w:type="dxa" w:w="2296"/>
          </w:tcPr>
          <w:p>
            <w:pPr>
              <w:pStyle w:val="Compact"/>
              <w:spacing w:line="240" w:lineRule="auto" w:after="20"/>
            </w:pPr>
            <w:r>
              <w:rPr>
                <w:sz w:val="20"/>
              </w:rPr>
              <w:t xml:space="preserve">0.436 [0.416, 0.456]</w:t>
            </w:r>
          </w:p>
        </w:tc>
      </w:tr>
      <w:tr>
        <w:trPr>
          <w:cantSplit/>
        </w:trPr>
        <w:tc>
          <w:tcPr>
            <w:tcW w:type="dxa" w:w="2181"/>
          </w:tcPr>
          <w:p>
            <w:pPr>
              <w:pStyle w:val="Compact"/>
              <w:spacing w:line="240" w:lineRule="auto" w:after="20"/>
            </w:pPr>
            <w:r>
              <w:rPr>
                <w:sz w:val="20"/>
              </w:rPr>
              <w:t xml:space="preserve">Manavgat→Montiferru</w:t>
            </w:r>
          </w:p>
        </w:tc>
        <w:tc>
          <w:tcPr>
            <w:tcW w:type="dxa" w:w="2296"/>
          </w:tcPr>
          <w:p>
            <w:pPr>
              <w:pStyle w:val="Compact"/>
              <w:spacing w:line="240" w:lineRule="auto" w:after="20"/>
            </w:pPr>
            <w:r>
              <w:rPr>
                <w:sz w:val="20"/>
              </w:rPr>
              <w:t xml:space="preserve">0.518 [0.474, 0.563]</w:t>
            </w:r>
          </w:p>
        </w:tc>
        <w:tc>
          <w:tcPr>
            <w:tcW w:type="dxa" w:w="2296"/>
          </w:tcPr>
          <w:p>
            <w:pPr>
              <w:pStyle w:val="Compact"/>
              <w:spacing w:line="240" w:lineRule="auto" w:after="20"/>
            </w:pPr>
            <w:r>
              <w:rPr>
                <w:sz w:val="20"/>
              </w:rPr>
              <w:t xml:space="preserve">0.527 [0.484, 0.568]</w:t>
            </w:r>
          </w:p>
        </w:tc>
        <w:tc>
          <w:tcPr>
            <w:tcW w:type="dxa" w:w="2296"/>
          </w:tcPr>
          <w:p>
            <w:pPr>
              <w:pStyle w:val="Compact"/>
              <w:spacing w:line="240" w:lineRule="auto" w:after="20"/>
            </w:pPr>
            <w:r>
              <w:rPr>
                <w:sz w:val="20"/>
              </w:rPr>
              <w:t xml:space="preserve">0.505 [0.461, 0.547]</w:t>
            </w:r>
          </w:p>
        </w:tc>
      </w:tr>
      <w:tr>
        <w:trPr>
          <w:cantSplit/>
        </w:trPr>
        <w:tc>
          <w:tcPr>
            <w:tcW w:type="dxa" w:w="2181"/>
          </w:tcPr>
          <w:p>
            <w:pPr>
              <w:pStyle w:val="Compact"/>
              <w:spacing w:line="240" w:lineRule="auto" w:after="20"/>
            </w:pPr>
            <w:r>
              <w:rPr>
                <w:sz w:val="20"/>
              </w:rPr>
              <w:t xml:space="preserve">Montiferru→Bejís</w:t>
            </w:r>
          </w:p>
        </w:tc>
        <w:tc>
          <w:tcPr>
            <w:tcW w:type="dxa" w:w="2296"/>
          </w:tcPr>
          <w:p>
            <w:pPr>
              <w:pStyle w:val="Compact"/>
              <w:spacing w:line="240" w:lineRule="auto" w:after="20"/>
            </w:pPr>
            <w:r>
              <w:rPr>
                <w:sz w:val="20"/>
              </w:rPr>
              <w:t xml:space="preserve">0.548 [0.521, 0.578]</w:t>
            </w:r>
          </w:p>
        </w:tc>
        <w:tc>
          <w:tcPr>
            <w:tcW w:type="dxa" w:w="2296"/>
          </w:tcPr>
          <w:p>
            <w:pPr>
              <w:pStyle w:val="Compact"/>
              <w:spacing w:line="240" w:lineRule="auto" w:after="20"/>
            </w:pPr>
            <w:r>
              <w:rPr>
                <w:sz w:val="20"/>
              </w:rPr>
              <w:t xml:space="preserve">0.574 [0.552, 0.596]</w:t>
            </w:r>
          </w:p>
        </w:tc>
        <w:tc>
          <w:tcPr>
            <w:tcW w:type="dxa" w:w="2296"/>
          </w:tcPr>
          <w:p>
            <w:pPr>
              <w:pStyle w:val="Compact"/>
              <w:spacing w:line="240" w:lineRule="auto" w:after="20"/>
            </w:pPr>
            <w:r>
              <w:rPr>
                <w:sz w:val="20"/>
              </w:rPr>
              <w:t xml:space="preserve">0.569 [0.548, 0.591]</w:t>
            </w:r>
          </w:p>
        </w:tc>
      </w:tr>
      <w:tr>
        <w:trPr>
          <w:cantSplit/>
        </w:trPr>
        <w:tc>
          <w:tcPr>
            <w:tcW w:type="dxa" w:w="2181"/>
          </w:tcPr>
          <w:p>
            <w:pPr>
              <w:pStyle w:val="Compact"/>
              <w:spacing w:line="240" w:lineRule="auto" w:after="20"/>
            </w:pPr>
            <w:r>
              <w:rPr>
                <w:sz w:val="20"/>
              </w:rPr>
              <w:t xml:space="preserve">Bejís→Montiferru</w:t>
            </w:r>
          </w:p>
        </w:tc>
        <w:tc>
          <w:tcPr>
            <w:tcW w:type="dxa" w:w="2296"/>
          </w:tcPr>
          <w:p>
            <w:pPr>
              <w:pStyle w:val="Compact"/>
              <w:spacing w:line="240" w:lineRule="auto" w:after="20"/>
            </w:pPr>
            <w:r>
              <w:rPr>
                <w:sz w:val="20"/>
              </w:rPr>
              <w:t xml:space="preserve">0.594 [0.560, 0.631]</w:t>
            </w:r>
          </w:p>
        </w:tc>
        <w:tc>
          <w:tcPr>
            <w:tcW w:type="dxa" w:w="2296"/>
          </w:tcPr>
          <w:p>
            <w:pPr>
              <w:pStyle w:val="Compact"/>
              <w:spacing w:line="240" w:lineRule="auto" w:after="20"/>
            </w:pPr>
            <w:r>
              <w:rPr>
                <w:sz w:val="20"/>
              </w:rPr>
              <w:t xml:space="preserve">0.550 [0.500, 0.601]</w:t>
            </w:r>
          </w:p>
        </w:tc>
        <w:tc>
          <w:tcPr>
            <w:tcW w:type="dxa" w:w="2296"/>
          </w:tcPr>
          <w:p>
            <w:pPr>
              <w:pStyle w:val="Compact"/>
              <w:spacing w:line="240" w:lineRule="auto" w:after="20"/>
            </w:pPr>
            <w:r>
              <w:rPr>
                <w:sz w:val="20"/>
              </w:rPr>
              <w:t xml:space="preserve">0.574 [0.530, 0.621]</w:t>
            </w:r>
          </w:p>
        </w:tc>
      </w:tr>
      <w:tr>
        <w:trPr>
          <w:cantSplit/>
        </w:trPr>
        <w:tc>
          <w:tcPr>
            <w:tcW w:type="dxa" w:w="2181"/>
          </w:tcPr>
          <w:p>
            <w:pPr>
              <w:pStyle w:val="Compact"/>
              <w:spacing w:line="240" w:lineRule="auto" w:after="20"/>
            </w:pPr>
            <w:r>
              <w:rPr>
                <w:sz w:val="20"/>
              </w:rPr>
              <w:t xml:space="preserve">Montiferru→Muğla</w:t>
            </w:r>
          </w:p>
        </w:tc>
        <w:tc>
          <w:tcPr>
            <w:tcW w:type="dxa" w:w="2296"/>
          </w:tcPr>
          <w:p>
            <w:pPr>
              <w:pStyle w:val="Compact"/>
              <w:spacing w:line="240" w:lineRule="auto" w:after="20"/>
            </w:pPr>
            <w:r>
              <w:rPr>
                <w:sz w:val="20"/>
              </w:rPr>
              <w:t xml:space="preserve">0.619 [0.604, 0.634]</w:t>
            </w:r>
          </w:p>
        </w:tc>
        <w:tc>
          <w:tcPr>
            <w:tcW w:type="dxa" w:w="2296"/>
          </w:tcPr>
          <w:p>
            <w:pPr>
              <w:pStyle w:val="Compact"/>
              <w:spacing w:line="240" w:lineRule="auto" w:after="20"/>
            </w:pPr>
            <w:r>
              <w:rPr>
                <w:sz w:val="20"/>
              </w:rPr>
              <w:t xml:space="preserve">0.576 [0.562, 0.589]</w:t>
            </w:r>
          </w:p>
        </w:tc>
        <w:tc>
          <w:tcPr>
            <w:tcW w:type="dxa" w:w="2296"/>
          </w:tcPr>
          <w:p>
            <w:pPr>
              <w:pStyle w:val="Compact"/>
              <w:spacing w:line="240" w:lineRule="auto" w:after="20"/>
            </w:pPr>
            <w:r>
              <w:rPr>
                <w:sz w:val="20"/>
              </w:rPr>
              <w:t xml:space="preserve">0.565 [0.550, 0.579]</w:t>
            </w:r>
          </w:p>
        </w:tc>
      </w:tr>
      <w:tr>
        <w:trPr>
          <w:cantSplit/>
        </w:trPr>
        <w:tc>
          <w:tcPr>
            <w:tcW w:type="dxa" w:w="2181"/>
          </w:tcPr>
          <w:p>
            <w:pPr>
              <w:pStyle w:val="Compact"/>
              <w:spacing w:line="240" w:lineRule="auto" w:after="20"/>
            </w:pPr>
            <w:r>
              <w:rPr>
                <w:sz w:val="20"/>
              </w:rPr>
              <w:t xml:space="preserve">Muğla→Montiferru</w:t>
            </w:r>
          </w:p>
        </w:tc>
        <w:tc>
          <w:tcPr>
            <w:tcW w:type="dxa" w:w="2296"/>
          </w:tcPr>
          <w:p>
            <w:pPr>
              <w:pStyle w:val="Compact"/>
              <w:spacing w:line="240" w:lineRule="auto" w:after="20"/>
            </w:pPr>
            <w:r>
              <w:rPr>
                <w:sz w:val="20"/>
              </w:rPr>
              <w:t xml:space="preserve">0.531 [0.495, 0.568]</w:t>
            </w:r>
          </w:p>
        </w:tc>
        <w:tc>
          <w:tcPr>
            <w:tcW w:type="dxa" w:w="2296"/>
          </w:tcPr>
          <w:p>
            <w:pPr>
              <w:pStyle w:val="Compact"/>
              <w:spacing w:line="240" w:lineRule="auto" w:after="20"/>
            </w:pPr>
            <w:r>
              <w:rPr>
                <w:sz w:val="20"/>
              </w:rPr>
              <w:t xml:space="preserve">0.587 [0.549, 0.624]</w:t>
            </w:r>
          </w:p>
        </w:tc>
        <w:tc>
          <w:tcPr>
            <w:tcW w:type="dxa" w:w="2296"/>
          </w:tcPr>
          <w:p>
            <w:pPr>
              <w:pStyle w:val="Compact"/>
              <w:spacing w:line="240" w:lineRule="auto" w:after="20"/>
            </w:pPr>
            <w:r>
              <w:rPr>
                <w:sz w:val="20"/>
              </w:rPr>
              <w:t xml:space="preserve">0.584 [0.547, 0.623]</w:t>
            </w:r>
          </w:p>
        </w:tc>
      </w:tr>
      <w:tr>
        <w:trPr>
          <w:cantSplit/>
        </w:trPr>
        <w:tc>
          <w:tcPr>
            <w:tcW w:type="dxa" w:w="2181"/>
          </w:tcPr>
          <w:p>
            <w:pPr>
              <w:pStyle w:val="Compact"/>
              <w:spacing w:line="240" w:lineRule="auto" w:after="20"/>
            </w:pPr>
            <w:r>
              <w:rPr>
                <w:sz w:val="20"/>
              </w:rPr>
              <w:t xml:space="preserve">Montiferru→Evia</w:t>
            </w:r>
          </w:p>
        </w:tc>
        <w:tc>
          <w:tcPr>
            <w:tcW w:type="dxa" w:w="2296"/>
          </w:tcPr>
          <w:p>
            <w:pPr>
              <w:pStyle w:val="Compact"/>
              <w:spacing w:line="240" w:lineRule="auto" w:after="20"/>
            </w:pPr>
            <w:r>
              <w:rPr>
                <w:sz w:val="20"/>
              </w:rPr>
              <w:t xml:space="preserve">0.586 [0.565, 0.606]</w:t>
            </w:r>
          </w:p>
        </w:tc>
        <w:tc>
          <w:tcPr>
            <w:tcW w:type="dxa" w:w="2296"/>
          </w:tcPr>
          <w:p>
            <w:pPr>
              <w:pStyle w:val="Compact"/>
              <w:spacing w:line="240" w:lineRule="auto" w:after="20"/>
            </w:pPr>
            <w:r>
              <w:rPr>
                <w:sz w:val="20"/>
              </w:rPr>
              <w:t xml:space="preserve">0.630 [0.611, 0.649]</w:t>
            </w:r>
          </w:p>
        </w:tc>
        <w:tc>
          <w:tcPr>
            <w:tcW w:type="dxa" w:w="2296"/>
          </w:tcPr>
          <w:p>
            <w:pPr>
              <w:pStyle w:val="Compact"/>
              <w:spacing w:line="240" w:lineRule="auto" w:after="20"/>
            </w:pPr>
            <w:r>
              <w:rPr>
                <w:sz w:val="20"/>
              </w:rPr>
              <w:t xml:space="preserve">0.624 [0.605, 0.641]</w:t>
            </w:r>
          </w:p>
        </w:tc>
      </w:tr>
      <w:tr>
        <w:trPr>
          <w:cantSplit/>
        </w:trPr>
        <w:tc>
          <w:tcPr>
            <w:tcW w:type="dxa" w:w="2181"/>
          </w:tcPr>
          <w:p>
            <w:pPr>
              <w:pStyle w:val="Compact"/>
              <w:spacing w:line="240" w:lineRule="auto" w:after="20"/>
            </w:pPr>
            <w:r>
              <w:rPr>
                <w:sz w:val="20"/>
              </w:rPr>
              <w:t xml:space="preserve">Evia→Montiferru</w:t>
            </w:r>
          </w:p>
        </w:tc>
        <w:tc>
          <w:tcPr>
            <w:tcW w:type="dxa" w:w="2296"/>
          </w:tcPr>
          <w:p>
            <w:pPr>
              <w:pStyle w:val="Compact"/>
              <w:spacing w:line="240" w:lineRule="auto" w:after="20"/>
            </w:pPr>
            <w:r>
              <w:rPr>
                <w:sz w:val="20"/>
              </w:rPr>
              <w:t xml:space="preserve">0.647 [0.608, 0.682]</w:t>
            </w:r>
          </w:p>
        </w:tc>
        <w:tc>
          <w:tcPr>
            <w:tcW w:type="dxa" w:w="2296"/>
          </w:tcPr>
          <w:p>
            <w:pPr>
              <w:pStyle w:val="Compact"/>
              <w:spacing w:line="240" w:lineRule="auto" w:after="20"/>
            </w:pPr>
            <w:r>
              <w:rPr>
                <w:sz w:val="20"/>
              </w:rPr>
              <w:t xml:space="preserve">0.568 [0.528, 0.609]</w:t>
            </w:r>
          </w:p>
        </w:tc>
        <w:tc>
          <w:tcPr>
            <w:tcW w:type="dxa" w:w="2296"/>
          </w:tcPr>
          <w:p>
            <w:pPr>
              <w:pStyle w:val="Compact"/>
              <w:spacing w:line="240" w:lineRule="auto" w:after="20"/>
            </w:pPr>
            <w:r>
              <w:rPr>
                <w:sz w:val="20"/>
              </w:rPr>
              <w:t xml:space="preserve">0.581 [0.539, 0.623]</w:t>
            </w:r>
          </w:p>
        </w:tc>
      </w:tr>
    </w:tbl>
    <w:bookmarkEnd w:id="52"/>
    <w:bookmarkStart w:id="53" w:name="Xa73af5c53e1b16a765aea6ff09dad9bdcea9040"/>
    <w:p>
      <w:pPr>
        <w:pStyle w:val="Heading2"/>
      </w:pPr>
      <w:r>
        <w:t xml:space="preserve">S2.4 The transferability-diagnostics tables</w:t>
      </w:r>
    </w:p>
    <w:p>
      <w:pPr>
        <w:pStyle w:val="FirstParagraph"/>
        <w:keepNext/>
      </w:pPr>
      <w:r>
        <w:rPr>
          <w:b/>
          <w:bCs/>
        </w:rPr>
        <w:t xml:space="preserve">Table S17. All similarity measures against raw thermal transfer (20 ordered directions).</w:t>
      </w:r>
      <w:r>
        <w:t xml:space="preserve"> </w:t>
      </w:r>
      <w:r>
        <w:t xml:space="preserve">Spearman ρ with pair-based bootstrap 95 % CIs. Exp. = expected sign. Rows with n = 12 exist only for</w:t>
      </w:r>
      <w:r>
        <w:t xml:space="preserve"> </w:t>
      </w:r>
      <w:r>
        <w:t xml:space="preserve">the four-region subset, because these measures were not produced for Montiferru. The supported</w:t>
      </w:r>
      <w:r>
        <w:t xml:space="preserve"> </w:t>
      </w:r>
      <w:r>
        <w:t xml:space="preserve">conditional rows use the 18 directions with at least one supported feature. Every row is from</w:t>
      </w:r>
      <w:r>
        <w:t xml:space="preserve"> </w:t>
      </w:r>
      <w:r>
        <w:rPr>
          <w:rStyle w:val="VerbatimChar"/>
        </w:rPr>
        <w:t xml:space="preserve">paper/labelfix_rerun/round5/s6_diagnostics_20.csv</w:t>
      </w:r>
      <w:r>
        <w:t xml:space="preserve">, checked by</w:t>
      </w:r>
      <w:r>
        <w:t xml:space="preserve"> </w:t>
      </w:r>
      <w:r>
        <w:rPr>
          <w:rStyle w:val="VerbatimChar"/>
        </w:rPr>
        <w:t xml:space="preserve">paper/code/appendix_tables.py</w:t>
      </w:r>
      <w:r>
        <w:t xml:space="preserve">. The</w:t>
      </w:r>
      <w:r>
        <w:t xml:space="preserve"> </w:t>
      </w:r>
      <w:r>
        <w:t xml:space="preserve">twenty measures were defined on 8 August 2026 and were not re-selected after the label correction.</w:t>
      </w:r>
    </w:p>
    <w:tbl>
      <w:tblPr>
        <w:tblStyle w:val="Table"/>
        <w:tblW w:type="auto" w:w="0"/>
        <w:tblLook w:firstRow="1" w:lastRow="0" w:firstColumn="0" w:lastColumn="0" w:noHBand="0" w:noVBand="0" w:val="0020"/>
      </w:tblPr>
      <w:tblGrid>
        <w:gridCol w:w="2899"/>
        <w:gridCol w:w="1338"/>
        <w:gridCol w:w="297"/>
        <w:gridCol w:w="372"/>
        <w:gridCol w:w="1487"/>
        <w:gridCol w:w="2676"/>
      </w:tblGrid>
      <w:tr>
        <w:trPr>
          <w:tblHeader w:val="on"/>
          <w:cantSplit/>
        </w:trPr>
        <w:tc>
          <w:tcPr>
            <w:tcW w:type="dxa" w:w="2899"/>
          </w:tcPr>
          <w:p>
            <w:pPr>
              <w:pStyle w:val="Compact"/>
              <w:spacing w:line="240" w:lineRule="auto" w:after="20"/>
            </w:pPr>
            <w:r>
              <w:rPr>
                <w:sz w:val="20"/>
              </w:rPr>
              <w:t xml:space="preserve">Diagnostic</w:t>
            </w:r>
          </w:p>
        </w:tc>
        <w:tc>
          <w:tcPr>
            <w:tcW w:type="dxa" w:w="1338"/>
          </w:tcPr>
          <w:p>
            <w:pPr>
              <w:pStyle w:val="Compact"/>
              <w:spacing w:line="240" w:lineRule="auto" w:after="20"/>
            </w:pPr>
            <w:r>
              <w:rPr>
                <w:sz w:val="20"/>
              </w:rPr>
              <w:t xml:space="preserve">Family</w:t>
            </w:r>
          </w:p>
        </w:tc>
        <w:tc>
          <w:tcPr>
            <w:tcW w:type="dxa" w:w="297"/>
          </w:tcPr>
          <w:p>
            <w:pPr>
              <w:pStyle w:val="Compact"/>
              <w:spacing w:line="240" w:lineRule="auto" w:after="20"/>
            </w:pPr>
            <w:r>
              <w:rPr>
                <w:sz w:val="20"/>
              </w:rPr>
              <w:t xml:space="preserve">Exp.</w:t>
            </w:r>
          </w:p>
        </w:tc>
        <w:tc>
          <w:tcPr>
            <w:tcW w:type="dxa" w:w="372"/>
          </w:tcPr>
          <w:p>
            <w:pPr>
              <w:pStyle w:val="Compact"/>
              <w:spacing w:line="240" w:lineRule="auto" w:after="20"/>
            </w:pPr>
            <w:r>
              <w:rPr>
                <w:sz w:val="20"/>
              </w:rPr>
              <w:t xml:space="preserve">n dir</w:t>
            </w:r>
          </w:p>
        </w:tc>
        <w:tc>
          <w:tcPr>
            <w:tcW w:type="dxa" w:w="1487"/>
          </w:tcPr>
          <w:p>
            <w:pPr>
              <w:pStyle w:val="Compact"/>
              <w:spacing w:line="240" w:lineRule="auto" w:after="20"/>
            </w:pPr>
            <w:r>
              <w:rPr>
                <w:sz w:val="20"/>
              </w:rPr>
              <w:t xml:space="preserve">Spearman ρ [95% CI]</w:t>
            </w:r>
          </w:p>
        </w:tc>
        <w:tc>
          <w:tcPr>
            <w:tcW w:type="dxa" w:w="2676"/>
          </w:tcPr>
          <w:p>
            <w:pPr>
              <w:pStyle w:val="Compact"/>
              <w:spacing w:line="240" w:lineRule="auto" w:after="20"/>
            </w:pPr>
            <w:r>
              <w:rPr>
                <w:sz w:val="20"/>
              </w:rPr>
              <w:t xml:space="preserve">CI excludes 0</w:t>
            </w:r>
          </w:p>
        </w:tc>
      </w:tr>
      <w:tr>
        <w:trPr>
          <w:cantSplit/>
        </w:trPr>
        <w:tc>
          <w:tcPr>
            <w:tcW w:type="dxa" w:w="2899"/>
          </w:tcPr>
          <w:p>
            <w:pPr>
              <w:pStyle w:val="Compact"/>
              <w:spacing w:line="240" w:lineRule="auto" w:after="20"/>
            </w:pPr>
            <w:r>
              <w:rPr>
                <w:sz w:val="20"/>
              </w:rPr>
              <w:t xml:space="preserve">Agreement fraction, supported features</w:t>
            </w:r>
          </w:p>
        </w:tc>
        <w:tc>
          <w:tcPr>
            <w:tcW w:type="dxa" w:w="1338"/>
          </w:tcPr>
          <w:p>
            <w:pPr>
              <w:pStyle w:val="Compact"/>
              <w:spacing w:line="240" w:lineRule="auto" w:after="20"/>
            </w:pPr>
            <w:r>
              <w:rPr>
                <w:sz w:val="20"/>
              </w:rPr>
              <w:t xml:space="preserve">P(y|x) conditional</w:t>
            </w:r>
          </w:p>
        </w:tc>
        <w:tc>
          <w:tcPr>
            <w:tcW w:type="dxa" w:w="297"/>
          </w:tcPr>
          <w:p>
            <w:pPr>
              <w:pStyle w:val="Compact"/>
              <w:spacing w:line="240" w:lineRule="auto" w:after="20"/>
            </w:pPr>
            <w:r>
              <w:rPr>
                <w:sz w:val="20"/>
              </w:rPr>
              <w:t xml:space="preserve">+</w:t>
            </w:r>
          </w:p>
        </w:tc>
        <w:tc>
          <w:tcPr>
            <w:tcW w:type="dxa" w:w="372"/>
          </w:tcPr>
          <w:p>
            <w:pPr>
              <w:pStyle w:val="Compact"/>
              <w:spacing w:line="240" w:lineRule="auto" w:after="20"/>
            </w:pPr>
            <w:r>
              <w:rPr>
                <w:sz w:val="20"/>
              </w:rPr>
              <w:t xml:space="preserve">18</w:t>
            </w:r>
          </w:p>
        </w:tc>
        <w:tc>
          <w:tcPr>
            <w:tcW w:type="dxa" w:w="1487"/>
          </w:tcPr>
          <w:p>
            <w:pPr>
              <w:pStyle w:val="Compact"/>
              <w:spacing w:line="240" w:lineRule="auto" w:after="20"/>
            </w:pPr>
            <w:r>
              <w:rPr>
                <w:sz w:val="20"/>
              </w:rPr>
              <w:t xml:space="preserve">+0.52 [−0.27, +0.87]</w:t>
            </w:r>
          </w:p>
        </w:tc>
        <w:tc>
          <w:tcPr>
            <w:tcW w:type="dxa" w:w="2676"/>
          </w:tcPr>
          <w:p>
            <w:pPr>
              <w:pStyle w:val="Compact"/>
              <w:spacing w:line="240" w:lineRule="auto" w:after="20"/>
            </w:pPr>
            <w:r>
              <w:rPr>
                <w:sz w:val="20"/>
              </w:rPr>
              <w:t xml:space="preserve">no</w:t>
            </w:r>
          </w:p>
        </w:tc>
      </w:tr>
      <w:tr>
        <w:trPr>
          <w:cantSplit/>
        </w:trPr>
        <w:tc>
          <w:tcPr>
            <w:tcW w:type="dxa" w:w="2899"/>
          </w:tcPr>
          <w:p>
            <w:pPr>
              <w:pStyle w:val="Compact"/>
              <w:spacing w:line="240" w:lineRule="auto" w:after="20"/>
            </w:pPr>
            <w:r>
              <w:rPr>
                <w:sz w:val="20"/>
              </w:rPr>
              <w:t xml:space="preserve">Cosine, supported features</w:t>
            </w:r>
          </w:p>
        </w:tc>
        <w:tc>
          <w:tcPr>
            <w:tcW w:type="dxa" w:w="1338"/>
          </w:tcPr>
          <w:p>
            <w:pPr>
              <w:pStyle w:val="Compact"/>
              <w:spacing w:line="240" w:lineRule="auto" w:after="20"/>
            </w:pPr>
            <w:r>
              <w:rPr>
                <w:sz w:val="20"/>
              </w:rPr>
              <w:t xml:space="preserve">P(y|x) conditional</w:t>
            </w:r>
          </w:p>
        </w:tc>
        <w:tc>
          <w:tcPr>
            <w:tcW w:type="dxa" w:w="297"/>
          </w:tcPr>
          <w:p>
            <w:pPr>
              <w:pStyle w:val="Compact"/>
              <w:spacing w:line="240" w:lineRule="auto" w:after="20"/>
            </w:pPr>
            <w:r>
              <w:rPr>
                <w:sz w:val="20"/>
              </w:rPr>
              <w:t xml:space="preserve">+</w:t>
            </w:r>
          </w:p>
        </w:tc>
        <w:tc>
          <w:tcPr>
            <w:tcW w:type="dxa" w:w="372"/>
          </w:tcPr>
          <w:p>
            <w:pPr>
              <w:pStyle w:val="Compact"/>
              <w:spacing w:line="240" w:lineRule="auto" w:after="20"/>
            </w:pPr>
            <w:r>
              <w:rPr>
                <w:sz w:val="20"/>
              </w:rPr>
              <w:t xml:space="preserve">18</w:t>
            </w:r>
          </w:p>
        </w:tc>
        <w:tc>
          <w:tcPr>
            <w:tcW w:type="dxa" w:w="1487"/>
          </w:tcPr>
          <w:p>
            <w:pPr>
              <w:pStyle w:val="Compact"/>
              <w:spacing w:line="240" w:lineRule="auto" w:after="20"/>
            </w:pPr>
            <w:r>
              <w:rPr>
                <w:sz w:val="20"/>
              </w:rPr>
              <w:t xml:space="preserve">+0.49 [−0.24, +0.87]</w:t>
            </w:r>
          </w:p>
        </w:tc>
        <w:tc>
          <w:tcPr>
            <w:tcW w:type="dxa" w:w="2676"/>
          </w:tcPr>
          <w:p>
            <w:pPr>
              <w:pStyle w:val="Compact"/>
              <w:spacing w:line="240" w:lineRule="auto" w:after="20"/>
            </w:pPr>
            <w:r>
              <w:rPr>
                <w:sz w:val="20"/>
              </w:rPr>
              <w:t xml:space="preserve">no</w:t>
            </w:r>
          </w:p>
        </w:tc>
      </w:tr>
      <w:tr>
        <w:trPr>
          <w:cantSplit/>
        </w:trPr>
        <w:tc>
          <w:tcPr>
            <w:tcW w:type="dxa" w:w="2899"/>
          </w:tcPr>
          <w:p>
            <w:pPr>
              <w:pStyle w:val="Compact"/>
              <w:spacing w:line="240" w:lineRule="auto" w:after="20"/>
            </w:pPr>
            <w:r>
              <w:rPr>
                <w:sz w:val="20"/>
              </w:rPr>
              <w:t xml:space="preserve">Cosine, all 9 features</w:t>
            </w:r>
          </w:p>
        </w:tc>
        <w:tc>
          <w:tcPr>
            <w:tcW w:type="dxa" w:w="1338"/>
          </w:tcPr>
          <w:p>
            <w:pPr>
              <w:pStyle w:val="Compact"/>
              <w:spacing w:line="240" w:lineRule="auto" w:after="20"/>
            </w:pPr>
            <w:r>
              <w:rPr>
                <w:sz w:val="20"/>
              </w:rPr>
              <w:t xml:space="preserve">P(y|x) conditional</w:t>
            </w:r>
          </w:p>
        </w:tc>
        <w:tc>
          <w:tcPr>
            <w:tcW w:type="dxa" w:w="297"/>
          </w:tcPr>
          <w:p>
            <w:pPr>
              <w:pStyle w:val="Compact"/>
              <w:spacing w:line="240" w:lineRule="auto" w:after="20"/>
            </w:pPr>
            <w:r>
              <w:rPr>
                <w:sz w:val="20"/>
              </w:rPr>
              <w:t xml:space="preserve">+</w:t>
            </w:r>
          </w:p>
        </w:tc>
        <w:tc>
          <w:tcPr>
            <w:tcW w:type="dxa" w:w="372"/>
          </w:tcPr>
          <w:p>
            <w:pPr>
              <w:pStyle w:val="Compact"/>
              <w:spacing w:line="240" w:lineRule="auto" w:after="20"/>
            </w:pPr>
            <w:r>
              <w:rPr>
                <w:sz w:val="20"/>
              </w:rPr>
              <w:t xml:space="preserve">20</w:t>
            </w:r>
          </w:p>
        </w:tc>
        <w:tc>
          <w:tcPr>
            <w:tcW w:type="dxa" w:w="1487"/>
          </w:tcPr>
          <w:p>
            <w:pPr>
              <w:pStyle w:val="Compact"/>
              <w:spacing w:line="240" w:lineRule="auto" w:after="20"/>
            </w:pPr>
            <w:r>
              <w:rPr>
                <w:sz w:val="20"/>
              </w:rPr>
              <w:t xml:space="preserve">+0.44 [−0.29, +0.80]</w:t>
            </w:r>
          </w:p>
        </w:tc>
        <w:tc>
          <w:tcPr>
            <w:tcW w:type="dxa" w:w="2676"/>
          </w:tcPr>
          <w:p>
            <w:pPr>
              <w:pStyle w:val="Compact"/>
              <w:spacing w:line="240" w:lineRule="auto" w:after="20"/>
            </w:pPr>
            <w:r>
              <w:rPr>
                <w:sz w:val="20"/>
              </w:rPr>
              <w:t xml:space="preserve">no</w:t>
            </w:r>
          </w:p>
        </w:tc>
      </w:tr>
      <w:tr>
        <w:trPr>
          <w:cantSplit/>
        </w:trPr>
        <w:tc>
          <w:tcPr>
            <w:tcW w:type="dxa" w:w="2899"/>
          </w:tcPr>
          <w:p>
            <w:pPr>
              <w:pStyle w:val="Compact"/>
              <w:spacing w:line="240" w:lineRule="auto" w:after="20"/>
            </w:pPr>
            <w:r>
              <w:rPr>
                <w:sz w:val="20"/>
              </w:rPr>
              <w:t xml:space="preserve">Vector Spearman, all 9</w:t>
            </w:r>
          </w:p>
        </w:tc>
        <w:tc>
          <w:tcPr>
            <w:tcW w:type="dxa" w:w="1338"/>
          </w:tcPr>
          <w:p>
            <w:pPr>
              <w:pStyle w:val="Compact"/>
              <w:spacing w:line="240" w:lineRule="auto" w:after="20"/>
            </w:pPr>
            <w:r>
              <w:rPr>
                <w:sz w:val="20"/>
              </w:rPr>
              <w:t xml:space="preserve">P(y|x) conditional</w:t>
            </w:r>
          </w:p>
        </w:tc>
        <w:tc>
          <w:tcPr>
            <w:tcW w:type="dxa" w:w="297"/>
          </w:tcPr>
          <w:p>
            <w:pPr>
              <w:pStyle w:val="Compact"/>
              <w:spacing w:line="240" w:lineRule="auto" w:after="20"/>
            </w:pPr>
            <w:r>
              <w:rPr>
                <w:sz w:val="20"/>
              </w:rPr>
              <w:t xml:space="preserve">+</w:t>
            </w:r>
          </w:p>
        </w:tc>
        <w:tc>
          <w:tcPr>
            <w:tcW w:type="dxa" w:w="372"/>
          </w:tcPr>
          <w:p>
            <w:pPr>
              <w:pStyle w:val="Compact"/>
              <w:spacing w:line="240" w:lineRule="auto" w:after="20"/>
            </w:pPr>
            <w:r>
              <w:rPr>
                <w:sz w:val="20"/>
              </w:rPr>
              <w:t xml:space="preserve">20</w:t>
            </w:r>
          </w:p>
        </w:tc>
        <w:tc>
          <w:tcPr>
            <w:tcW w:type="dxa" w:w="1487"/>
          </w:tcPr>
          <w:p>
            <w:pPr>
              <w:pStyle w:val="Compact"/>
              <w:spacing w:line="240" w:lineRule="auto" w:after="20"/>
            </w:pPr>
            <w:r>
              <w:rPr>
                <w:sz w:val="20"/>
              </w:rPr>
              <w:t xml:space="preserve">+0.43 [−0.21, +0.80]</w:t>
            </w:r>
          </w:p>
        </w:tc>
        <w:tc>
          <w:tcPr>
            <w:tcW w:type="dxa" w:w="2676"/>
          </w:tcPr>
          <w:p>
            <w:pPr>
              <w:pStyle w:val="Compact"/>
              <w:spacing w:line="240" w:lineRule="auto" w:after="20"/>
            </w:pPr>
            <w:r>
              <w:rPr>
                <w:sz w:val="20"/>
              </w:rPr>
              <w:t xml:space="preserve">no</w:t>
            </w:r>
          </w:p>
        </w:tc>
      </w:tr>
      <w:tr>
        <w:trPr>
          <w:cantSplit/>
        </w:trPr>
        <w:tc>
          <w:tcPr>
            <w:tcW w:type="dxa" w:w="2899"/>
          </w:tcPr>
          <w:p>
            <w:pPr>
              <w:pStyle w:val="Compact"/>
              <w:spacing w:line="240" w:lineRule="auto" w:after="20"/>
            </w:pPr>
            <w:r>
              <w:rPr>
                <w:sz w:val="20"/>
              </w:rPr>
              <w:t xml:space="preserve">Agreement count, all 9</w:t>
            </w:r>
          </w:p>
        </w:tc>
        <w:tc>
          <w:tcPr>
            <w:tcW w:type="dxa" w:w="1338"/>
          </w:tcPr>
          <w:p>
            <w:pPr>
              <w:pStyle w:val="Compact"/>
              <w:spacing w:line="240" w:lineRule="auto" w:after="20"/>
            </w:pPr>
            <w:r>
              <w:rPr>
                <w:sz w:val="20"/>
              </w:rPr>
              <w:t xml:space="preserve">P(y|x) conditional</w:t>
            </w:r>
          </w:p>
        </w:tc>
        <w:tc>
          <w:tcPr>
            <w:tcW w:type="dxa" w:w="297"/>
          </w:tcPr>
          <w:p>
            <w:pPr>
              <w:pStyle w:val="Compact"/>
              <w:spacing w:line="240" w:lineRule="auto" w:after="20"/>
            </w:pPr>
            <w:r>
              <w:rPr>
                <w:sz w:val="20"/>
              </w:rPr>
              <w:t xml:space="preserve">+</w:t>
            </w:r>
          </w:p>
        </w:tc>
        <w:tc>
          <w:tcPr>
            <w:tcW w:type="dxa" w:w="372"/>
          </w:tcPr>
          <w:p>
            <w:pPr>
              <w:pStyle w:val="Compact"/>
              <w:spacing w:line="240" w:lineRule="auto" w:after="20"/>
            </w:pPr>
            <w:r>
              <w:rPr>
                <w:sz w:val="20"/>
              </w:rPr>
              <w:t xml:space="preserve">20</w:t>
            </w:r>
          </w:p>
        </w:tc>
        <w:tc>
          <w:tcPr>
            <w:tcW w:type="dxa" w:w="1487"/>
          </w:tcPr>
          <w:p>
            <w:pPr>
              <w:pStyle w:val="Compact"/>
              <w:spacing w:line="240" w:lineRule="auto" w:after="20"/>
            </w:pPr>
            <w:r>
              <w:rPr>
                <w:sz w:val="20"/>
              </w:rPr>
              <w:t xml:space="preserve">+0.47 [−0.29, +0.80]</w:t>
            </w:r>
          </w:p>
        </w:tc>
        <w:tc>
          <w:tcPr>
            <w:tcW w:type="dxa" w:w="2676"/>
          </w:tcPr>
          <w:p>
            <w:pPr>
              <w:pStyle w:val="Compact"/>
              <w:spacing w:line="240" w:lineRule="auto" w:after="20"/>
            </w:pPr>
            <w:r>
              <w:rPr>
                <w:sz w:val="20"/>
              </w:rPr>
              <w:t xml:space="preserve">no</w:t>
            </w:r>
          </w:p>
        </w:tc>
      </w:tr>
      <w:tr>
        <w:trPr>
          <w:cantSplit/>
        </w:trPr>
        <w:tc>
          <w:tcPr>
            <w:tcW w:type="dxa" w:w="2899"/>
          </w:tcPr>
          <w:p>
            <w:pPr>
              <w:pStyle w:val="Compact"/>
              <w:spacing w:line="240" w:lineRule="auto" w:after="20"/>
            </w:pPr>
            <w:r>
              <w:rPr>
                <w:sz w:val="20"/>
              </w:rPr>
              <w:t xml:space="preserve">Schoener’s D, 1-D mean</w:t>
            </w:r>
          </w:p>
        </w:tc>
        <w:tc>
          <w:tcPr>
            <w:tcW w:type="dxa" w:w="1338"/>
          </w:tcPr>
          <w:p>
            <w:pPr>
              <w:pStyle w:val="Compact"/>
              <w:spacing w:line="240" w:lineRule="auto" w:after="20"/>
            </w:pPr>
            <w:r>
              <w:rPr>
                <w:sz w:val="20"/>
              </w:rPr>
              <w:t xml:space="preserve">P(x|y=1) niche</w:t>
            </w:r>
          </w:p>
        </w:tc>
        <w:tc>
          <w:tcPr>
            <w:tcW w:type="dxa" w:w="297"/>
          </w:tcPr>
          <w:p>
            <w:pPr>
              <w:pStyle w:val="Compact"/>
              <w:spacing w:line="240" w:lineRule="auto" w:after="20"/>
            </w:pPr>
            <w:r>
              <w:rPr>
                <w:sz w:val="20"/>
              </w:rPr>
              <w:t xml:space="preserve">+</w:t>
            </w:r>
          </w:p>
        </w:tc>
        <w:tc>
          <w:tcPr>
            <w:tcW w:type="dxa" w:w="372"/>
          </w:tcPr>
          <w:p>
            <w:pPr>
              <w:pStyle w:val="Compact"/>
              <w:spacing w:line="240" w:lineRule="auto" w:after="20"/>
            </w:pPr>
            <w:r>
              <w:rPr>
                <w:sz w:val="20"/>
              </w:rPr>
              <w:t xml:space="preserve">20</w:t>
            </w:r>
          </w:p>
        </w:tc>
        <w:tc>
          <w:tcPr>
            <w:tcW w:type="dxa" w:w="1487"/>
          </w:tcPr>
          <w:p>
            <w:pPr>
              <w:pStyle w:val="Compact"/>
              <w:spacing w:line="240" w:lineRule="auto" w:after="20"/>
            </w:pPr>
            <w:r>
              <w:rPr>
                <w:sz w:val="20"/>
              </w:rPr>
              <w:t xml:space="preserve">+0.10 [−0.53, +0.63]</w:t>
            </w:r>
          </w:p>
        </w:tc>
        <w:tc>
          <w:tcPr>
            <w:tcW w:type="dxa" w:w="2676"/>
          </w:tcPr>
          <w:p>
            <w:pPr>
              <w:pStyle w:val="Compact"/>
              <w:spacing w:line="240" w:lineRule="auto" w:after="20"/>
            </w:pPr>
            <w:r>
              <w:rPr>
                <w:sz w:val="20"/>
              </w:rPr>
              <w:t xml:space="preserve">no</w:t>
            </w:r>
          </w:p>
        </w:tc>
      </w:tr>
      <w:tr>
        <w:trPr>
          <w:cantSplit/>
        </w:trPr>
        <w:tc>
          <w:tcPr>
            <w:tcW w:type="dxa" w:w="2899"/>
          </w:tcPr>
          <w:p>
            <w:pPr>
              <w:pStyle w:val="Compact"/>
              <w:spacing w:line="240" w:lineRule="auto" w:after="20"/>
            </w:pPr>
            <w:r>
              <w:rPr>
                <w:sz w:val="20"/>
              </w:rPr>
              <w:t xml:space="preserve">Warren’s I, 1-D mean</w:t>
            </w:r>
          </w:p>
        </w:tc>
        <w:tc>
          <w:tcPr>
            <w:tcW w:type="dxa" w:w="1338"/>
          </w:tcPr>
          <w:p>
            <w:pPr>
              <w:pStyle w:val="Compact"/>
              <w:spacing w:line="240" w:lineRule="auto" w:after="20"/>
            </w:pPr>
            <w:r>
              <w:rPr>
                <w:sz w:val="20"/>
              </w:rPr>
              <w:t xml:space="preserve">P(x|y=1) niche</w:t>
            </w:r>
          </w:p>
        </w:tc>
        <w:tc>
          <w:tcPr>
            <w:tcW w:type="dxa" w:w="297"/>
          </w:tcPr>
          <w:p>
            <w:pPr>
              <w:pStyle w:val="Compact"/>
              <w:spacing w:line="240" w:lineRule="auto" w:after="20"/>
            </w:pPr>
            <w:r>
              <w:rPr>
                <w:sz w:val="20"/>
              </w:rPr>
              <w:t xml:space="preserve">+</w:t>
            </w:r>
          </w:p>
        </w:tc>
        <w:tc>
          <w:tcPr>
            <w:tcW w:type="dxa" w:w="372"/>
          </w:tcPr>
          <w:p>
            <w:pPr>
              <w:pStyle w:val="Compact"/>
              <w:spacing w:line="240" w:lineRule="auto" w:after="20"/>
            </w:pPr>
            <w:r>
              <w:rPr>
                <w:sz w:val="20"/>
              </w:rPr>
              <w:t xml:space="preserve">20</w:t>
            </w:r>
          </w:p>
        </w:tc>
        <w:tc>
          <w:tcPr>
            <w:tcW w:type="dxa" w:w="1487"/>
          </w:tcPr>
          <w:p>
            <w:pPr>
              <w:pStyle w:val="Compact"/>
              <w:spacing w:line="240" w:lineRule="auto" w:after="20"/>
            </w:pPr>
            <w:r>
              <w:rPr>
                <w:sz w:val="20"/>
              </w:rPr>
              <w:t xml:space="preserve">+0.19 [−0.43, +0.77]</w:t>
            </w:r>
          </w:p>
        </w:tc>
        <w:tc>
          <w:tcPr>
            <w:tcW w:type="dxa" w:w="2676"/>
          </w:tcPr>
          <w:p>
            <w:pPr>
              <w:pStyle w:val="Compact"/>
              <w:spacing w:line="240" w:lineRule="auto" w:after="20"/>
            </w:pPr>
            <w:r>
              <w:rPr>
                <w:sz w:val="20"/>
              </w:rPr>
              <w:t xml:space="preserve">no</w:t>
            </w:r>
          </w:p>
        </w:tc>
      </w:tr>
      <w:tr>
        <w:trPr>
          <w:cantSplit/>
        </w:trPr>
        <w:tc>
          <w:tcPr>
            <w:tcW w:type="dxa" w:w="2899"/>
          </w:tcPr>
          <w:p>
            <w:pPr>
              <w:pStyle w:val="Compact"/>
              <w:spacing w:line="240" w:lineRule="auto" w:after="20"/>
            </w:pPr>
            <w:r>
              <w:rPr>
                <w:sz w:val="20"/>
              </w:rPr>
              <w:t xml:space="preserve">Schoener’s D, PCA-2D</w:t>
            </w:r>
          </w:p>
        </w:tc>
        <w:tc>
          <w:tcPr>
            <w:tcW w:type="dxa" w:w="1338"/>
          </w:tcPr>
          <w:p>
            <w:pPr>
              <w:pStyle w:val="Compact"/>
              <w:spacing w:line="240" w:lineRule="auto" w:after="20"/>
            </w:pPr>
            <w:r>
              <w:rPr>
                <w:sz w:val="20"/>
              </w:rPr>
              <w:t xml:space="preserve">P(x|y=1) niche</w:t>
            </w:r>
          </w:p>
        </w:tc>
        <w:tc>
          <w:tcPr>
            <w:tcW w:type="dxa" w:w="297"/>
          </w:tcPr>
          <w:p>
            <w:pPr>
              <w:pStyle w:val="Compact"/>
              <w:spacing w:line="240" w:lineRule="auto" w:after="20"/>
            </w:pPr>
            <w:r>
              <w:rPr>
                <w:sz w:val="20"/>
              </w:rPr>
              <w:t xml:space="preserve">+</w:t>
            </w:r>
          </w:p>
        </w:tc>
        <w:tc>
          <w:tcPr>
            <w:tcW w:type="dxa" w:w="372"/>
          </w:tcPr>
          <w:p>
            <w:pPr>
              <w:pStyle w:val="Compact"/>
              <w:spacing w:line="240" w:lineRule="auto" w:after="20"/>
            </w:pPr>
            <w:r>
              <w:rPr>
                <w:sz w:val="20"/>
              </w:rPr>
              <w:t xml:space="preserve">20</w:t>
            </w:r>
          </w:p>
        </w:tc>
        <w:tc>
          <w:tcPr>
            <w:tcW w:type="dxa" w:w="1487"/>
          </w:tcPr>
          <w:p>
            <w:pPr>
              <w:pStyle w:val="Compact"/>
              <w:spacing w:line="240" w:lineRule="auto" w:after="20"/>
            </w:pPr>
            <w:r>
              <w:rPr>
                <w:sz w:val="20"/>
              </w:rPr>
              <w:t xml:space="preserve">+0.03 [−0.59, +0.63]</w:t>
            </w:r>
          </w:p>
        </w:tc>
        <w:tc>
          <w:tcPr>
            <w:tcW w:type="dxa" w:w="2676"/>
          </w:tcPr>
          <w:p>
            <w:pPr>
              <w:pStyle w:val="Compact"/>
              <w:spacing w:line="240" w:lineRule="auto" w:after="20"/>
            </w:pPr>
            <w:r>
              <w:rPr>
                <w:sz w:val="20"/>
              </w:rPr>
              <w:t xml:space="preserve">no</w:t>
            </w:r>
          </w:p>
        </w:tc>
      </w:tr>
      <w:tr>
        <w:trPr>
          <w:cantSplit/>
        </w:trPr>
        <w:tc>
          <w:tcPr>
            <w:tcW w:type="dxa" w:w="2899"/>
          </w:tcPr>
          <w:p>
            <w:pPr>
              <w:pStyle w:val="Compact"/>
              <w:spacing w:line="240" w:lineRule="auto" w:after="20"/>
            </w:pPr>
            <w:r>
              <w:rPr>
                <w:sz w:val="20"/>
              </w:rPr>
              <w:t xml:space="preserve">Warren’s I, PCA-2D</w:t>
            </w:r>
          </w:p>
        </w:tc>
        <w:tc>
          <w:tcPr>
            <w:tcW w:type="dxa" w:w="1338"/>
          </w:tcPr>
          <w:p>
            <w:pPr>
              <w:pStyle w:val="Compact"/>
              <w:spacing w:line="240" w:lineRule="auto" w:after="20"/>
            </w:pPr>
            <w:r>
              <w:rPr>
                <w:sz w:val="20"/>
              </w:rPr>
              <w:t xml:space="preserve">P(x|y=1) niche</w:t>
            </w:r>
          </w:p>
        </w:tc>
        <w:tc>
          <w:tcPr>
            <w:tcW w:type="dxa" w:w="297"/>
          </w:tcPr>
          <w:p>
            <w:pPr>
              <w:pStyle w:val="Compact"/>
              <w:spacing w:line="240" w:lineRule="auto" w:after="20"/>
            </w:pPr>
            <w:r>
              <w:rPr>
                <w:sz w:val="20"/>
              </w:rPr>
              <w:t xml:space="preserve">+</w:t>
            </w:r>
          </w:p>
        </w:tc>
        <w:tc>
          <w:tcPr>
            <w:tcW w:type="dxa" w:w="372"/>
          </w:tcPr>
          <w:p>
            <w:pPr>
              <w:pStyle w:val="Compact"/>
              <w:spacing w:line="240" w:lineRule="auto" w:after="20"/>
            </w:pPr>
            <w:r>
              <w:rPr>
                <w:sz w:val="20"/>
              </w:rPr>
              <w:t xml:space="preserve">20</w:t>
            </w:r>
          </w:p>
        </w:tc>
        <w:tc>
          <w:tcPr>
            <w:tcW w:type="dxa" w:w="1487"/>
          </w:tcPr>
          <w:p>
            <w:pPr>
              <w:pStyle w:val="Compact"/>
              <w:spacing w:line="240" w:lineRule="auto" w:after="20"/>
            </w:pPr>
            <w:r>
              <w:rPr>
                <w:sz w:val="20"/>
              </w:rPr>
              <w:t xml:space="preserve">−0.03 [−0.66, +0.56]</w:t>
            </w:r>
          </w:p>
        </w:tc>
        <w:tc>
          <w:tcPr>
            <w:tcW w:type="dxa" w:w="2676"/>
          </w:tcPr>
          <w:p>
            <w:pPr>
              <w:pStyle w:val="Compact"/>
              <w:spacing w:line="240" w:lineRule="auto" w:after="20"/>
            </w:pPr>
            <w:r>
              <w:rPr>
                <w:sz w:val="20"/>
              </w:rPr>
              <w:t xml:space="preserve">no</w:t>
            </w:r>
          </w:p>
        </w:tc>
      </w:tr>
      <w:tr>
        <w:trPr>
          <w:cantSplit/>
        </w:trPr>
        <w:tc>
          <w:tcPr>
            <w:tcW w:type="dxa" w:w="2899"/>
          </w:tcPr>
          <w:p>
            <w:pPr>
              <w:pStyle w:val="Compact"/>
              <w:spacing w:line="240" w:lineRule="auto" w:after="20"/>
            </w:pPr>
            <w:r>
              <w:rPr>
                <w:sz w:val="20"/>
              </w:rPr>
              <w:t xml:space="preserve">Mahalanobis, burned centroids</w:t>
            </w:r>
          </w:p>
        </w:tc>
        <w:tc>
          <w:tcPr>
            <w:tcW w:type="dxa" w:w="1338"/>
          </w:tcPr>
          <w:p>
            <w:pPr>
              <w:pStyle w:val="Compact"/>
              <w:spacing w:line="240" w:lineRule="auto" w:after="20"/>
            </w:pPr>
            <w:r>
              <w:rPr>
                <w:sz w:val="20"/>
              </w:rPr>
              <w:t xml:space="preserve">P(x|y=1) niche</w:t>
            </w:r>
          </w:p>
        </w:tc>
        <w:tc>
          <w:tcPr>
            <w:tcW w:type="dxa" w:w="297"/>
          </w:tcPr>
          <w:p>
            <w:pPr>
              <w:pStyle w:val="Compact"/>
              <w:spacing w:line="240" w:lineRule="auto" w:after="20"/>
            </w:pPr>
            <w:r>
              <w:rPr>
                <w:sz w:val="20"/>
              </w:rPr>
              <w:t xml:space="preserve">−</w:t>
            </w:r>
          </w:p>
        </w:tc>
        <w:tc>
          <w:tcPr>
            <w:tcW w:type="dxa" w:w="372"/>
          </w:tcPr>
          <w:p>
            <w:pPr>
              <w:pStyle w:val="Compact"/>
              <w:spacing w:line="240" w:lineRule="auto" w:after="20"/>
            </w:pPr>
            <w:r>
              <w:rPr>
                <w:sz w:val="20"/>
              </w:rPr>
              <w:t xml:space="preserve">20</w:t>
            </w:r>
          </w:p>
        </w:tc>
        <w:tc>
          <w:tcPr>
            <w:tcW w:type="dxa" w:w="1487"/>
          </w:tcPr>
          <w:p>
            <w:pPr>
              <w:pStyle w:val="Compact"/>
              <w:spacing w:line="240" w:lineRule="auto" w:after="20"/>
            </w:pPr>
            <w:r>
              <w:rPr>
                <w:sz w:val="20"/>
              </w:rPr>
              <w:t xml:space="preserve">−0.22 [−0.82, +0.42]</w:t>
            </w:r>
          </w:p>
        </w:tc>
        <w:tc>
          <w:tcPr>
            <w:tcW w:type="dxa" w:w="2676"/>
          </w:tcPr>
          <w:p>
            <w:pPr>
              <w:pStyle w:val="Compact"/>
              <w:spacing w:line="240" w:lineRule="auto" w:after="20"/>
            </w:pPr>
            <w:r>
              <w:rPr>
                <w:sz w:val="20"/>
              </w:rPr>
              <w:t xml:space="preserve">no</w:t>
            </w:r>
          </w:p>
        </w:tc>
      </w:tr>
      <w:tr>
        <w:trPr>
          <w:cantSplit/>
        </w:trPr>
        <w:tc>
          <w:tcPr>
            <w:tcW w:type="dxa" w:w="2899"/>
          </w:tcPr>
          <w:p>
            <w:pPr>
              <w:pStyle w:val="Compact"/>
              <w:spacing w:line="240" w:lineRule="auto" w:after="20"/>
            </w:pPr>
            <w:r>
              <w:rPr>
                <w:sz w:val="20"/>
              </w:rPr>
              <w:t xml:space="preserve">Domain-classifier AUC</w:t>
            </w:r>
          </w:p>
        </w:tc>
        <w:tc>
          <w:tcPr>
            <w:tcW w:type="dxa" w:w="1338"/>
          </w:tcPr>
          <w:p>
            <w:pPr>
              <w:pStyle w:val="Compact"/>
              <w:spacing w:line="240" w:lineRule="auto" w:after="20"/>
            </w:pPr>
            <w:r>
              <w:rPr>
                <w:sz w:val="20"/>
              </w:rPr>
              <w:t xml:space="preserve">P(ix) marginal</w:t>
            </w:r>
          </w:p>
        </w:tc>
        <w:tc>
          <w:tcPr>
            <w:tcW w:type="dxa" w:w="297"/>
          </w:tcPr>
          <w:p>
            <w:pPr>
              <w:pStyle w:val="Compact"/>
              <w:spacing w:line="240" w:lineRule="auto" w:after="20"/>
            </w:pPr>
            <w:r>
              <w:rPr>
                <w:sz w:val="20"/>
              </w:rPr>
              <w:t xml:space="preserve">−</w:t>
            </w:r>
          </w:p>
        </w:tc>
        <w:tc>
          <w:tcPr>
            <w:tcW w:type="dxa" w:w="372"/>
          </w:tcPr>
          <w:p>
            <w:pPr>
              <w:pStyle w:val="Compact"/>
              <w:spacing w:line="240" w:lineRule="auto" w:after="20"/>
            </w:pPr>
            <w:r>
              <w:rPr>
                <w:sz w:val="20"/>
              </w:rPr>
              <w:t xml:space="preserve">20</w:t>
            </w:r>
          </w:p>
        </w:tc>
        <w:tc>
          <w:tcPr>
            <w:tcW w:type="dxa" w:w="1487"/>
          </w:tcPr>
          <w:p>
            <w:pPr>
              <w:pStyle w:val="Compact"/>
              <w:spacing w:line="240" w:lineRule="auto" w:after="20"/>
            </w:pPr>
            <w:r>
              <w:rPr>
                <w:sz w:val="20"/>
              </w:rPr>
              <w:t xml:space="preserve">−0.33 [−0.81, +0.36]</w:t>
            </w:r>
          </w:p>
        </w:tc>
        <w:tc>
          <w:tcPr>
            <w:tcW w:type="dxa" w:w="2676"/>
          </w:tcPr>
          <w:p>
            <w:pPr>
              <w:pStyle w:val="Compact"/>
              <w:spacing w:line="240" w:lineRule="auto" w:after="20"/>
            </w:pPr>
            <w:r>
              <w:rPr>
                <w:sz w:val="20"/>
              </w:rPr>
              <w:t xml:space="preserve">no</w:t>
            </w:r>
          </w:p>
        </w:tc>
      </w:tr>
      <w:tr>
        <w:trPr>
          <w:cantSplit/>
        </w:trPr>
        <w:tc>
          <w:tcPr>
            <w:tcW w:type="dxa" w:w="2899"/>
          </w:tcPr>
          <w:p>
            <w:pPr>
              <w:pStyle w:val="Compact"/>
              <w:spacing w:line="240" w:lineRule="auto" w:after="20"/>
            </w:pPr>
            <w:r>
              <w:rPr>
                <w:sz w:val="20"/>
              </w:rPr>
              <w:t xml:space="preserve">Predictor-space mean dissimilarity</w:t>
            </w:r>
          </w:p>
        </w:tc>
        <w:tc>
          <w:tcPr>
            <w:tcW w:type="dxa" w:w="1338"/>
          </w:tcPr>
          <w:p>
            <w:pPr>
              <w:pStyle w:val="Compact"/>
              <w:spacing w:line="240" w:lineRule="auto" w:after="20"/>
            </w:pPr>
            <w:r>
              <w:rPr>
                <w:sz w:val="20"/>
              </w:rPr>
              <w:t xml:space="preserve">P(ix) marginal</w:t>
            </w:r>
          </w:p>
        </w:tc>
        <w:tc>
          <w:tcPr>
            <w:tcW w:type="dxa" w:w="297"/>
          </w:tcPr>
          <w:p>
            <w:pPr>
              <w:pStyle w:val="Compact"/>
              <w:spacing w:line="240" w:lineRule="auto" w:after="20"/>
            </w:pPr>
            <w:r>
              <w:rPr>
                <w:sz w:val="20"/>
              </w:rPr>
              <w:t xml:space="preserve">−</w:t>
            </w:r>
          </w:p>
        </w:tc>
        <w:tc>
          <w:tcPr>
            <w:tcW w:type="dxa" w:w="372"/>
          </w:tcPr>
          <w:p>
            <w:pPr>
              <w:pStyle w:val="Compact"/>
              <w:spacing w:line="240" w:lineRule="auto" w:after="20"/>
            </w:pPr>
            <w:r>
              <w:rPr>
                <w:sz w:val="20"/>
              </w:rPr>
              <w:t xml:space="preserve">12</w:t>
            </w:r>
          </w:p>
        </w:tc>
        <w:tc>
          <w:tcPr>
            <w:tcW w:type="dxa" w:w="1487"/>
          </w:tcPr>
          <w:p>
            <w:pPr>
              <w:pStyle w:val="Compact"/>
              <w:spacing w:line="240" w:lineRule="auto" w:after="20"/>
            </w:pPr>
            <w:r>
              <w:rPr>
                <w:sz w:val="20"/>
              </w:rPr>
              <w:t xml:space="preserve">−0.13 [−0.67, +0.37]</w:t>
            </w:r>
          </w:p>
        </w:tc>
        <w:tc>
          <w:tcPr>
            <w:tcW w:type="dxa" w:w="2676"/>
          </w:tcPr>
          <w:p>
            <w:pPr>
              <w:pStyle w:val="Compact"/>
              <w:spacing w:line="240" w:lineRule="auto" w:after="20"/>
            </w:pPr>
            <w:r>
              <w:rPr>
                <w:sz w:val="20"/>
              </w:rPr>
              <w:t xml:space="preserve">no</w:t>
            </w:r>
          </w:p>
        </w:tc>
      </w:tr>
      <w:tr>
        <w:trPr>
          <w:cantSplit/>
        </w:trPr>
        <w:tc>
          <w:tcPr>
            <w:tcW w:type="dxa" w:w="2899"/>
          </w:tcPr>
          <w:p>
            <w:pPr>
              <w:pStyle w:val="Compact"/>
              <w:spacing w:line="240" w:lineRule="auto" w:after="20"/>
            </w:pPr>
            <w:r>
              <w:rPr>
                <w:sz w:val="20"/>
              </w:rPr>
              <w:t xml:space="preserve">Predictor-space p95 dissimilarity</w:t>
            </w:r>
          </w:p>
        </w:tc>
        <w:tc>
          <w:tcPr>
            <w:tcW w:type="dxa" w:w="1338"/>
          </w:tcPr>
          <w:p>
            <w:pPr>
              <w:pStyle w:val="Compact"/>
              <w:spacing w:line="240" w:lineRule="auto" w:after="20"/>
            </w:pPr>
            <w:r>
              <w:rPr>
                <w:sz w:val="20"/>
              </w:rPr>
              <w:t xml:space="preserve">P(ix) marginal</w:t>
            </w:r>
          </w:p>
        </w:tc>
        <w:tc>
          <w:tcPr>
            <w:tcW w:type="dxa" w:w="297"/>
          </w:tcPr>
          <w:p>
            <w:pPr>
              <w:pStyle w:val="Compact"/>
              <w:spacing w:line="240" w:lineRule="auto" w:after="20"/>
            </w:pPr>
            <w:r>
              <w:rPr>
                <w:sz w:val="20"/>
              </w:rPr>
              <w:t xml:space="preserve">−</w:t>
            </w:r>
          </w:p>
        </w:tc>
        <w:tc>
          <w:tcPr>
            <w:tcW w:type="dxa" w:w="372"/>
          </w:tcPr>
          <w:p>
            <w:pPr>
              <w:pStyle w:val="Compact"/>
              <w:spacing w:line="240" w:lineRule="auto" w:after="20"/>
            </w:pPr>
            <w:r>
              <w:rPr>
                <w:sz w:val="20"/>
              </w:rPr>
              <w:t xml:space="preserve">12</w:t>
            </w:r>
          </w:p>
        </w:tc>
        <w:tc>
          <w:tcPr>
            <w:tcW w:type="dxa" w:w="1487"/>
          </w:tcPr>
          <w:p>
            <w:pPr>
              <w:pStyle w:val="Compact"/>
              <w:spacing w:line="240" w:lineRule="auto" w:after="20"/>
            </w:pPr>
            <w:r>
              <w:rPr>
                <w:sz w:val="20"/>
              </w:rPr>
              <w:t xml:space="preserve">−0.15 [−0.68, +0.24]</w:t>
            </w:r>
          </w:p>
        </w:tc>
        <w:tc>
          <w:tcPr>
            <w:tcW w:type="dxa" w:w="2676"/>
          </w:tcPr>
          <w:p>
            <w:pPr>
              <w:pStyle w:val="Compact"/>
              <w:spacing w:line="240" w:lineRule="auto" w:after="20"/>
            </w:pPr>
            <w:r>
              <w:rPr>
                <w:sz w:val="20"/>
              </w:rPr>
              <w:t xml:space="preserve">no</w:t>
            </w:r>
          </w:p>
        </w:tc>
      </w:tr>
      <w:tr>
        <w:trPr>
          <w:cantSplit/>
        </w:trPr>
        <w:tc>
          <w:tcPr>
            <w:tcW w:type="dxa" w:w="2899"/>
          </w:tcPr>
          <w:p>
            <w:pPr>
              <w:pStyle w:val="Compact"/>
              <w:spacing w:line="240" w:lineRule="auto" w:after="20"/>
            </w:pPr>
            <w:r>
              <w:rPr>
                <w:sz w:val="20"/>
              </w:rPr>
              <w:t xml:space="preserve">Fraction inside weighted AoA</w:t>
            </w:r>
          </w:p>
        </w:tc>
        <w:tc>
          <w:tcPr>
            <w:tcW w:type="dxa" w:w="1338"/>
          </w:tcPr>
          <w:p>
            <w:pPr>
              <w:pStyle w:val="Compact"/>
              <w:spacing w:line="240" w:lineRule="auto" w:after="20"/>
            </w:pPr>
            <w:r>
              <w:rPr>
                <w:sz w:val="20"/>
              </w:rPr>
              <w:t xml:space="preserve">P(ix) marginal</w:t>
            </w:r>
          </w:p>
        </w:tc>
        <w:tc>
          <w:tcPr>
            <w:tcW w:type="dxa" w:w="297"/>
          </w:tcPr>
          <w:p>
            <w:pPr>
              <w:pStyle w:val="Compact"/>
              <w:spacing w:line="240" w:lineRule="auto" w:after="20"/>
            </w:pPr>
            <w:r>
              <w:rPr>
                <w:sz w:val="20"/>
              </w:rPr>
              <w:t xml:space="preserve">+</w:t>
            </w:r>
          </w:p>
        </w:tc>
        <w:tc>
          <w:tcPr>
            <w:tcW w:type="dxa" w:w="372"/>
          </w:tcPr>
          <w:p>
            <w:pPr>
              <w:pStyle w:val="Compact"/>
              <w:spacing w:line="240" w:lineRule="auto" w:after="20"/>
            </w:pPr>
            <w:r>
              <w:rPr>
                <w:sz w:val="20"/>
              </w:rPr>
              <w:t xml:space="preserve">12</w:t>
            </w:r>
          </w:p>
        </w:tc>
        <w:tc>
          <w:tcPr>
            <w:tcW w:type="dxa" w:w="1487"/>
          </w:tcPr>
          <w:p>
            <w:pPr>
              <w:pStyle w:val="Compact"/>
              <w:spacing w:line="240" w:lineRule="auto" w:after="20"/>
            </w:pPr>
            <w:r>
              <w:rPr>
                <w:sz w:val="20"/>
              </w:rPr>
              <w:t xml:space="preserve">+0.21 [−0.48, +0.62]</w:t>
            </w:r>
          </w:p>
        </w:tc>
        <w:tc>
          <w:tcPr>
            <w:tcW w:type="dxa" w:w="2676"/>
          </w:tcPr>
          <w:p>
            <w:pPr>
              <w:pStyle w:val="Compact"/>
              <w:spacing w:line="240" w:lineRule="auto" w:after="20"/>
            </w:pPr>
            <w:r>
              <w:rPr>
                <w:sz w:val="20"/>
              </w:rPr>
              <w:t xml:space="preserve">no</w:t>
            </w:r>
          </w:p>
        </w:tc>
      </w:tr>
      <w:tr>
        <w:trPr>
          <w:cantSplit/>
        </w:trPr>
        <w:tc>
          <w:tcPr>
            <w:tcW w:type="dxa" w:w="2899"/>
          </w:tcPr>
          <w:p>
            <w:pPr>
              <w:pStyle w:val="Compact"/>
              <w:spacing w:line="240" w:lineRule="auto" w:after="20"/>
            </w:pPr>
            <w:r>
              <w:rPr>
                <w:sz w:val="20"/>
              </w:rPr>
              <w:t xml:space="preserve">Fraction inside unweighted support</w:t>
            </w:r>
          </w:p>
        </w:tc>
        <w:tc>
          <w:tcPr>
            <w:tcW w:type="dxa" w:w="1338"/>
          </w:tcPr>
          <w:p>
            <w:pPr>
              <w:pStyle w:val="Compact"/>
              <w:spacing w:line="240" w:lineRule="auto" w:after="20"/>
            </w:pPr>
            <w:r>
              <w:rPr>
                <w:sz w:val="20"/>
              </w:rPr>
              <w:t xml:space="preserve">P(ix) marginal</w:t>
            </w:r>
          </w:p>
        </w:tc>
        <w:tc>
          <w:tcPr>
            <w:tcW w:type="dxa" w:w="297"/>
          </w:tcPr>
          <w:p>
            <w:pPr>
              <w:pStyle w:val="Compact"/>
              <w:spacing w:line="240" w:lineRule="auto" w:after="20"/>
            </w:pPr>
            <w:r>
              <w:rPr>
                <w:sz w:val="20"/>
              </w:rPr>
              <w:t xml:space="preserve">+</w:t>
            </w:r>
          </w:p>
        </w:tc>
        <w:tc>
          <w:tcPr>
            <w:tcW w:type="dxa" w:w="372"/>
          </w:tcPr>
          <w:p>
            <w:pPr>
              <w:pStyle w:val="Compact"/>
              <w:spacing w:line="240" w:lineRule="auto" w:after="20"/>
            </w:pPr>
            <w:r>
              <w:rPr>
                <w:sz w:val="20"/>
              </w:rPr>
              <w:t xml:space="preserve">12</w:t>
            </w:r>
          </w:p>
        </w:tc>
        <w:tc>
          <w:tcPr>
            <w:tcW w:type="dxa" w:w="1487"/>
          </w:tcPr>
          <w:p>
            <w:pPr>
              <w:pStyle w:val="Compact"/>
              <w:spacing w:line="240" w:lineRule="auto" w:after="20"/>
            </w:pPr>
            <w:r>
              <w:rPr>
                <w:sz w:val="20"/>
              </w:rPr>
              <w:t xml:space="preserve">+0.08 [−0.92, +0.76]</w:t>
            </w:r>
          </w:p>
        </w:tc>
        <w:tc>
          <w:tcPr>
            <w:tcW w:type="dxa" w:w="2676"/>
          </w:tcPr>
          <w:p>
            <w:pPr>
              <w:pStyle w:val="Compact"/>
              <w:spacing w:line="240" w:lineRule="auto" w:after="20"/>
            </w:pPr>
            <w:r>
              <w:rPr>
                <w:sz w:val="20"/>
              </w:rPr>
              <w:t xml:space="preserve">no</w:t>
            </w:r>
          </w:p>
        </w:tc>
      </w:tr>
      <w:tr>
        <w:trPr>
          <w:cantSplit/>
        </w:trPr>
        <w:tc>
          <w:tcPr>
            <w:tcW w:type="dxa" w:w="2899"/>
          </w:tcPr>
          <w:p>
            <w:pPr>
              <w:pStyle w:val="Compact"/>
              <w:spacing w:line="240" w:lineRule="auto" w:after="20"/>
            </w:pPr>
            <w:r>
              <w:rPr>
                <w:sz w:val="20"/>
              </w:rPr>
              <w:t xml:space="preserve">Climatic distance</w:t>
            </w:r>
          </w:p>
        </w:tc>
        <w:tc>
          <w:tcPr>
            <w:tcW w:type="dxa" w:w="1338"/>
          </w:tcPr>
          <w:p>
            <w:pPr>
              <w:pStyle w:val="Compact"/>
              <w:spacing w:line="240" w:lineRule="auto" w:after="20"/>
            </w:pPr>
            <w:r>
              <w:rPr>
                <w:sz w:val="20"/>
              </w:rPr>
              <w:t xml:space="preserve">P(ix) marginal</w:t>
            </w:r>
          </w:p>
        </w:tc>
        <w:tc>
          <w:tcPr>
            <w:tcW w:type="dxa" w:w="297"/>
          </w:tcPr>
          <w:p>
            <w:pPr>
              <w:pStyle w:val="Compact"/>
              <w:spacing w:line="240" w:lineRule="auto" w:after="20"/>
            </w:pPr>
            <w:r>
              <w:rPr>
                <w:sz w:val="20"/>
              </w:rPr>
              <w:t xml:space="preserve">−</w:t>
            </w:r>
          </w:p>
        </w:tc>
        <w:tc>
          <w:tcPr>
            <w:tcW w:type="dxa" w:w="372"/>
          </w:tcPr>
          <w:p>
            <w:pPr>
              <w:pStyle w:val="Compact"/>
              <w:spacing w:line="240" w:lineRule="auto" w:after="20"/>
            </w:pPr>
            <w:r>
              <w:rPr>
                <w:sz w:val="20"/>
              </w:rPr>
              <w:t xml:space="preserve">12</w:t>
            </w:r>
          </w:p>
        </w:tc>
        <w:tc>
          <w:tcPr>
            <w:tcW w:type="dxa" w:w="1487"/>
          </w:tcPr>
          <w:p>
            <w:pPr>
              <w:pStyle w:val="Compact"/>
              <w:spacing w:line="240" w:lineRule="auto" w:after="20"/>
            </w:pPr>
            <w:r>
              <w:rPr>
                <w:sz w:val="20"/>
              </w:rPr>
              <w:t xml:space="preserve">+0.03 [−0.84, +0.84]</w:t>
            </w:r>
          </w:p>
        </w:tc>
        <w:tc>
          <w:tcPr>
            <w:tcW w:type="dxa" w:w="2676"/>
          </w:tcPr>
          <w:p>
            <w:pPr>
              <w:pStyle w:val="Compact"/>
              <w:spacing w:line="240" w:lineRule="auto" w:after="20"/>
            </w:pPr>
            <w:r>
              <w:rPr>
                <w:sz w:val="20"/>
              </w:rPr>
              <w:t xml:space="preserve">no</w:t>
            </w:r>
          </w:p>
        </w:tc>
      </w:tr>
      <w:tr>
        <w:trPr>
          <w:cantSplit/>
        </w:trPr>
        <w:tc>
          <w:tcPr>
            <w:tcW w:type="dxa" w:w="2899"/>
          </w:tcPr>
          <w:p>
            <w:pPr>
              <w:pStyle w:val="Compact"/>
              <w:spacing w:line="240" w:lineRule="auto" w:after="20"/>
            </w:pPr>
            <w:r>
              <w:rPr>
                <w:sz w:val="20"/>
              </w:rPr>
              <w:t xml:space="preserve">Geographic distance</w:t>
            </w:r>
          </w:p>
        </w:tc>
        <w:tc>
          <w:tcPr>
            <w:tcW w:type="dxa" w:w="1338"/>
          </w:tcPr>
          <w:p>
            <w:pPr>
              <w:pStyle w:val="Compact"/>
              <w:spacing w:line="240" w:lineRule="auto" w:after="20"/>
            </w:pPr>
            <w:r>
              <w:rPr>
                <w:sz w:val="20"/>
              </w:rPr>
              <w:t xml:space="preserve">geographic</w:t>
            </w:r>
          </w:p>
        </w:tc>
        <w:tc>
          <w:tcPr>
            <w:tcW w:type="dxa" w:w="297"/>
          </w:tcPr>
          <w:p>
            <w:pPr>
              <w:pStyle w:val="Compact"/>
              <w:spacing w:line="240" w:lineRule="auto" w:after="20"/>
            </w:pPr>
            <w:r>
              <w:rPr>
                <w:sz w:val="20"/>
              </w:rPr>
              <w:t xml:space="preserve">−</w:t>
            </w:r>
          </w:p>
        </w:tc>
        <w:tc>
          <w:tcPr>
            <w:tcW w:type="dxa" w:w="372"/>
          </w:tcPr>
          <w:p>
            <w:pPr>
              <w:pStyle w:val="Compact"/>
              <w:spacing w:line="240" w:lineRule="auto" w:after="20"/>
            </w:pPr>
            <w:r>
              <w:rPr>
                <w:sz w:val="20"/>
              </w:rPr>
              <w:t xml:space="preserve">12</w:t>
            </w:r>
          </w:p>
        </w:tc>
        <w:tc>
          <w:tcPr>
            <w:tcW w:type="dxa" w:w="1487"/>
          </w:tcPr>
          <w:p>
            <w:pPr>
              <w:pStyle w:val="Compact"/>
              <w:spacing w:line="240" w:lineRule="auto" w:after="20"/>
            </w:pPr>
            <w:r>
              <w:rPr>
                <w:sz w:val="20"/>
              </w:rPr>
              <w:t xml:space="preserve">−0.17 [−0.87, +0.84]</w:t>
            </w:r>
          </w:p>
        </w:tc>
        <w:tc>
          <w:tcPr>
            <w:tcW w:type="dxa" w:w="2676"/>
          </w:tcPr>
          <w:p>
            <w:pPr>
              <w:pStyle w:val="Compact"/>
              <w:spacing w:line="240" w:lineRule="auto" w:after="20"/>
            </w:pPr>
            <w:r>
              <w:rPr>
                <w:sz w:val="20"/>
              </w:rPr>
              <w:t xml:space="preserve">no</w:t>
            </w:r>
          </w:p>
        </w:tc>
      </w:tr>
      <w:tr>
        <w:trPr>
          <w:cantSplit/>
        </w:trPr>
        <w:tc>
          <w:tcPr>
            <w:tcW w:type="dxa" w:w="2899"/>
          </w:tcPr>
          <w:p>
            <w:pPr>
              <w:pStyle w:val="Compact"/>
              <w:spacing w:line="240" w:lineRule="auto" w:after="20"/>
            </w:pPr>
            <w:r>
              <w:rPr>
                <w:sz w:val="20"/>
              </w:rPr>
              <w:t xml:space="preserve">Regime distance, log effective-N</w:t>
            </w:r>
          </w:p>
        </w:tc>
        <w:tc>
          <w:tcPr>
            <w:tcW w:type="dxa" w:w="1338"/>
          </w:tcPr>
          <w:p>
            <w:pPr>
              <w:pStyle w:val="Compact"/>
              <w:spacing w:line="240" w:lineRule="auto" w:after="20"/>
            </w:pPr>
            <w:r>
              <w:rPr>
                <w:sz w:val="20"/>
              </w:rPr>
              <w:t xml:space="preserve">P(y) structure</w:t>
            </w:r>
          </w:p>
        </w:tc>
        <w:tc>
          <w:tcPr>
            <w:tcW w:type="dxa" w:w="297"/>
          </w:tcPr>
          <w:p>
            <w:pPr>
              <w:pStyle w:val="Compact"/>
              <w:spacing w:line="240" w:lineRule="auto" w:after="20"/>
            </w:pPr>
            <w:r>
              <w:rPr>
                <w:sz w:val="20"/>
              </w:rPr>
              <w:t xml:space="preserve">−</w:t>
            </w:r>
          </w:p>
        </w:tc>
        <w:tc>
          <w:tcPr>
            <w:tcW w:type="dxa" w:w="372"/>
          </w:tcPr>
          <w:p>
            <w:pPr>
              <w:pStyle w:val="Compact"/>
              <w:spacing w:line="240" w:lineRule="auto" w:after="20"/>
            </w:pPr>
            <w:r>
              <w:rPr>
                <w:sz w:val="20"/>
              </w:rPr>
              <w:t xml:space="preserve">20</w:t>
            </w:r>
          </w:p>
        </w:tc>
        <w:tc>
          <w:tcPr>
            <w:tcW w:type="dxa" w:w="1487"/>
          </w:tcPr>
          <w:p>
            <w:pPr>
              <w:pStyle w:val="Compact"/>
              <w:spacing w:line="240" w:lineRule="auto" w:after="20"/>
            </w:pPr>
            <w:r>
              <w:rPr>
                <w:sz w:val="20"/>
              </w:rPr>
              <w:t xml:space="preserve">+0.11 [−0.67, +0.80]</w:t>
            </w:r>
          </w:p>
        </w:tc>
        <w:tc>
          <w:tcPr>
            <w:tcW w:type="dxa" w:w="2676"/>
          </w:tcPr>
          <w:p>
            <w:pPr>
              <w:pStyle w:val="Compact"/>
              <w:spacing w:line="240" w:lineRule="auto" w:after="20"/>
            </w:pPr>
            <w:r>
              <w:rPr>
                <w:sz w:val="20"/>
              </w:rPr>
              <w:t xml:space="preserve">no</w:t>
            </w:r>
          </w:p>
        </w:tc>
      </w:tr>
      <w:tr>
        <w:trPr>
          <w:cantSplit/>
        </w:trPr>
        <w:tc>
          <w:tcPr>
            <w:tcW w:type="dxa" w:w="2899"/>
          </w:tcPr>
          <w:p>
            <w:pPr>
              <w:pStyle w:val="Compact"/>
              <w:spacing w:line="240" w:lineRule="auto" w:after="20"/>
            </w:pPr>
            <w:r>
              <w:rPr>
                <w:sz w:val="20"/>
              </w:rPr>
              <w:t xml:space="preserve">Regime distance, largest share</w:t>
            </w:r>
          </w:p>
        </w:tc>
        <w:tc>
          <w:tcPr>
            <w:tcW w:type="dxa" w:w="1338"/>
          </w:tcPr>
          <w:p>
            <w:pPr>
              <w:pStyle w:val="Compact"/>
              <w:spacing w:line="240" w:lineRule="auto" w:after="20"/>
            </w:pPr>
            <w:r>
              <w:rPr>
                <w:sz w:val="20"/>
              </w:rPr>
              <w:t xml:space="preserve">P(y) structure</w:t>
            </w:r>
          </w:p>
        </w:tc>
        <w:tc>
          <w:tcPr>
            <w:tcW w:type="dxa" w:w="297"/>
          </w:tcPr>
          <w:p>
            <w:pPr>
              <w:pStyle w:val="Compact"/>
              <w:spacing w:line="240" w:lineRule="auto" w:after="20"/>
            </w:pPr>
            <w:r>
              <w:rPr>
                <w:sz w:val="20"/>
              </w:rPr>
              <w:t xml:space="preserve">−</w:t>
            </w:r>
          </w:p>
        </w:tc>
        <w:tc>
          <w:tcPr>
            <w:tcW w:type="dxa" w:w="372"/>
          </w:tcPr>
          <w:p>
            <w:pPr>
              <w:pStyle w:val="Compact"/>
              <w:spacing w:line="240" w:lineRule="auto" w:after="20"/>
            </w:pPr>
            <w:r>
              <w:rPr>
                <w:sz w:val="20"/>
              </w:rPr>
              <w:t xml:space="preserve">20</w:t>
            </w:r>
          </w:p>
        </w:tc>
        <w:tc>
          <w:tcPr>
            <w:tcW w:type="dxa" w:w="1487"/>
          </w:tcPr>
          <w:p>
            <w:pPr>
              <w:pStyle w:val="Compact"/>
              <w:spacing w:line="240" w:lineRule="auto" w:after="20"/>
            </w:pPr>
            <w:r>
              <w:rPr>
                <w:sz w:val="20"/>
              </w:rPr>
              <w:t xml:space="preserve">+0.11 [−0.66, +0.77]</w:t>
            </w:r>
          </w:p>
        </w:tc>
        <w:tc>
          <w:tcPr>
            <w:tcW w:type="dxa" w:w="2676"/>
          </w:tcPr>
          <w:p>
            <w:pPr>
              <w:pStyle w:val="Compact"/>
              <w:spacing w:line="240" w:lineRule="auto" w:after="20"/>
            </w:pPr>
            <w:r>
              <w:rPr>
                <w:sz w:val="20"/>
              </w:rPr>
              <w:t xml:space="preserve">no</w:t>
            </w:r>
          </w:p>
        </w:tc>
      </w:tr>
      <w:tr>
        <w:trPr>
          <w:cantSplit/>
        </w:trPr>
        <w:tc>
          <w:tcPr>
            <w:tcW w:type="dxa" w:w="2899"/>
          </w:tcPr>
          <w:p>
            <w:pPr>
              <w:pStyle w:val="Compact"/>
              <w:spacing w:line="240" w:lineRule="auto" w:after="20"/>
            </w:pPr>
            <w:r>
              <w:rPr>
                <w:sz w:val="20"/>
              </w:rPr>
              <w:t xml:space="preserve">Vector Spearman, supported (≥3 feats) ‡</w:t>
            </w:r>
          </w:p>
        </w:tc>
        <w:tc>
          <w:tcPr>
            <w:tcW w:type="dxa" w:w="1338"/>
          </w:tcPr>
          <w:p>
            <w:pPr>
              <w:pStyle w:val="Compact"/>
              <w:spacing w:line="240" w:lineRule="auto" w:after="20"/>
            </w:pPr>
            <w:r>
              <w:rPr>
                <w:sz w:val="20"/>
              </w:rPr>
              <w:t xml:space="preserve">P(y|x) conditional</w:t>
            </w:r>
          </w:p>
        </w:tc>
        <w:tc>
          <w:tcPr>
            <w:tcW w:type="dxa" w:w="297"/>
          </w:tcPr>
          <w:p>
            <w:pPr>
              <w:pStyle w:val="Compact"/>
              <w:spacing w:line="240" w:lineRule="auto" w:after="20"/>
            </w:pPr>
            <w:r>
              <w:rPr>
                <w:sz w:val="20"/>
              </w:rPr>
              <w:t xml:space="preserve">+</w:t>
            </w:r>
          </w:p>
        </w:tc>
        <w:tc>
          <w:tcPr>
            <w:tcW w:type="dxa" w:w="372"/>
          </w:tcPr>
          <w:p>
            <w:pPr>
              <w:pStyle w:val="Compact"/>
              <w:spacing w:line="240" w:lineRule="auto" w:after="20"/>
            </w:pPr>
            <w:r>
              <w:rPr>
                <w:sz w:val="20"/>
              </w:rPr>
              <w:t xml:space="preserve">6</w:t>
            </w:r>
          </w:p>
        </w:tc>
        <w:tc>
          <w:tcPr>
            <w:tcW w:type="dxa" w:w="1487"/>
          </w:tcPr>
          <w:p>
            <w:pPr>
              <w:pStyle w:val="Compact"/>
              <w:spacing w:line="240" w:lineRule="auto" w:after="20"/>
            </w:pPr>
            <w:r>
              <w:rPr>
                <w:sz w:val="20"/>
              </w:rPr>
              <w:t xml:space="preserve">+0.96 [+0.85, +0.96]</w:t>
            </w:r>
          </w:p>
        </w:tc>
        <w:tc>
          <w:tcPr>
            <w:tcW w:type="dxa" w:w="2676"/>
          </w:tcPr>
          <w:p>
            <w:pPr>
              <w:pStyle w:val="Compact"/>
              <w:spacing w:line="240" w:lineRule="auto" w:after="20"/>
            </w:pPr>
            <w:r>
              <w:rPr>
                <w:sz w:val="20"/>
              </w:rPr>
              <w:t xml:space="preserve">degenerate interval; not interpreted</w:t>
            </w:r>
          </w:p>
        </w:tc>
      </w:tr>
    </w:tbl>
    <w:p>
      <w:pPr>
        <w:pStyle w:val="BodyText"/>
      </w:pPr>
      <w:r>
        <w:rPr>
          <w:i/>
          <w:iCs/>
        </w:rPr>
        <w:t xml:space="preserve">Table note.</w:t>
      </w:r>
      <w:r>
        <w:t xml:space="preserve"> </w:t>
      </w:r>
      <w:r>
        <w:t xml:space="preserve">A null row means that the measure was</w:t>
      </w:r>
      <w:r>
        <w:t xml:space="preserve"> </w:t>
      </w:r>
      <w:r>
        <w:rPr>
          <w:b/>
          <w:bCs/>
        </w:rPr>
        <w:t xml:space="preserve">not shown to order transfer</w:t>
      </w:r>
      <w:r>
        <w:t xml:space="preserve"> </w:t>
      </w:r>
      <w:r>
        <w:t xml:space="preserve">in this design.</w:t>
      </w:r>
      <w:r>
        <w:t xml:space="preserve"> </w:t>
      </w:r>
      <w:r>
        <w:t xml:space="preserve">It does not mean that the measure cannot order transfer. With ten independent region pairs the power</w:t>
      </w:r>
      <w:r>
        <w:t xml:space="preserve"> </w:t>
      </w:r>
      <w:r>
        <w:t xml:space="preserve">is low, and the intervals are wide enough to include moderate true correlations in either direction.</w:t>
      </w:r>
      <w:r>
        <w:t xml:space="preserve"> </w:t>
      </w:r>
      <w:r>
        <w:t xml:space="preserve">‡ The last row belongs to the set of measures fixed in advance, so it stays in the table. It is</w:t>
      </w:r>
      <w:r>
        <w:t xml:space="preserve"> </w:t>
      </w:r>
      <w:r>
        <w:t xml:space="preserve">defined on six directions only, and its interval is degenerate (the upper bound equals the point</w:t>
      </w:r>
      <w:r>
        <w:t xml:space="preserve"> </w:t>
      </w:r>
      <w:r>
        <w:t xml:space="preserve">estimate), so it is not interpreted and cannot be compared with the other nineteen.</w:t>
      </w:r>
    </w:p>
    <w:p>
      <w:pPr>
        <w:pStyle w:val="BodyText"/>
      </w:pPr>
      <w:r>
        <w:rPr>
          <w:b/>
          <w:bCs/>
        </w:rPr>
        <w:t xml:space="preserve">Equal-sample check.</w:t>
      </w:r>
      <w:r>
        <w:t xml:space="preserve"> </w:t>
      </w:r>
      <w:r>
        <w:t xml:space="preserve">The families use different samples: twelve directions for the marginal,</w:t>
      </w:r>
      <w:r>
        <w:t xml:space="preserve"> </w:t>
      </w:r>
      <w:r>
        <w:t xml:space="preserve">applicability, climatic and geographic rows, eighteen for the supported conditional rows, and twenty</w:t>
      </w:r>
      <w:r>
        <w:t xml:space="preserve"> </w:t>
      </w:r>
      <w:r>
        <w:t xml:space="preserve">for the others. Every row was recomputed on the common subset of twelve directions, and again on the</w:t>
      </w:r>
      <w:r>
        <w:t xml:space="preserve"> </w:t>
      </w:r>
      <w:r>
        <w:t xml:space="preserve">sixteen directions where the supported conditional rows are defined. Every interpretable row still</w:t>
      </w:r>
      <w:r>
        <w:t xml:space="preserve"> </w:t>
      </w:r>
      <w:r>
        <w:t xml:space="preserve">includes zero. On the common twelve, the supported conditional rows give +0.41 [−0.42, +0.88] and</w:t>
      </w:r>
      <w:r>
        <w:t xml:space="preserve"> </w:t>
      </w:r>
      <w:r>
        <w:t xml:space="preserve">+0.46 [−0.56, +0.84]. The published values are reproduced to 4.4 × 10⁻⁵. Source:</w:t>
      </w:r>
      <w:r>
        <w:t xml:space="preserve"> </w:t>
      </w:r>
      <w:r>
        <w:rPr>
          <w:rStyle w:val="VerbatimChar"/>
        </w:rPr>
        <w:t xml:space="preserve">paper/labelfix_rerun/round5/out_official/diagnostics_common_subset.json</w:t>
      </w:r>
      <w:r>
        <w:t xml:space="preserve">.</w:t>
      </w:r>
    </w:p>
    <w:p>
      <w:pPr>
        <w:pStyle w:val="BodyText"/>
        <w:keepNext/>
      </w:pPr>
      <w:r>
        <w:rPr>
          <w:b/>
          <w:bCs/>
        </w:rPr>
        <w:t xml:space="preserve">Table S18. The most and least environmentally similar pairs, on both frames.</w:t>
      </w:r>
      <w:r>
        <w:t xml:space="preserve"> </w:t>
      </w:r>
      <w:r>
        <w:t xml:space="preserve">Schoener’s</w:t>
      </w:r>
      <w:r>
        <w:t xml:space="preserve"> </w:t>
      </w:r>
      <w:r>
        <w:rPr>
          <w:i/>
          <w:iCs/>
        </w:rPr>
        <w:t xml:space="preserve">D</w:t>
      </w:r>
      <w:r>
        <w:t xml:space="preserve"> </w:t>
      </w:r>
      <w:r>
        <w:t xml:space="preserve">is</w:t>
      </w:r>
      <w:r>
        <w:t xml:space="preserve"> </w:t>
      </w:r>
      <w:r>
        <w:t xml:space="preserve">computed over burned cells only, so it does not change with the collar. Transfer values are the two</w:t>
      </w:r>
      <w:r>
        <w:t xml:space="preserve"> </w:t>
      </w:r>
      <w:r>
        <w:t xml:space="preserve">ordered directions of each pair. Ranks are out of the twenty directions on the collar. Corrected</w:t>
      </w:r>
      <w:r>
        <w:t xml:space="preserve"> </w:t>
      </w:r>
      <w:r>
        <w:t xml:space="preserve">Manavgat label. Schoener’s</w:t>
      </w:r>
      <w:r>
        <w:t xml:space="preserve"> </w:t>
      </w:r>
      <w:r>
        <w:rPr>
          <w:i/>
          <w:iCs/>
        </w:rPr>
        <w:t xml:space="preserve">D</w:t>
      </w:r>
      <w:r>
        <w:t xml:space="preserve">, per-feature</w:t>
      </w:r>
      <w:r>
        <w:t xml:space="preserve"> </w:t>
      </w:r>
      <w:r>
        <w:rPr>
          <w:i/>
          <w:iCs/>
        </w:rPr>
        <w:t xml:space="preserve">D</w:t>
      </w:r>
      <w:r>
        <w:t xml:space="preserve"> </w:t>
      </w:r>
      <w:r>
        <w:t xml:space="preserve">and transfer on the original study areas are read from</w:t>
      </w:r>
      <w:r>
        <w:t xml:space="preserve"> </w:t>
      </w:r>
      <w:r>
        <w:t xml:space="preserve">the source of Fig. 8,</w:t>
      </w:r>
      <w:r>
        <w:t xml:space="preserve"> </w:t>
      </w:r>
      <w:r>
        <w:rPr>
          <w:rStyle w:val="VerbatimChar"/>
        </w:rPr>
        <w:t xml:space="preserve">paper/labelfix_rerun/round5/out_official/figure_contrast_pairs.json</w:t>
      </w:r>
      <w:r>
        <w:t xml:space="preserve">. Collar</w:t>
      </w:r>
      <w:r>
        <w:t xml:space="preserve"> </w:t>
      </w:r>
      <w:r>
        <w:t xml:space="preserve">transfer and ranks are from the source of Table S8,</w:t>
      </w:r>
      <w:r>
        <w:t xml:space="preserve"> </w:t>
      </w:r>
      <w:r>
        <w:rPr>
          <w:rStyle w:val="VerbatimChar"/>
        </w:rPr>
        <w:t xml:space="preserve">paper/labelfix_rerun/round5/collar/aoi_frame_transfer.csv</w:t>
      </w:r>
      <w:r>
        <w:t xml:space="preserve">,</w:t>
      </w:r>
      <w:r>
        <w:t xml:space="preserve"> </w:t>
      </w:r>
      <w:r>
        <w:t xml:space="preserve">and the AoA shares from</w:t>
      </w:r>
      <w:r>
        <w:t xml:space="preserve"> </w:t>
      </w:r>
      <w:r>
        <w:rPr>
          <w:rStyle w:val="VerbatimChar"/>
        </w:rPr>
        <w:t xml:space="preserve">paper/labelfix_rerun/round5/collar/aoa_directed_pair_summary.csv</w:t>
      </w:r>
      <w:r>
        <w:t xml:space="preserve">. Every</w:t>
      </w:r>
      <w:r>
        <w:t xml:space="preserve"> </w:t>
      </w:r>
      <w:r>
        <w:t xml:space="preserve">cell is checked against these files at build time (</w:t>
      </w:r>
      <w:r>
        <w:rPr>
          <w:rStyle w:val="VerbatimChar"/>
        </w:rPr>
        <w:t xml:space="preserve">paper/figures/fig8_contrast_pairs.py</w:t>
      </w:r>
      <w:r>
        <w:t xml:space="preserve">).</w:t>
      </w:r>
    </w:p>
    <w:tbl>
      <w:tblPr>
        <w:tblStyle w:val="Table"/>
        <w:tblW w:type="auto" w:w="0"/>
        <w:tblLook w:firstRow="1" w:lastRow="0" w:firstColumn="0" w:lastColumn="0" w:noHBand="0" w:noVBand="0" w:val="0020"/>
      </w:tblPr>
      <w:tblGrid>
        <w:gridCol w:w="4707"/>
        <w:gridCol w:w="2067"/>
        <w:gridCol w:w="2296"/>
      </w:tblGrid>
      <w:tr>
        <w:trPr>
          <w:tblHeader w:val="on"/>
          <w:cantSplit/>
        </w:trPr>
        <w:tc>
          <w:tcPr>
            <w:tcW w:type="dxa" w:w="4707"/>
          </w:tcPr>
          <w:p>
            <w:pPr>
              <w:pStyle w:val="Compact"/>
              <w:spacing w:line="240" w:lineRule="auto" w:after="20"/>
            </w:pPr>
          </w:p>
        </w:tc>
        <w:tc>
          <w:tcPr>
            <w:tcW w:type="dxa" w:w="2067"/>
          </w:tcPr>
          <w:p>
            <w:pPr>
              <w:pStyle w:val="Compact"/>
              <w:spacing w:line="240" w:lineRule="auto" w:after="20"/>
            </w:pPr>
            <w:r>
              <w:rPr>
                <w:sz w:val="20"/>
              </w:rPr>
              <w:t xml:space="preserve">Manavgat and Muğla</w:t>
            </w:r>
          </w:p>
        </w:tc>
        <w:tc>
          <w:tcPr>
            <w:tcW w:type="dxa" w:w="2296"/>
          </w:tcPr>
          <w:p>
            <w:pPr>
              <w:pStyle w:val="Compact"/>
              <w:spacing w:line="240" w:lineRule="auto" w:after="20"/>
            </w:pPr>
            <w:r>
              <w:rPr>
                <w:sz w:val="20"/>
              </w:rPr>
              <w:t xml:space="preserve">Bejís and Montiferru</w:t>
            </w:r>
          </w:p>
        </w:tc>
      </w:tr>
      <w:tr>
        <w:trPr>
          <w:cantSplit/>
        </w:trPr>
        <w:tc>
          <w:tcPr>
            <w:tcW w:type="dxa" w:w="4707"/>
          </w:tcPr>
          <w:p>
            <w:pPr>
              <w:pStyle w:val="Compact"/>
              <w:spacing w:line="240" w:lineRule="auto" w:after="20"/>
            </w:pPr>
            <w:r>
              <w:rPr>
                <w:sz w:val="20"/>
              </w:rPr>
              <w:t xml:space="preserve">Schoener’s</w:t>
            </w:r>
            <w:r>
              <w:rPr>
                <w:sz w:val="20"/>
              </w:rPr>
              <w:t xml:space="preserve"> </w:t>
            </w:r>
            <w:r>
              <w:rPr>
                <w:i/>
                <w:iCs/>
                <w:sz w:val="20"/>
              </w:rPr>
              <w:t xml:space="preserve">D</w:t>
            </w:r>
            <w:r>
              <w:rPr>
                <w:sz w:val="20"/>
              </w:rPr>
              <w:t xml:space="preserve">, mean 1-D</w:t>
            </w:r>
          </w:p>
        </w:tc>
        <w:tc>
          <w:tcPr>
            <w:tcW w:type="dxa" w:w="2067"/>
          </w:tcPr>
          <w:p>
            <w:pPr>
              <w:pStyle w:val="Compact"/>
              <w:spacing w:line="240" w:lineRule="auto" w:after="20"/>
            </w:pPr>
            <w:r>
              <w:rPr>
                <w:b/>
                <w:bCs/>
                <w:sz w:val="20"/>
              </w:rPr>
              <w:t xml:space="preserve">0.799</w:t>
            </w:r>
            <w:r>
              <w:rPr>
                <w:sz w:val="20"/>
              </w:rPr>
              <w:t xml:space="preserve"> </w:t>
            </w:r>
            <w:r>
              <w:rPr>
                <w:sz w:val="20"/>
              </w:rPr>
              <w:t xml:space="preserve">(highest)</w:t>
            </w:r>
          </w:p>
        </w:tc>
        <w:tc>
          <w:tcPr>
            <w:tcW w:type="dxa" w:w="2296"/>
          </w:tcPr>
          <w:p>
            <w:pPr>
              <w:pStyle w:val="Compact"/>
              <w:spacing w:line="240" w:lineRule="auto" w:after="20"/>
            </w:pPr>
            <w:r>
              <w:rPr>
                <w:b/>
                <w:bCs/>
                <w:sz w:val="20"/>
              </w:rPr>
              <w:t xml:space="preserve">0.479</w:t>
            </w:r>
            <w:r>
              <w:rPr>
                <w:sz w:val="20"/>
              </w:rPr>
              <w:t xml:space="preserve"> </w:t>
            </w:r>
            <w:r>
              <w:rPr>
                <w:sz w:val="20"/>
              </w:rPr>
              <w:t xml:space="preserve">(lowest)</w:t>
            </w:r>
          </w:p>
        </w:tc>
      </w:tr>
      <w:tr>
        <w:trPr>
          <w:cantSplit/>
        </w:trPr>
        <w:tc>
          <w:tcPr>
            <w:tcW w:type="dxa" w:w="4707"/>
          </w:tcPr>
          <w:p>
            <w:pPr>
              <w:pStyle w:val="Compact"/>
              <w:spacing w:line="240" w:lineRule="auto" w:after="20"/>
            </w:pPr>
            <w:r>
              <w:rPr>
                <w:sz w:val="20"/>
              </w:rPr>
              <w:t xml:space="preserve">per-feature</w:t>
            </w:r>
            <w:r>
              <w:rPr>
                <w:sz w:val="20"/>
              </w:rPr>
              <w:t xml:space="preserve"> </w:t>
            </w:r>
            <w:r>
              <w:rPr>
                <w:i/>
                <w:iCs/>
                <w:sz w:val="20"/>
              </w:rPr>
              <w:t xml:space="preserve">D</w:t>
            </w:r>
          </w:p>
        </w:tc>
        <w:tc>
          <w:tcPr>
            <w:tcW w:type="dxa" w:w="2067"/>
          </w:tcPr>
          <w:p>
            <w:pPr>
              <w:pStyle w:val="Compact"/>
              <w:spacing w:line="240" w:lineRule="auto" w:after="20"/>
            </w:pPr>
            <w:r>
              <w:rPr>
                <w:sz w:val="20"/>
              </w:rPr>
              <w:t xml:space="preserve">0.74 to 0.87</w:t>
            </w:r>
          </w:p>
        </w:tc>
        <w:tc>
          <w:tcPr>
            <w:tcW w:type="dxa" w:w="2296"/>
          </w:tcPr>
          <w:p>
            <w:pPr>
              <w:pStyle w:val="Compact"/>
              <w:spacing w:line="240" w:lineRule="auto" w:after="20"/>
            </w:pPr>
            <w:r>
              <w:rPr>
                <w:sz w:val="20"/>
              </w:rPr>
              <w:t xml:space="preserve">0.23 to 0.77</w:t>
            </w:r>
          </w:p>
        </w:tc>
      </w:tr>
      <w:tr>
        <w:trPr>
          <w:cantSplit/>
        </w:trPr>
        <w:tc>
          <w:tcPr>
            <w:tcW w:type="dxa" w:w="4707"/>
          </w:tcPr>
          <w:p>
            <w:pPr>
              <w:pStyle w:val="Compact"/>
              <w:spacing w:line="240" w:lineRule="auto" w:after="20"/>
            </w:pPr>
            <w:r>
              <w:rPr>
                <w:sz w:val="20"/>
              </w:rPr>
              <w:t xml:space="preserve">transfer, frames as drawn</w:t>
            </w:r>
          </w:p>
        </w:tc>
        <w:tc>
          <w:tcPr>
            <w:tcW w:type="dxa" w:w="2067"/>
          </w:tcPr>
          <w:p>
            <w:pPr>
              <w:pStyle w:val="Compact"/>
              <w:spacing w:line="240" w:lineRule="auto" w:after="20"/>
            </w:pPr>
            <w:r>
              <w:rPr>
                <w:sz w:val="20"/>
              </w:rPr>
              <w:t xml:space="preserve">0.438, 0.345</w:t>
            </w:r>
          </w:p>
        </w:tc>
        <w:tc>
          <w:tcPr>
            <w:tcW w:type="dxa" w:w="2296"/>
          </w:tcPr>
          <w:p>
            <w:pPr>
              <w:pStyle w:val="Compact"/>
              <w:spacing w:line="240" w:lineRule="auto" w:after="20"/>
            </w:pPr>
            <w:r>
              <w:rPr>
                <w:sz w:val="20"/>
              </w:rPr>
              <w:t xml:space="preserve">0.594, 0.548</w:t>
            </w:r>
          </w:p>
        </w:tc>
      </w:tr>
      <w:tr>
        <w:trPr>
          <w:cantSplit/>
        </w:trPr>
        <w:tc>
          <w:tcPr>
            <w:tcW w:type="dxa" w:w="4707"/>
          </w:tcPr>
          <w:p>
            <w:pPr>
              <w:pStyle w:val="Compact"/>
              <w:spacing w:line="240" w:lineRule="auto" w:after="20"/>
            </w:pPr>
            <w:r>
              <w:rPr>
                <w:sz w:val="20"/>
              </w:rPr>
              <w:t xml:space="preserve">transfer, 10 km collar</w:t>
            </w:r>
          </w:p>
        </w:tc>
        <w:tc>
          <w:tcPr>
            <w:tcW w:type="dxa" w:w="2067"/>
          </w:tcPr>
          <w:p>
            <w:pPr>
              <w:pStyle w:val="Compact"/>
              <w:spacing w:line="240" w:lineRule="auto" w:after="20"/>
            </w:pPr>
            <w:r>
              <w:rPr>
                <w:sz w:val="20"/>
              </w:rPr>
              <w:t xml:space="preserve">0.493, 0.433</w:t>
            </w:r>
          </w:p>
        </w:tc>
        <w:tc>
          <w:tcPr>
            <w:tcW w:type="dxa" w:w="2296"/>
          </w:tcPr>
          <w:p>
            <w:pPr>
              <w:pStyle w:val="Compact"/>
              <w:spacing w:line="240" w:lineRule="auto" w:after="20"/>
            </w:pPr>
            <w:r>
              <w:rPr>
                <w:sz w:val="20"/>
              </w:rPr>
              <w:t xml:space="preserve">0.669, 0.624</w:t>
            </w:r>
          </w:p>
        </w:tc>
      </w:tr>
      <w:tr>
        <w:trPr>
          <w:cantSplit/>
        </w:trPr>
        <w:tc>
          <w:tcPr>
            <w:tcW w:type="dxa" w:w="4707"/>
          </w:tcPr>
          <w:p>
            <w:pPr>
              <w:pStyle w:val="Compact"/>
              <w:spacing w:line="240" w:lineRule="auto" w:after="20"/>
            </w:pPr>
            <w:r>
              <w:rPr>
                <w:sz w:val="20"/>
              </w:rPr>
              <w:t xml:space="preserve">rank of 20 on the collar, from the bottom</w:t>
            </w:r>
          </w:p>
        </w:tc>
        <w:tc>
          <w:tcPr>
            <w:tcW w:type="dxa" w:w="2067"/>
          </w:tcPr>
          <w:p>
            <w:pPr>
              <w:pStyle w:val="Compact"/>
              <w:spacing w:line="240" w:lineRule="auto" w:after="20"/>
            </w:pPr>
            <w:r>
              <w:rPr>
                <w:sz w:val="20"/>
              </w:rPr>
              <w:t xml:space="preserve">4th, 2nd</w:t>
            </w:r>
          </w:p>
        </w:tc>
        <w:tc>
          <w:tcPr>
            <w:tcW w:type="dxa" w:w="2296"/>
          </w:tcPr>
          <w:p>
            <w:pPr>
              <w:pStyle w:val="Compact"/>
              <w:spacing w:line="240" w:lineRule="auto" w:after="20"/>
            </w:pPr>
            <w:r>
              <w:rPr>
                <w:sz w:val="20"/>
              </w:rPr>
              <w:t xml:space="preserve">16th, 12th</w:t>
            </w:r>
          </w:p>
        </w:tc>
      </w:tr>
      <w:tr>
        <w:trPr>
          <w:cantSplit/>
        </w:trPr>
        <w:tc>
          <w:tcPr>
            <w:tcW w:type="dxa" w:w="4707"/>
          </w:tcPr>
          <w:p>
            <w:pPr>
              <w:pStyle w:val="Compact"/>
              <w:spacing w:line="240" w:lineRule="auto" w:after="20"/>
            </w:pPr>
            <w:r>
              <w:rPr>
                <w:sz w:val="20"/>
              </w:rPr>
              <w:t xml:space="preserve">target cells inside the AoA</w:t>
            </w:r>
          </w:p>
        </w:tc>
        <w:tc>
          <w:tcPr>
            <w:tcW w:type="dxa" w:w="2067"/>
          </w:tcPr>
          <w:p>
            <w:pPr>
              <w:pStyle w:val="Compact"/>
              <w:spacing w:line="240" w:lineRule="auto" w:after="20"/>
            </w:pPr>
            <w:r>
              <w:rPr>
                <w:sz w:val="20"/>
              </w:rPr>
              <w:t xml:space="preserve">0.876, 0.531</w:t>
            </w:r>
          </w:p>
        </w:tc>
        <w:tc>
          <w:tcPr>
            <w:tcW w:type="dxa" w:w="2296"/>
          </w:tcPr>
          <w:p>
            <w:pPr>
              <w:pStyle w:val="Compact"/>
              <w:spacing w:line="240" w:lineRule="auto" w:after="20"/>
            </w:pPr>
            <w:r>
              <w:rPr>
                <w:sz w:val="20"/>
              </w:rPr>
              <w:t xml:space="preserve">n/a</w:t>
            </w:r>
          </w:p>
        </w:tc>
      </w:tr>
    </w:tbl>
    <w:bookmarkEnd w:id="53"/>
    <w:bookmarkEnd w:id="54"/>
    <w:bookmarkStart w:id="69" w:name="s3-protocol-detail-and-limitations"/>
    <w:p>
      <w:pPr>
        <w:pStyle w:val="Heading1"/>
      </w:pPr>
      <w:r>
        <w:t xml:space="preserve">S3 Protocol detail and limitations</w:t>
      </w:r>
    </w:p>
    <w:p>
      <w:pPr>
        <w:pStyle w:val="FirstParagraph"/>
      </w:pPr>
      <w:r>
        <w:t xml:space="preserve">These protocols are given here in full. They are needed only to check the related results, not to</w:t>
      </w:r>
      <w:r>
        <w:t xml:space="preserve"> </w:t>
      </w:r>
      <w:r>
        <w:t xml:space="preserve">follow the main argument. Sections 3.2 to 3.4, 3.7, 3.9, 3.10, 3.13 and 3.14 summarise them.</w:t>
      </w:r>
    </w:p>
    <w:bookmarkStart w:id="58" w:name="X7e7b212c5d054fdf29ae47676c209a07da91ef2"/>
    <w:p>
      <w:pPr>
        <w:pStyle w:val="Heading2"/>
      </w:pPr>
      <w:r>
        <w:t xml:space="preserve">S3.1 Burned-area label, the reconstructed analysis grid, and the admissibility gate</w:t>
      </w:r>
    </w:p>
    <w:p>
      <w:pPr>
        <w:pStyle w:val="FirstParagraph"/>
      </w:pPr>
      <w:r>
        <w:t xml:space="preserve">Labels come from MODIS MCD64A1 Collection 6.1 (</w:t>
      </w:r>
      <w:r>
        <w:rPr>
          <w:rStyle w:val="VerbatimChar"/>
        </w:rPr>
        <w:t xml:space="preserve">MODIS/061/MCD64A1</w:t>
      </w:r>
      <w:r>
        <w:t xml:space="preserve">), retrieved through Google Earth</w:t>
      </w:r>
      <w:r>
        <w:t xml:space="preserve"> </w:t>
      </w:r>
      <w:r>
        <w:t xml:space="preserve">Engine</w:t>
      </w:r>
      <w:r>
        <w:t xml:space="preserve"> </w:t>
      </w:r>
      <w:r>
        <w:t xml:space="preserve">(Gorelick et al. 2017)</w:t>
      </w:r>
      <w:r>
        <w:t xml:space="preserve">. Its omission and commission errors</w:t>
      </w:r>
      <w:r>
        <w:t xml:space="preserve"> </w:t>
      </w:r>
      <w:r>
        <w:t xml:space="preserve">(Boschetti et al. 2019)</w:t>
      </w:r>
      <w:r>
        <w:t xml:space="preserve"> </w:t>
      </w:r>
      <w:r>
        <w:t xml:space="preserve">limit every model here.</w:t>
      </w:r>
      <w:r>
        <w:t xml:space="preserve"> </w:t>
      </w:r>
      <w:r>
        <w:t xml:space="preserve">The product is exported onto the 30 m EPSG:4326 reference grid used by the rest of the pipeline. Each</w:t>
      </w:r>
      <w:r>
        <w:t xml:space="preserve"> </w:t>
      </w:r>
      <w:r>
        <w:t xml:space="preserve">native ~500 m observation is therefore copied to the 30 m pixels below it.</w:t>
      </w:r>
    </w:p>
    <w:p>
      <w:pPr>
        <w:pStyle w:val="BodyText"/>
      </w:pPr>
      <w:r>
        <w:t xml:space="preserve">The analysis grid is therefore</w:t>
      </w:r>
      <w:r>
        <w:t xml:space="preserve"> </w:t>
      </w:r>
      <w:r>
        <w:rPr>
          <w:b/>
          <w:bCs/>
        </w:rPr>
        <w:t xml:space="preserve">reconstructed, not native</w:t>
      </w:r>
      <w:r>
        <w:t xml:space="preserve">. The 30 m grid is divided into</w:t>
      </w:r>
      <w:r>
        <w:t xml:space="preserve"> </w:t>
      </w:r>
      <w:r>
        <w:t xml:space="preserve">non-overlapping blocks of</w:t>
      </w:r>
      <w:r>
        <w:t xml:space="preserve"> </w:t>
      </w:r>
      <w:r>
        <w:rPr>
          <w:rStyle w:val="VerbatimChar"/>
        </w:rPr>
        <w:t xml:space="preserve">round(500 / 30) = 17 × 17</w:t>
      </w:r>
      <w:r>
        <w:t xml:space="preserve"> </w:t>
      </w:r>
      <w:r>
        <w:t xml:space="preserve">pixels, which gives a nominal cell edge of</w:t>
      </w:r>
      <w:r>
        <w:t xml:space="preserve"> </w:t>
      </w:r>
      <w:r>
        <w:t xml:space="preserve">510 m. Each cell is identified by its block indices</w:t>
      </w:r>
      <w:r>
        <w:t xml:space="preserve"> </w:t>
      </w:r>
      <w:r>
        <w:rPr>
          <w:rStyle w:val="VerbatimChar"/>
        </w:rPr>
        <w:t xml:space="preserve">row_500m</w:t>
      </w:r>
      <w:r>
        <w:t xml:space="preserve"> </w:t>
      </w:r>
      <w:r>
        <w:t xml:space="preserve">and</w:t>
      </w:r>
      <w:r>
        <w:t xml:space="preserve"> </w:t>
      </w:r>
      <w:r>
        <w:rPr>
          <w:rStyle w:val="VerbatimChar"/>
        </w:rPr>
        <w:t xml:space="preserve">col_500m</w:t>
      </w:r>
      <w:r>
        <w:t xml:space="preserve">. This approximates the</w:t>
      </w:r>
      <w:r>
        <w:t xml:space="preserve"> </w:t>
      </w:r>
      <w:r>
        <w:t xml:space="preserve">MODIS sinusoidal cell but does not reproduce it, because it is anchored to the Landsat/EPSG:4326</w:t>
      </w:r>
      <w:r>
        <w:t xml:space="preserve"> </w:t>
      </w:r>
      <w:r>
        <w:t xml:space="preserve">reference grid. Blocks at the edges are cut. The cell is square in degrees but not on the ground:</w:t>
      </w:r>
      <w:r>
        <w:t xml:space="preserve"> </w:t>
      </w:r>
      <w:r>
        <w:t xml:space="preserve">about 510 m from north to south and 390 to 407 m from east to west. Its area is therefore 0.199 to</w:t>
      </w:r>
      <w:r>
        <w:t xml:space="preserve"> </w:t>
      </w:r>
      <w:r>
        <w:t xml:space="preserve">0.208 km², against 0.215 km² for the native MODIS cell (463 m edge). Every block size in this paper</w:t>
      </w:r>
      <w:r>
        <w:t xml:space="preserve"> </w:t>
      </w:r>
      <w:r>
        <w:t xml:space="preserve">refers to the north-south dimension. The collar step of 0.45 km per cell (Section 3.12) lies between</w:t>
      </w:r>
      <w:r>
        <w:t xml:space="preserve"> </w:t>
      </w:r>
      <w:r>
        <w:t xml:space="preserve">the two cell dimensions, so collar radii are nominal to within about 15 %.</w:t>
      </w:r>
    </w:p>
    <w:p>
      <w:pPr>
        <w:pStyle w:val="BodyText"/>
      </w:pPr>
      <w:r>
        <w:t xml:space="preserve">The burn date of a cell is the</w:t>
      </w:r>
      <w:r>
        <w:t xml:space="preserve"> </w:t>
      </w:r>
      <w:r>
        <w:rPr>
          <w:b/>
          <w:bCs/>
        </w:rPr>
        <w:t xml:space="preserve">mode</w:t>
      </w:r>
      <w:r>
        <w:t xml:space="preserve"> </w:t>
      </w:r>
      <w:r>
        <w:t xml:space="preserve">of the burned sub-pixel day-of-year values in the block, and</w:t>
      </w:r>
      <w:r>
        <w:t xml:space="preserve"> </w:t>
      </w:r>
      <w:r>
        <w:t xml:space="preserve">it is tested against the label window of the region. The exported raster has no burned pixels outside</w:t>
      </w:r>
      <w:r>
        <w:t xml:space="preserve"> </w:t>
      </w:r>
      <w:r>
        <w:t xml:space="preserve">the window, so in this dataset one burned sub-pixel inside the window makes the cell burned. This can</w:t>
      </w:r>
      <w:r>
        <w:t xml:space="preserve"> </w:t>
      </w:r>
      <w:r>
        <w:t xml:space="preserve">extend each scar by up to one cell at its edge, and it can mark a water cell as burned where the</w:t>
      </w:r>
      <w:r>
        <w:t xml:space="preserve"> </w:t>
      </w:r>
      <w:r>
        <w:t xml:space="preserve">product does. The primary population keeps only cells dominated by natural vegetation, so water is</w:t>
      </w:r>
      <w:r>
        <w:t xml:space="preserve"> </w:t>
      </w:r>
      <w:r>
        <w:t xml:space="preserve">excluded. The fraction of burned sub-pixels that agree with the modal date is recorded as</w:t>
      </w:r>
      <w:r>
        <w:t xml:space="preserve"> </w:t>
      </w:r>
      <w:r>
        <w:rPr>
          <w:rStyle w:val="VerbatimChar"/>
        </w:rPr>
        <w:t xml:space="preserve">burn_date_pixel_agreement_fraction</w:t>
      </w:r>
      <w:r>
        <w:t xml:space="preserve">, but no threshold is applied. The label never affects whether a</w:t>
      </w:r>
      <w:r>
        <w:t xml:space="preserve"> </w:t>
      </w:r>
      <w:r>
        <w:t xml:space="preserve">cell is modelled: unburned, all-no-data and out-of-window cells all stay in the negative class.</w:t>
      </w:r>
    </w:p>
    <w:p>
      <w:pPr>
        <w:pStyle w:val="BodyText"/>
      </w:pPr>
      <w:r>
        <w:t xml:space="preserve">Earlier burning is handled differently in each region; this is given in Section S3.1.1. The only</w:t>
      </w:r>
      <w:r>
        <w:t xml:space="preserve"> </w:t>
      </w:r>
      <w:r>
        <w:t xml:space="preserve">historical exclusion applied by design removes the 2021 Muğla scar from the 2022 experiment of</w:t>
      </w:r>
      <w:r>
        <w:t xml:space="preserve"> </w:t>
      </w:r>
      <w:r>
        <w:t xml:space="preserve">Section 3.14.</w:t>
      </w:r>
    </w:p>
    <w:p>
      <w:pPr>
        <w:pStyle w:val="BodyText"/>
      </w:pPr>
      <w:r>
        <w:t xml:space="preserve">Before any modelling, each region passes a gate that asks one question: what fraction of the burned</w:t>
      </w:r>
      <w:r>
        <w:t xml:space="preserve"> </w:t>
      </w:r>
      <w:r>
        <w:t xml:space="preserve">cells is dominated by natural vegetation? A region is admitted as a wildfire case when this fraction</w:t>
      </w:r>
      <w:r>
        <w:t xml:space="preserve"> </w:t>
      </w:r>
      <w:r>
        <w:t xml:space="preserve">is at least 0.50 and at least 30 burned cells are present. It is rejected as a cropland control when</w:t>
      </w:r>
      <w:r>
        <w:t xml:space="preserve"> </w:t>
      </w:r>
      <w:r>
        <w:t xml:space="preserve">the cropland fraction is at least 0.50. The gate uses ESA WorldCover classes aggregated to the same</w:t>
      </w:r>
      <w:r>
        <w:t xml:space="preserve"> </w:t>
      </w:r>
      <w:r>
        <w:t xml:space="preserve">cells. It separates burning of natural fuel from stubble burning after harvest, which MCD64A1 does</w:t>
      </w:r>
      <w:r>
        <w:t xml:space="preserve"> </w:t>
      </w:r>
      <w:r>
        <w:t xml:space="preserve">not distinguish. The results are given in Section 4.1.</w:t>
      </w:r>
    </w:p>
    <w:bookmarkStart w:id="55" w:name="X0187690c157fe859747169913e873649982fd09"/>
    <w:p>
      <w:pPr>
        <w:pStyle w:val="Heading3"/>
      </w:pPr>
      <w:r>
        <w:t xml:space="preserve">S3.1.1 Pre-label and historical burning, by region</w:t>
      </w:r>
    </w:p>
    <w:p>
      <w:pPr>
        <w:pStyle w:val="FirstParagraph"/>
      </w:pPr>
      <w:r>
        <w:t xml:space="preserve">Two kinds of earlier burning can affect a label.</w:t>
      </w:r>
      <w:r>
        <w:t xml:space="preserve"> </w:t>
      </w:r>
      <w:r>
        <w:rPr>
          <w:b/>
          <w:bCs/>
        </w:rPr>
        <w:t xml:space="preserve">Pre-label burning</w:t>
      </w:r>
      <w:r>
        <w:t xml:space="preserve"> </w:t>
      </w:r>
      <w:r>
        <w:t xml:space="preserve">is burning inside the</w:t>
      </w:r>
      <w:r>
        <w:t xml:space="preserve"> </w:t>
      </w:r>
      <w:r>
        <w:t xml:space="preserve">predictor window of the region, which the pipeline can remove.</w:t>
      </w:r>
      <w:r>
        <w:t xml:space="preserve"> </w:t>
      </w:r>
      <w:r>
        <w:rPr>
          <w:b/>
          <w:bCs/>
        </w:rPr>
        <w:t xml:space="preserve">Historical burning</w:t>
      </w:r>
      <w:r>
        <w:t xml:space="preserve"> </w:t>
      </w:r>
      <w:r>
        <w:t xml:space="preserve">is burning in</w:t>
      </w:r>
      <w:r>
        <w:t xml:space="preserve"> </w:t>
      </w:r>
      <w:r>
        <w:t xml:space="preserve">the five previous years, which no region screens for. Table S34 gives both, recomputed from the</w:t>
      </w:r>
      <w:r>
        <w:t xml:space="preserve"> </w:t>
      </w:r>
      <w:r>
        <w:t xml:space="preserve">MCD64A1 export of each region (</w:t>
      </w:r>
      <w:r>
        <w:rPr>
          <w:rStyle w:val="VerbatimChar"/>
        </w:rPr>
        <w:t xml:space="preserve">paper/code/ems_labels_1_prelabel.py</w:t>
      </w:r>
      <w:r>
        <w:t xml:space="preserve">,</w:t>
      </w:r>
      <w:r>
        <w:t xml:space="preserve"> </w:t>
      </w:r>
      <w:r>
        <w:rPr>
          <w:rStyle w:val="VerbatimChar"/>
        </w:rPr>
        <w:t xml:space="preserve">ems_labels_2_history.py</w:t>
      </w:r>
      <w:r>
        <w:t xml:space="preserve">;</w:t>
      </w:r>
      <w:r>
        <w:t xml:space="preserve"> </w:t>
      </w:r>
      <w:r>
        <w:t xml:space="preserve">outputs</w:t>
      </w:r>
      <w:r>
        <w:t xml:space="preserve"> </w:t>
      </w:r>
      <w:r>
        <w:rPr>
          <w:rStyle w:val="VerbatimChar"/>
        </w:rPr>
        <w:t xml:space="preserve">paper/labelfix_rerun/labels/r1_prelabel.json</w:t>
      </w:r>
      <w:r>
        <w:t xml:space="preserve">,</w:t>
      </w:r>
      <w:r>
        <w:t xml:space="preserve"> </w:t>
      </w:r>
      <w:r>
        <w:rPr>
          <w:rStyle w:val="VerbatimChar"/>
        </w:rPr>
        <w:t xml:space="preserve">r2_history.json</w:t>
      </w:r>
      <w:r>
        <w:t xml:space="preserve">).</w:t>
      </w:r>
    </w:p>
    <w:p>
      <w:pPr>
        <w:pStyle w:val="BodyText"/>
        <w:keepNext/>
      </w:pPr>
      <w:r>
        <w:rPr>
          <w:b/>
          <w:bCs/>
        </w:rPr>
        <w:t xml:space="preserve">Table S34. Earlier burning by region, natural-vegetation population.</w:t>
      </w:r>
    </w:p>
    <w:tbl>
      <w:tblPr>
        <w:tblStyle w:val="Table"/>
        <w:tblW w:type="auto" w:w="0"/>
        <w:tblLook w:firstRow="1" w:lastRow="0" w:firstColumn="0" w:lastColumn="0" w:noHBand="0" w:noVBand="0" w:val="0020"/>
      </w:tblPr>
      <w:tblGrid>
        <w:gridCol w:w="840"/>
        <w:gridCol w:w="1904"/>
        <w:gridCol w:w="2407"/>
        <w:gridCol w:w="1904"/>
        <w:gridCol w:w="2016"/>
      </w:tblGrid>
      <w:tr>
        <w:trPr>
          <w:tblHeader w:val="on"/>
          <w:cantSplit/>
        </w:trPr>
        <w:tc>
          <w:tcPr>
            <w:tcW w:type="dxa" w:w="840"/>
          </w:tcPr>
          <w:p>
            <w:pPr>
              <w:pStyle w:val="Compact"/>
              <w:spacing w:line="240" w:lineRule="auto" w:after="20"/>
            </w:pPr>
            <w:r>
              <w:rPr>
                <w:sz w:val="20"/>
              </w:rPr>
              <w:t xml:space="preserve">Region</w:t>
            </w:r>
          </w:p>
        </w:tc>
        <w:tc>
          <w:tcPr>
            <w:tcW w:type="dxa" w:w="1904"/>
          </w:tcPr>
          <w:p>
            <w:pPr>
              <w:pStyle w:val="Compact"/>
              <w:spacing w:line="240" w:lineRule="auto" w:after="20"/>
              <w:jc w:val="right"/>
            </w:pPr>
            <w:r>
              <w:rPr>
                <w:sz w:val="20"/>
              </w:rPr>
              <w:t xml:space="preserve">Pre-label cells removed</w:t>
            </w:r>
          </w:p>
        </w:tc>
        <w:tc>
          <w:tcPr>
            <w:tcW w:type="dxa" w:w="2407"/>
          </w:tcPr>
          <w:p>
            <w:pPr>
              <w:pStyle w:val="Compact"/>
              <w:spacing w:line="240" w:lineRule="auto" w:after="20"/>
              <w:jc w:val="right"/>
            </w:pPr>
            <w:r>
              <w:rPr>
                <w:sz w:val="20"/>
              </w:rPr>
              <w:t xml:space="preserve">Pre-label burned cells retained</w:t>
            </w:r>
          </w:p>
        </w:tc>
        <w:tc>
          <w:tcPr>
            <w:tcW w:type="dxa" w:w="1904"/>
          </w:tcPr>
          <w:p>
            <w:pPr>
              <w:pStyle w:val="Compact"/>
              <w:spacing w:line="240" w:lineRule="auto" w:after="20"/>
              <w:jc w:val="right"/>
            </w:pPr>
            <w:r>
              <w:rPr>
                <w:sz w:val="20"/>
              </w:rPr>
              <w:t xml:space="preserve">Historical-burn cells (five years)</w:t>
            </w:r>
          </w:p>
        </w:tc>
        <w:tc>
          <w:tcPr>
            <w:tcW w:type="dxa" w:w="2016"/>
          </w:tcPr>
          <w:p>
            <w:pPr>
              <w:pStyle w:val="Compact"/>
              <w:spacing w:line="240" w:lineRule="auto" w:after="20"/>
              <w:jc w:val="right"/>
            </w:pPr>
            <w:r>
              <w:rPr>
                <w:sz w:val="20"/>
              </w:rPr>
              <w:t xml:space="preserve">… of which burned again in the event</w:t>
            </w:r>
          </w:p>
        </w:tc>
      </w:tr>
      <w:tr>
        <w:trPr>
          <w:cantSplit/>
        </w:trPr>
        <w:tc>
          <w:tcPr>
            <w:tcW w:type="dxa" w:w="840"/>
          </w:tcPr>
          <w:p>
            <w:pPr>
              <w:pStyle w:val="Compact"/>
              <w:spacing w:line="240" w:lineRule="auto" w:after="20"/>
            </w:pPr>
            <w:r>
              <w:rPr>
                <w:sz w:val="20"/>
              </w:rPr>
              <w:t xml:space="preserve">Manavgat 2021</w:t>
            </w:r>
          </w:p>
        </w:tc>
        <w:tc>
          <w:tcPr>
            <w:tcW w:type="dxa" w:w="1904"/>
          </w:tcPr>
          <w:p>
            <w:pPr>
              <w:pStyle w:val="Compact"/>
              <w:spacing w:line="240" w:lineRule="auto" w:after="20"/>
              <w:jc w:val="right"/>
            </w:pPr>
            <w:r>
              <w:rPr>
                <w:sz w:val="20"/>
              </w:rPr>
              <w:t xml:space="preserve">none needed (no pre-label burning)</w:t>
            </w:r>
          </w:p>
        </w:tc>
        <w:tc>
          <w:tcPr>
            <w:tcW w:type="dxa" w:w="2407"/>
          </w:tcPr>
          <w:p>
            <w:pPr>
              <w:pStyle w:val="Compact"/>
              <w:spacing w:line="240" w:lineRule="auto" w:after="20"/>
              <w:jc w:val="right"/>
            </w:pPr>
            <w:r>
              <w:rPr>
                <w:sz w:val="20"/>
              </w:rPr>
              <w:t xml:space="preserve">0</w:t>
            </w:r>
          </w:p>
        </w:tc>
        <w:tc>
          <w:tcPr>
            <w:tcW w:type="dxa" w:w="1904"/>
          </w:tcPr>
          <w:p>
            <w:pPr>
              <w:pStyle w:val="Compact"/>
              <w:spacing w:line="240" w:lineRule="auto" w:after="20"/>
              <w:jc w:val="right"/>
            </w:pPr>
            <w:r>
              <w:rPr>
                <w:sz w:val="20"/>
              </w:rPr>
              <w:t xml:space="preserve">0</w:t>
            </w:r>
          </w:p>
        </w:tc>
        <w:tc>
          <w:tcPr>
            <w:tcW w:type="dxa" w:w="2016"/>
          </w:tcPr>
          <w:p>
            <w:pPr>
              <w:pStyle w:val="Compact"/>
              <w:spacing w:line="240" w:lineRule="auto" w:after="20"/>
              <w:jc w:val="right"/>
            </w:pPr>
            <w:r>
              <w:rPr>
                <w:sz w:val="20"/>
              </w:rPr>
              <w:t xml:space="preserve">0</w:t>
            </w:r>
          </w:p>
        </w:tc>
      </w:tr>
      <w:tr>
        <w:trPr>
          <w:cantSplit/>
        </w:trPr>
        <w:tc>
          <w:tcPr>
            <w:tcW w:type="dxa" w:w="840"/>
          </w:tcPr>
          <w:p>
            <w:pPr>
              <w:pStyle w:val="Compact"/>
              <w:spacing w:line="240" w:lineRule="auto" w:after="20"/>
            </w:pPr>
            <w:r>
              <w:rPr>
                <w:sz w:val="20"/>
              </w:rPr>
              <w:t xml:space="preserve">Bejís 2022</w:t>
            </w:r>
          </w:p>
        </w:tc>
        <w:tc>
          <w:tcPr>
            <w:tcW w:type="dxa" w:w="1904"/>
          </w:tcPr>
          <w:p>
            <w:pPr>
              <w:pStyle w:val="Compact"/>
              <w:spacing w:line="240" w:lineRule="auto" w:after="20"/>
              <w:jc w:val="right"/>
            </w:pPr>
            <w:r>
              <w:rPr>
                <w:sz w:val="20"/>
              </w:rPr>
              <w:t xml:space="preserve">exclusion not applied</w:t>
            </w:r>
          </w:p>
        </w:tc>
        <w:tc>
          <w:tcPr>
            <w:tcW w:type="dxa" w:w="2407"/>
          </w:tcPr>
          <w:p>
            <w:pPr>
              <w:pStyle w:val="Compact"/>
              <w:spacing w:line="240" w:lineRule="auto" w:after="20"/>
              <w:jc w:val="right"/>
            </w:pPr>
            <w:r>
              <w:rPr>
                <w:sz w:val="20"/>
              </w:rPr>
              <w:t xml:space="preserve">48 (49 in all valid cells; 10 burned again)</w:t>
            </w:r>
          </w:p>
        </w:tc>
        <w:tc>
          <w:tcPr>
            <w:tcW w:type="dxa" w:w="1904"/>
          </w:tcPr>
          <w:p>
            <w:pPr>
              <w:pStyle w:val="Compact"/>
              <w:spacing w:line="240" w:lineRule="auto" w:after="20"/>
              <w:jc w:val="right"/>
            </w:pPr>
            <w:r>
              <w:rPr>
                <w:sz w:val="20"/>
              </w:rPr>
              <w:t xml:space="preserve">163</w:t>
            </w:r>
          </w:p>
        </w:tc>
        <w:tc>
          <w:tcPr>
            <w:tcW w:type="dxa" w:w="2016"/>
          </w:tcPr>
          <w:p>
            <w:pPr>
              <w:pStyle w:val="Compact"/>
              <w:spacing w:line="240" w:lineRule="auto" w:after="20"/>
              <w:jc w:val="right"/>
            </w:pPr>
            <w:r>
              <w:rPr>
                <w:sz w:val="20"/>
              </w:rPr>
              <w:t xml:space="preserve">0</w:t>
            </w:r>
          </w:p>
        </w:tc>
      </w:tr>
      <w:tr>
        <w:trPr>
          <w:cantSplit/>
        </w:trPr>
        <w:tc>
          <w:tcPr>
            <w:tcW w:type="dxa" w:w="840"/>
          </w:tcPr>
          <w:p>
            <w:pPr>
              <w:pStyle w:val="Compact"/>
              <w:spacing w:line="240" w:lineRule="auto" w:after="20"/>
            </w:pPr>
            <w:r>
              <w:rPr>
                <w:sz w:val="20"/>
              </w:rPr>
              <w:t xml:space="preserve">Muğla 2021</w:t>
            </w:r>
          </w:p>
        </w:tc>
        <w:tc>
          <w:tcPr>
            <w:tcW w:type="dxa" w:w="1904"/>
          </w:tcPr>
          <w:p>
            <w:pPr>
              <w:pStyle w:val="Compact"/>
              <w:spacing w:line="240" w:lineRule="auto" w:after="20"/>
              <w:jc w:val="right"/>
            </w:pPr>
            <w:r>
              <w:rPr>
                <w:sz w:val="20"/>
              </w:rPr>
              <w:t xml:space="preserve">49</w:t>
            </w:r>
          </w:p>
        </w:tc>
        <w:tc>
          <w:tcPr>
            <w:tcW w:type="dxa" w:w="2407"/>
          </w:tcPr>
          <w:p>
            <w:pPr>
              <w:pStyle w:val="Compact"/>
              <w:spacing w:line="240" w:lineRule="auto" w:after="20"/>
              <w:jc w:val="right"/>
            </w:pPr>
            <w:r>
              <w:rPr>
                <w:sz w:val="20"/>
              </w:rPr>
              <w:t xml:space="preserve">0</w:t>
            </w:r>
          </w:p>
        </w:tc>
        <w:tc>
          <w:tcPr>
            <w:tcW w:type="dxa" w:w="1904"/>
          </w:tcPr>
          <w:p>
            <w:pPr>
              <w:pStyle w:val="Compact"/>
              <w:spacing w:line="240" w:lineRule="auto" w:after="20"/>
              <w:jc w:val="right"/>
            </w:pPr>
            <w:r>
              <w:rPr>
                <w:sz w:val="20"/>
              </w:rPr>
              <w:t xml:space="preserve">194</w:t>
            </w:r>
          </w:p>
        </w:tc>
        <w:tc>
          <w:tcPr>
            <w:tcW w:type="dxa" w:w="2016"/>
          </w:tcPr>
          <w:p>
            <w:pPr>
              <w:pStyle w:val="Compact"/>
              <w:spacing w:line="240" w:lineRule="auto" w:after="20"/>
              <w:jc w:val="right"/>
            </w:pPr>
            <w:r>
              <w:rPr>
                <w:sz w:val="20"/>
              </w:rPr>
              <w:t xml:space="preserve">25</w:t>
            </w:r>
          </w:p>
        </w:tc>
      </w:tr>
      <w:tr>
        <w:trPr>
          <w:cantSplit/>
        </w:trPr>
        <w:tc>
          <w:tcPr>
            <w:tcW w:type="dxa" w:w="840"/>
          </w:tcPr>
          <w:p>
            <w:pPr>
              <w:pStyle w:val="Compact"/>
              <w:spacing w:line="240" w:lineRule="auto" w:after="20"/>
            </w:pPr>
            <w:r>
              <w:rPr>
                <w:sz w:val="20"/>
              </w:rPr>
              <w:t xml:space="preserve">North Evia 2021</w:t>
            </w:r>
          </w:p>
        </w:tc>
        <w:tc>
          <w:tcPr>
            <w:tcW w:type="dxa" w:w="1904"/>
          </w:tcPr>
          <w:p>
            <w:pPr>
              <w:pStyle w:val="Compact"/>
              <w:spacing w:line="240" w:lineRule="auto" w:after="20"/>
              <w:jc w:val="right"/>
            </w:pPr>
            <w:r>
              <w:rPr>
                <w:sz w:val="20"/>
              </w:rPr>
              <w:t xml:space="preserve">16</w:t>
            </w:r>
          </w:p>
        </w:tc>
        <w:tc>
          <w:tcPr>
            <w:tcW w:type="dxa" w:w="2407"/>
          </w:tcPr>
          <w:p>
            <w:pPr>
              <w:pStyle w:val="Compact"/>
              <w:spacing w:line="240" w:lineRule="auto" w:after="20"/>
              <w:jc w:val="right"/>
            </w:pPr>
            <w:r>
              <w:rPr>
                <w:sz w:val="20"/>
              </w:rPr>
              <w:t xml:space="preserve">0</w:t>
            </w:r>
          </w:p>
        </w:tc>
        <w:tc>
          <w:tcPr>
            <w:tcW w:type="dxa" w:w="1904"/>
          </w:tcPr>
          <w:p>
            <w:pPr>
              <w:pStyle w:val="Compact"/>
              <w:spacing w:line="240" w:lineRule="auto" w:after="20"/>
              <w:jc w:val="right"/>
            </w:pPr>
            <w:r>
              <w:rPr>
                <w:sz w:val="20"/>
              </w:rPr>
              <w:t xml:space="preserve">366</w:t>
            </w:r>
          </w:p>
        </w:tc>
        <w:tc>
          <w:tcPr>
            <w:tcW w:type="dxa" w:w="2016"/>
          </w:tcPr>
          <w:p>
            <w:pPr>
              <w:pStyle w:val="Compact"/>
              <w:spacing w:line="240" w:lineRule="auto" w:after="20"/>
              <w:jc w:val="right"/>
            </w:pPr>
            <w:r>
              <w:rPr>
                <w:sz w:val="20"/>
              </w:rPr>
              <w:t xml:space="preserve">88</w:t>
            </w:r>
          </w:p>
        </w:tc>
      </w:tr>
      <w:tr>
        <w:trPr>
          <w:cantSplit/>
        </w:trPr>
        <w:tc>
          <w:tcPr>
            <w:tcW w:type="dxa" w:w="840"/>
          </w:tcPr>
          <w:p>
            <w:pPr>
              <w:pStyle w:val="Compact"/>
              <w:spacing w:line="240" w:lineRule="auto" w:after="20"/>
            </w:pPr>
            <w:r>
              <w:rPr>
                <w:sz w:val="20"/>
              </w:rPr>
              <w:t xml:space="preserve">Montiferru 2021</w:t>
            </w:r>
          </w:p>
        </w:tc>
        <w:tc>
          <w:tcPr>
            <w:tcW w:type="dxa" w:w="1904"/>
          </w:tcPr>
          <w:p>
            <w:pPr>
              <w:pStyle w:val="Compact"/>
              <w:spacing w:line="240" w:lineRule="auto" w:after="20"/>
              <w:jc w:val="right"/>
            </w:pPr>
            <w:r>
              <w:rPr>
                <w:sz w:val="20"/>
              </w:rPr>
              <w:t xml:space="preserve">61</w:t>
            </w:r>
          </w:p>
        </w:tc>
        <w:tc>
          <w:tcPr>
            <w:tcW w:type="dxa" w:w="2407"/>
          </w:tcPr>
          <w:p>
            <w:pPr>
              <w:pStyle w:val="Compact"/>
              <w:spacing w:line="240" w:lineRule="auto" w:after="20"/>
              <w:jc w:val="right"/>
            </w:pPr>
            <w:r>
              <w:rPr>
                <w:sz w:val="20"/>
              </w:rPr>
              <w:t xml:space="preserve">0</w:t>
            </w:r>
          </w:p>
        </w:tc>
        <w:tc>
          <w:tcPr>
            <w:tcW w:type="dxa" w:w="1904"/>
          </w:tcPr>
          <w:p>
            <w:pPr>
              <w:pStyle w:val="Compact"/>
              <w:spacing w:line="240" w:lineRule="auto" w:after="20"/>
              <w:jc w:val="right"/>
            </w:pPr>
            <w:r>
              <w:rPr>
                <w:sz w:val="20"/>
              </w:rPr>
              <w:t xml:space="preserve">58</w:t>
            </w:r>
          </w:p>
        </w:tc>
        <w:tc>
          <w:tcPr>
            <w:tcW w:type="dxa" w:w="2016"/>
          </w:tcPr>
          <w:p>
            <w:pPr>
              <w:pStyle w:val="Compact"/>
              <w:spacing w:line="240" w:lineRule="auto" w:after="20"/>
              <w:jc w:val="right"/>
            </w:pPr>
            <w:r>
              <w:rPr>
                <w:sz w:val="20"/>
              </w:rPr>
              <w:t xml:space="preserve">32</w:t>
            </w:r>
          </w:p>
        </w:tc>
      </w:tr>
    </w:tbl>
    <w:p>
      <w:pPr>
        <w:pStyle w:val="BodyText"/>
      </w:pPr>
      <w:r>
        <w:t xml:space="preserve">Excluding the historically burned cells lowers the mean paired transfer contribution from +0.007 to</w:t>
      </w:r>
      <w:r>
        <w:t xml:space="preserve"> </w:t>
      </w:r>
      <w:r>
        <w:t xml:space="preserve">+0.003 (at 10-cell blocking: 5 positive, 4 negative and 11 uncertain verdicts, against 6, 5 and 9).</w:t>
      </w:r>
      <w:r>
        <w:t xml:space="preserve"> </w:t>
      </w:r>
      <w:r>
        <w:t xml:space="preserve">The within-region gain stays positive with interval support in every region: +0.062 (no change),</w:t>
      </w:r>
      <w:r>
        <w:t xml:space="preserve"> </w:t>
      </w:r>
      <w:r>
        <w:t xml:space="preserve">+0.055, +0.088, +0.162 and +0.111 for Manavgat, Bejís, Muğla, Evia and Montiferru.</w:t>
      </w:r>
    </w:p>
    <w:bookmarkEnd w:id="55"/>
    <w:bookmarkStart w:id="56" w:name="s3.1.2-the-manavgat-label-correction"/>
    <w:p>
      <w:pPr>
        <w:pStyle w:val="Heading3"/>
      </w:pPr>
      <w:r>
        <w:t xml:space="preserve">S3.1.2 The Manavgat label correction</w:t>
      </w:r>
    </w:p>
    <w:p>
      <w:pPr>
        <w:pStyle w:val="FirstParagraph"/>
      </w:pPr>
      <w:r>
        <w:rPr>
          <w:b/>
          <w:bCs/>
        </w:rPr>
        <w:t xml:space="preserve">The Manavgat 2021 label is corrected.</w:t>
      </w:r>
      <w:r>
        <w:t xml:space="preserve"> </w:t>
      </w:r>
      <w:r>
        <w:t xml:space="preserve">The label first used for Manavgat was exported on 8 July</w:t>
      </w:r>
      <w:r>
        <w:t xml:space="preserve"> </w:t>
      </w:r>
      <w:r>
        <w:t xml:space="preserve">2026. This was before the month-alignment fix of the MCD64A1 query in the pipeline (commit 183be42,</w:t>
      </w:r>
      <w:r>
        <w:t xml:space="preserve"> </w:t>
      </w:r>
      <w:r>
        <w:t xml:space="preserve">11 July), and the export was not renewed. It therefore missed the first four days of the fire, 28 to</w:t>
      </w:r>
      <w:r>
        <w:t xml:space="preserve"> </w:t>
      </w:r>
      <w:r>
        <w:t xml:space="preserve">31 July. The error was an old export, not a code error. The corrected label only adds burned cells.</w:t>
      </w:r>
      <w:r>
        <w:t xml:space="preserve"> </w:t>
      </w:r>
      <w:r>
        <w:t xml:space="preserve">No cell that burned under the original label becomes unburned, and no predictor or validity flag</w:t>
      </w:r>
      <w:r>
        <w:t xml:space="preserve"> </w:t>
      </w:r>
      <w:r>
        <w:t xml:space="preserve">changes. In the primary population, the number of burned cells rises from 784 to 2,935. The Manavgat</w:t>
      </w:r>
      <w:r>
        <w:t xml:space="preserve"> </w:t>
      </w:r>
      <w:r>
        <w:t xml:space="preserve">outputs were re-frozen with the pipeline at commit 6381f4c. Two small changes were made: a one-line</w:t>
      </w:r>
      <w:r>
        <w:t xml:space="preserve"> </w:t>
      </w:r>
      <w:r>
        <w:t xml:space="preserve">patch to the window-closure diagnostic, and a runtime setting of the Earth Engine project</w:t>
      </w:r>
      <w:r>
        <w:t xml:space="preserve"> </w:t>
      </w:r>
      <w:r>
        <w:t xml:space="preserve">(</w:t>
      </w:r>
      <w:r>
        <w:rPr>
          <w:rStyle w:val="VerbatimChar"/>
        </w:rPr>
        <w:t xml:space="preserve">thermaltwin</w:t>
      </w:r>
      <w:r>
        <w:t xml:space="preserve">). Python 3.12.10 and scikit-learn 1.9.0 were used (versions in</w:t>
      </w:r>
      <w:r>
        <w:t xml:space="preserve"> </w:t>
      </w:r>
      <w:r>
        <w:rPr>
          <w:rStyle w:val="VerbatimChar"/>
        </w:rPr>
        <w:t xml:space="preserve">ENVIRONMENT.md</w:t>
      </w:r>
      <w:r>
        <w:t xml:space="preserve">). The</w:t>
      </w:r>
      <w:r>
        <w:t xml:space="preserve"> </w:t>
      </w:r>
      <w:r>
        <w:t xml:space="preserve">correction, the re-freeze and the control run were carried out by the corresponding author with</w:t>
      </w:r>
      <w:r>
        <w:t xml:space="preserve"> </w:t>
      </w:r>
      <w:r>
        <w:t xml:space="preserve">AI-assisted code (Section 3.13). They were not repeated by the author of the pipeline. This pipeline</w:t>
      </w:r>
      <w:r>
        <w:t xml:space="preserve"> </w:t>
      </w:r>
      <w:r>
        <w:t xml:space="preserve">version writes one extra column, a flag for burning in earlier years, and it excludes no Manavgat</w:t>
      </w:r>
      <w:r>
        <w:t xml:space="preserve"> </w:t>
      </w:r>
      <w:r>
        <w:t xml:space="preserve">cell. In a control run, the original label was re-frozen with the same code and environment. It</w:t>
      </w:r>
      <w:r>
        <w:t xml:space="preserve"> </w:t>
      </w:r>
      <w:r>
        <w:t xml:space="preserve">reproduced the published outputs to within 10⁻⁵. The exceptions are listed in the manifest: file</w:t>
      </w:r>
      <w:r>
        <w:t xml:space="preserve"> </w:t>
      </w:r>
      <w:r>
        <w:t xml:space="preserve">paths, the column list, and one older pair that differs at the level of random-forest thread</w:t>
      </w:r>
      <w:r>
        <w:t xml:space="preserve"> </w:t>
      </w:r>
      <w:r>
        <w:t xml:space="preserve">nondeterminism. Differences between the two runs are therefore caused by the label alone. The</w:t>
      </w:r>
      <w:r>
        <w:t xml:space="preserve"> </w:t>
      </w:r>
      <w:r>
        <w:t xml:space="preserve">reproduction check of Section 3.13 covers the re-frozen outputs. The manifest, hashes and scripts</w:t>
      </w:r>
      <w:r>
        <w:t xml:space="preserve"> </w:t>
      </w:r>
      <w:r>
        <w:t xml:space="preserve">are released in</w:t>
      </w:r>
      <w:r>
        <w:t xml:space="preserve"> </w:t>
      </w:r>
      <w:r>
        <w:rPr>
          <w:rStyle w:val="VerbatimChar"/>
        </w:rPr>
        <w:t xml:space="preserve">paper/data/manavgat_2021/refreeze/</w:t>
      </w:r>
      <w:r>
        <w:t xml:space="preserve">.</w:t>
      </w:r>
    </w:p>
    <w:bookmarkEnd w:id="56"/>
    <w:bookmarkStart w:id="57" w:name="s3.1.3-effect-on-table-1"/>
    <w:p>
      <w:pPr>
        <w:pStyle w:val="Heading3"/>
      </w:pPr>
      <w:r>
        <w:t xml:space="preserve">S3.1.3 Effect on Table 1</w:t>
      </w:r>
    </w:p>
    <w:p>
      <w:pPr>
        <w:pStyle w:val="FirstParagraph"/>
      </w:pPr>
      <w:r>
        <w:t xml:space="preserve">The Manavgat rows use the corrected label. It adds burned cells (784 to 2,935 in the primary</w:t>
      </w:r>
      <w:r>
        <w:t xml:space="preserve"> </w:t>
      </w:r>
      <w:r>
        <w:t xml:space="preserve">population) and changes no predictor (Section 3.2). The rows become stronger, not weaker. Absolute</w:t>
      </w:r>
      <w:r>
        <w:t xml:space="preserve"> </w:t>
      </w:r>
      <w:r>
        <w:t xml:space="preserve">AUCs rise by 0.04 to 0.11 across the three block sizes, and the gain holds at every scale. The 1 km</w:t>
      </w:r>
      <w:r>
        <w:t xml:space="preserve"> </w:t>
      </w:r>
      <w:r>
        <w:t xml:space="preserve">interval becomes narrower, from [+0.055, +0.079] to [+0.060, +0.073], because the region now has 814</w:t>
      </w:r>
      <w:r>
        <w:t xml:space="preserve"> </w:t>
      </w:r>
      <w:r>
        <w:t xml:space="preserve">blocks of 2 cells with burned cells instead of 235.</w:t>
      </w:r>
    </w:p>
    <w:bookmarkEnd w:id="57"/>
    <w:bookmarkEnd w:id="58"/>
    <w:bookmarkStart w:id="59" w:name="X14ca69bbebde8a5864f7a13a03352256b1aa046"/>
    <w:p>
      <w:pPr>
        <w:pStyle w:val="Heading2"/>
      </w:pPr>
      <w:r>
        <w:t xml:space="preserve">S3.2 Transferability diagnostics versus transfer</w:t>
      </w:r>
    </w:p>
    <w:p>
      <w:pPr>
        <w:pStyle w:val="FirstParagraph"/>
      </w:pPr>
      <w:r>
        <w:t xml:space="preserve">Twenty similarity measures from five families are each rank-correlated with the same quantity, the</w:t>
      </w:r>
      <w:r>
        <w:t xml:space="preserve"> </w:t>
      </w:r>
      <w:r>
        <w:t xml:space="preserve">raw thermal transfer AUC over the twenty ordered directions, with one common pair-based bootstrap.</w:t>
      </w:r>
      <w:r>
        <w:t xml:space="preserve"> </w:t>
      </w:r>
      <w:r>
        <w:t xml:space="preserve">The families are marginal predictor-distribution measures P(x), burned-niche overlap P(x|y=1),</w:t>
      </w:r>
      <w:r>
        <w:t xml:space="preserve"> </w:t>
      </w:r>
      <w:r>
        <w:t xml:space="preserve">burned-pattern structure P(y), and conditional feature-response direction P(y|x).</w:t>
      </w:r>
    </w:p>
    <w:p>
      <w:pPr>
        <w:pStyle w:val="BodyText"/>
      </w:pPr>
      <w:r>
        <w:t xml:space="preserve">The</w:t>
      </w:r>
      <w:r>
        <w:t xml:space="preserve"> </w:t>
      </w:r>
      <w:r>
        <w:rPr>
          <w:b/>
          <w:bCs/>
        </w:rPr>
        <w:t xml:space="preserve">marginal</w:t>
      </w:r>
      <w:r>
        <w:t xml:space="preserve"> </w:t>
      </w:r>
      <w:r>
        <w:t xml:space="preserve">family includes area-of-applicability dissimilarity in scaled, importance-weighted</w:t>
      </w:r>
      <w:r>
        <w:t xml:space="preserve"> </w:t>
      </w:r>
      <w:r>
        <w:t xml:space="preserve">predictor space</w:t>
      </w:r>
      <w:r>
        <w:t xml:space="preserve"> </w:t>
      </w:r>
      <w:r>
        <w:t xml:space="preserve">(Meyer and Pebesma 2021, 2022; Ludwig et al. 2023)</w:t>
      </w:r>
      <w:r>
        <w:t xml:space="preserve">, climatic and geographic distance, and a domain</w:t>
      </w:r>
      <w:r>
        <w:t xml:space="preserve"> </w:t>
      </w:r>
      <w:r>
        <w:t xml:space="preserve">classifier trained to separate source cells from target cells. The</w:t>
      </w:r>
      <w:r>
        <w:t xml:space="preserve"> </w:t>
      </w:r>
      <w:r>
        <w:rPr>
          <w:b/>
          <w:bCs/>
        </w:rPr>
        <w:t xml:space="preserve">niche-overlap</w:t>
      </w:r>
      <w:r>
        <w:t xml:space="preserve"> </w:t>
      </w:r>
      <w:r>
        <w:t xml:space="preserve">family includes</w:t>
      </w:r>
      <w:r>
        <w:t xml:space="preserve"> </w:t>
      </w:r>
      <w:r>
        <w:t xml:space="preserve">Schoener’s D</w:t>
      </w:r>
      <w:r>
        <w:t xml:space="preserve"> </w:t>
      </w:r>
      <w:r>
        <w:t xml:space="preserve">(Schoener 1968)</w:t>
      </w:r>
      <w:r>
        <w:t xml:space="preserve"> </w:t>
      </w:r>
      <w:r>
        <w:t xml:space="preserve">and Warren’s I</w:t>
      </w:r>
      <w:r>
        <w:t xml:space="preserve"> </w:t>
      </w:r>
      <w:r>
        <w:t xml:space="preserve">(Warren et al. 2008)</w:t>
      </w:r>
      <w:r>
        <w:t xml:space="preserve"> </w:t>
      </w:r>
      <w:r>
        <w:t xml:space="preserve">over the burned cells of each region. The</w:t>
      </w:r>
      <w:r>
        <w:t xml:space="preserve"> </w:t>
      </w:r>
      <w:r>
        <w:rPr>
          <w:b/>
          <w:bCs/>
        </w:rPr>
        <w:t xml:space="preserve">regime</w:t>
      </w:r>
      <w:r>
        <w:t xml:space="preserve"> </w:t>
      </w:r>
      <w:r>
        <w:t xml:space="preserve">family includes counts of burned patches and effective patch counts. The</w:t>
      </w:r>
      <w:r>
        <w:t xml:space="preserve"> </w:t>
      </w:r>
      <w:r>
        <w:rPr>
          <w:b/>
          <w:bCs/>
        </w:rPr>
        <w:t xml:space="preserve">conditional</w:t>
      </w:r>
      <w:r>
        <w:t xml:space="preserve"> </w:t>
      </w:r>
      <w:r>
        <w:t xml:space="preserve">family is the sign-agreement index: the fraction of predictors whose signed association points the</w:t>
      </w:r>
      <w:r>
        <w:t xml:space="preserve"> </w:t>
      </w:r>
      <w:r>
        <w:t xml:space="preserve">same way in both regions, computed over all predictors and over the predictors with interval support.</w:t>
      </w:r>
    </w:p>
    <w:p>
      <w:pPr>
        <w:pStyle w:val="BodyText"/>
      </w:pPr>
      <w:r>
        <w:t xml:space="preserve">Two properties of this design limit what it can show. First, the set of measures was recorded on</w:t>
      </w:r>
      <w:r>
        <w:t xml:space="preserve"> </w:t>
      </w:r>
      <w:r>
        <w:t xml:space="preserve">8 August 2026, together with its results under the original label (commit abd6a4b on the</w:t>
      </w:r>
      <w:r>
        <w:t xml:space="preserve"> </w:t>
      </w:r>
      <w:r>
        <w:rPr>
          <w:rStyle w:val="VerbatimChar"/>
        </w:rPr>
        <w:t xml:space="preserve">history-archive</w:t>
      </w:r>
      <w:r>
        <w:t xml:space="preserve"> </w:t>
      </w:r>
      <w:r>
        <w:t xml:space="preserve">branch of the public repository,</w:t>
      </w:r>
      <w:r>
        <w:t xml:space="preserve"> </w:t>
      </w:r>
      <w:r>
        <w:t xml:space="preserve">which keeps the development history without internal notes). It was not re-selected after the label correction. This is a</w:t>
      </w:r>
      <w:r>
        <w:t xml:space="preserve"> </w:t>
      </w:r>
      <w:r>
        <w:t xml:space="preserve">record, not a pre-registration. Second, with five regions the effective sample is ten unordered</w:t>
      </w:r>
      <w:r>
        <w:t xml:space="preserve"> </w:t>
      </w:r>
      <w:r>
        <w:t xml:space="preserve">pairs, and nineteen measures are evaluated at this power without family-wise error control. Where a</w:t>
      </w:r>
      <w:r>
        <w:t xml:space="preserve"> </w:t>
      </w:r>
      <w:r>
        <w:t xml:space="preserve">measure passes an interval test but not a Bonferroni threshold, both results are reported.</w:t>
      </w:r>
    </w:p>
    <w:bookmarkEnd w:id="59"/>
    <w:bookmarkStart w:id="60" w:name="Xb9fe7c08312f968ea6f251d07b2866d86307a9c"/>
    <w:p>
      <w:pPr>
        <w:pStyle w:val="Heading2"/>
      </w:pPr>
      <w:r>
        <w:t xml:space="preserve">S3.3 Same-geography event-to-event comparison (Muğla 2021 versus 2022)</w:t>
      </w:r>
    </w:p>
    <w:p>
      <w:pPr>
        <w:pStyle w:val="FirstParagraph"/>
      </w:pPr>
      <w:r>
        <w:t xml:space="preserve">Muğla is the only region in which a second fire is analysed on the same study area and grid. This</w:t>
      </w:r>
      <w:r>
        <w:t xml:space="preserve"> </w:t>
      </w:r>
      <w:r>
        <w:t xml:space="preserve">allows the direction of feature-label associations to be compared with the place held fixed. The</w:t>
      </w:r>
      <w:r>
        <w:t xml:space="preserve"> </w:t>
      </w:r>
      <w:r>
        <w:t xml:space="preserve">2022 windows are set relative to the 2022 fire: a 58-day predictor window that closes the day before</w:t>
      </w:r>
      <w:r>
        <w:t xml:space="preserve"> </w:t>
      </w:r>
      <w:r>
        <w:t xml:space="preserve">ignition, and a 49-day label window that opens on that day. These lengths are the same as in 2021.</w:t>
      </w:r>
    </w:p>
    <w:p>
      <w:pPr>
        <w:pStyle w:val="BodyText"/>
      </w:pPr>
      <w:r>
        <w:rPr>
          <w:b/>
          <w:bCs/>
        </w:rPr>
        <w:t xml:space="preserve">This is not a clean design for transfer over time, and it is not presented as one.</w:t>
      </w:r>
      <w:r>
        <w:t xml:space="preserve"> </w:t>
      </w:r>
      <w:r>
        <w:t xml:space="preserve">The 2022 fire</w:t>
      </w:r>
      <w:r>
        <w:t xml:space="preserve"> </w:t>
      </w:r>
      <w:r>
        <w:t xml:space="preserve">started about six weeks earlier in the season than the 2021 fire, so year and seasonal phase are</w:t>
      </w:r>
      <w:r>
        <w:t xml:space="preserve"> </w:t>
      </w:r>
      <w:r>
        <w:t xml:space="preserve">confounded, and no difference can be attributed to the year alone. The comparison is between two</w:t>
      </w:r>
      <w:r>
        <w:t xml:space="preserve"> </w:t>
      </w:r>
      <w:r>
        <w:t xml:space="preserve">fires in one place. The pair is kept out of the twenty-direction matrix, and this is enforced in the</w:t>
      </w:r>
      <w:r>
        <w:t xml:space="preserve"> </w:t>
      </w:r>
      <w:r>
        <w:t xml:space="preserve">released code.</w:t>
      </w:r>
    </w:p>
    <w:p>
      <w:pPr>
        <w:pStyle w:val="BodyText"/>
      </w:pPr>
      <w:r>
        <w:t xml:space="preserve">The 2022 population is the 2021 population without the 2021 scar; Section S1.13 describes what</w:t>
      </w:r>
      <w:r>
        <w:t xml:space="preserve"> </w:t>
      </w:r>
      <w:r>
        <w:t xml:space="preserve">follows from this.</w:t>
      </w:r>
    </w:p>
    <w:p>
      <w:pPr>
        <w:pStyle w:val="BodyText"/>
        <w:keepNext/>
      </w:pPr>
      <w:r>
        <w:rPr>
          <w:b/>
          <w:bCs/>
        </w:rPr>
        <w:t xml:space="preserve">Table S19. Study regions, study areas and time windows.</w:t>
      </w:r>
      <w:r>
        <w:t xml:space="preserve"> </w:t>
      </w:r>
      <w:r>
        <w:t xml:space="preserve">Bounding boxes are in EPSG:4326, as</w:t>
      </w:r>
      <w:r>
        <w:t xml:space="preserve"> </w:t>
      </w:r>
      <w:r>
        <w:t xml:space="preserve">recorded. Window lengths in brackets are day counts, both ends included. The baseline years are the</w:t>
      </w:r>
      <w:r>
        <w:t xml:space="preserve"> </w:t>
      </w:r>
      <w:r>
        <w:t xml:space="preserve">four years before each predictor window, with the same calendar dates.</w:t>
      </w:r>
    </w:p>
    <w:tbl>
      <w:tblPr>
        <w:tblStyle w:val="Table"/>
        <w:tblW w:type="auto" w:w="0"/>
        <w:tblLook w:firstRow="1" w:lastRow="0" w:firstColumn="0" w:lastColumn="0" w:noHBand="0" w:noVBand="0" w:val="0020"/>
      </w:tblPr>
      <w:tblGrid>
        <w:gridCol w:w="1386"/>
        <w:gridCol w:w="2831"/>
        <w:gridCol w:w="1791"/>
        <w:gridCol w:w="1791"/>
        <w:gridCol w:w="1271"/>
      </w:tblGrid>
      <w:tr>
        <w:trPr>
          <w:tblHeader w:val="on"/>
          <w:cantSplit/>
        </w:trPr>
        <w:tc>
          <w:tcPr>
            <w:tcW w:type="dxa" w:w="1386"/>
          </w:tcPr>
          <w:p>
            <w:pPr>
              <w:pStyle w:val="Compact"/>
              <w:spacing w:line="240" w:lineRule="auto" w:after="20"/>
            </w:pPr>
            <w:r>
              <w:rPr>
                <w:sz w:val="20"/>
              </w:rPr>
              <w:t xml:space="preserve">Region</w:t>
            </w:r>
          </w:p>
        </w:tc>
        <w:tc>
          <w:tcPr>
            <w:tcW w:type="dxa" w:w="2831"/>
          </w:tcPr>
          <w:p>
            <w:pPr>
              <w:pStyle w:val="Compact"/>
              <w:spacing w:line="240" w:lineRule="auto" w:after="20"/>
            </w:pPr>
            <w:r>
              <w:rPr>
                <w:sz w:val="20"/>
              </w:rPr>
              <w:t xml:space="preserve">Bounding box (lon min, lat min, lon max, lat max)</w:t>
            </w:r>
          </w:p>
        </w:tc>
        <w:tc>
          <w:tcPr>
            <w:tcW w:type="dxa" w:w="1791"/>
          </w:tcPr>
          <w:p>
            <w:pPr>
              <w:pStyle w:val="Compact"/>
              <w:spacing w:line="240" w:lineRule="auto" w:after="20"/>
            </w:pPr>
            <w:r>
              <w:rPr>
                <w:sz w:val="20"/>
              </w:rPr>
              <w:t xml:space="preserve">Predictor window</w:t>
            </w:r>
          </w:p>
        </w:tc>
        <w:tc>
          <w:tcPr>
            <w:tcW w:type="dxa" w:w="1791"/>
          </w:tcPr>
          <w:p>
            <w:pPr>
              <w:pStyle w:val="Compact"/>
              <w:spacing w:line="240" w:lineRule="auto" w:after="20"/>
            </w:pPr>
            <w:r>
              <w:rPr>
                <w:sz w:val="20"/>
              </w:rPr>
              <w:t xml:space="preserve">Label window</w:t>
            </w:r>
          </w:p>
        </w:tc>
        <w:tc>
          <w:tcPr>
            <w:tcW w:type="dxa" w:w="1271"/>
          </w:tcPr>
          <w:p>
            <w:pPr>
              <w:pStyle w:val="Compact"/>
              <w:spacing w:line="240" w:lineRule="auto" w:after="20"/>
            </w:pPr>
            <w:r>
              <w:rPr>
                <w:sz w:val="20"/>
              </w:rPr>
              <w:t xml:space="preserve">Baseline years</w:t>
            </w:r>
          </w:p>
        </w:tc>
      </w:tr>
      <w:tr>
        <w:trPr>
          <w:cantSplit/>
        </w:trPr>
        <w:tc>
          <w:tcPr>
            <w:tcW w:type="dxa" w:w="1386"/>
          </w:tcPr>
          <w:p>
            <w:pPr>
              <w:pStyle w:val="Compact"/>
              <w:spacing w:line="240" w:lineRule="auto" w:after="20"/>
            </w:pPr>
            <w:r>
              <w:rPr>
                <w:sz w:val="20"/>
              </w:rPr>
              <w:t xml:space="preserve">Manavgat 2021 (Türkiye)</w:t>
            </w:r>
          </w:p>
        </w:tc>
        <w:tc>
          <w:tcPr>
            <w:tcW w:type="dxa" w:w="2831"/>
          </w:tcPr>
          <w:p>
            <w:pPr>
              <w:pStyle w:val="Compact"/>
              <w:spacing w:line="240" w:lineRule="auto" w:after="20"/>
            </w:pPr>
            <w:r>
              <w:rPr>
                <w:sz w:val="20"/>
              </w:rPr>
              <w:t xml:space="preserve">31.05, 36.72, 31.85, 37.35</w:t>
            </w:r>
          </w:p>
        </w:tc>
        <w:tc>
          <w:tcPr>
            <w:tcW w:type="dxa" w:w="1791"/>
          </w:tcPr>
          <w:p>
            <w:pPr>
              <w:pStyle w:val="Compact"/>
              <w:spacing w:line="240" w:lineRule="auto" w:after="20"/>
            </w:pPr>
            <w:r>
              <w:rPr>
                <w:sz w:val="20"/>
              </w:rPr>
              <w:t xml:space="preserve">2021-06-01 to 2021-07-27 (57 d)</w:t>
            </w:r>
          </w:p>
        </w:tc>
        <w:tc>
          <w:tcPr>
            <w:tcW w:type="dxa" w:w="1791"/>
          </w:tcPr>
          <w:p>
            <w:pPr>
              <w:pStyle w:val="Compact"/>
              <w:spacing w:line="240" w:lineRule="auto" w:after="20"/>
            </w:pPr>
            <w:r>
              <w:rPr>
                <w:sz w:val="20"/>
              </w:rPr>
              <w:t xml:space="preserve">2021-07-28 to 2021-08-31 (35 d)</w:t>
            </w:r>
          </w:p>
        </w:tc>
        <w:tc>
          <w:tcPr>
            <w:tcW w:type="dxa" w:w="1271"/>
          </w:tcPr>
          <w:p>
            <w:pPr>
              <w:pStyle w:val="Compact"/>
              <w:spacing w:line="240" w:lineRule="auto" w:after="20"/>
            </w:pPr>
            <w:r>
              <w:rPr>
                <w:sz w:val="20"/>
              </w:rPr>
              <w:t xml:space="preserve">2017, 2018, 2019, 2020</w:t>
            </w:r>
          </w:p>
        </w:tc>
      </w:tr>
      <w:tr>
        <w:trPr>
          <w:cantSplit/>
        </w:trPr>
        <w:tc>
          <w:tcPr>
            <w:tcW w:type="dxa" w:w="1386"/>
          </w:tcPr>
          <w:p>
            <w:pPr>
              <w:pStyle w:val="Compact"/>
              <w:spacing w:line="240" w:lineRule="auto" w:after="20"/>
            </w:pPr>
            <w:r>
              <w:rPr>
                <w:sz w:val="20"/>
              </w:rPr>
              <w:t xml:space="preserve">Bejís 2022 (Spain)</w:t>
            </w:r>
          </w:p>
        </w:tc>
        <w:tc>
          <w:tcPr>
            <w:tcW w:type="dxa" w:w="2831"/>
          </w:tcPr>
          <w:p>
            <w:pPr>
              <w:pStyle w:val="Compact"/>
              <w:spacing w:line="240" w:lineRule="auto" w:after="20"/>
            </w:pPr>
            <w:r>
              <w:rPr>
                <w:sz w:val="20"/>
              </w:rPr>
              <w:t xml:space="preserve">-1.05, 39.68, -0.35, 40.15</w:t>
            </w:r>
          </w:p>
        </w:tc>
        <w:tc>
          <w:tcPr>
            <w:tcW w:type="dxa" w:w="1791"/>
          </w:tcPr>
          <w:p>
            <w:pPr>
              <w:pStyle w:val="Compact"/>
              <w:spacing w:line="240" w:lineRule="auto" w:after="20"/>
            </w:pPr>
            <w:r>
              <w:rPr>
                <w:sz w:val="20"/>
              </w:rPr>
              <w:t xml:space="preserve">2022-06-15 to 2022-08-14 (61 d)</w:t>
            </w:r>
          </w:p>
        </w:tc>
        <w:tc>
          <w:tcPr>
            <w:tcW w:type="dxa" w:w="1791"/>
          </w:tcPr>
          <w:p>
            <w:pPr>
              <w:pStyle w:val="Compact"/>
              <w:spacing w:line="240" w:lineRule="auto" w:after="20"/>
            </w:pPr>
            <w:r>
              <w:rPr>
                <w:sz w:val="20"/>
              </w:rPr>
              <w:t xml:space="preserve">2022-08-15 to 2022-09-30 (47 d)</w:t>
            </w:r>
          </w:p>
        </w:tc>
        <w:tc>
          <w:tcPr>
            <w:tcW w:type="dxa" w:w="1271"/>
          </w:tcPr>
          <w:p>
            <w:pPr>
              <w:pStyle w:val="Compact"/>
              <w:spacing w:line="240" w:lineRule="auto" w:after="20"/>
            </w:pPr>
            <w:r>
              <w:rPr>
                <w:sz w:val="20"/>
              </w:rPr>
              <w:t xml:space="preserve">2018, 2019, 2020, 2021</w:t>
            </w:r>
          </w:p>
        </w:tc>
      </w:tr>
      <w:tr>
        <w:trPr>
          <w:cantSplit/>
        </w:trPr>
        <w:tc>
          <w:tcPr>
            <w:tcW w:type="dxa" w:w="1386"/>
          </w:tcPr>
          <w:p>
            <w:pPr>
              <w:pStyle w:val="Compact"/>
              <w:spacing w:line="240" w:lineRule="auto" w:after="20"/>
            </w:pPr>
            <w:r>
              <w:rPr>
                <w:sz w:val="20"/>
              </w:rPr>
              <w:t xml:space="preserve">Muğla 2021 (Türkiye)</w:t>
            </w:r>
          </w:p>
        </w:tc>
        <w:tc>
          <w:tcPr>
            <w:tcW w:type="dxa" w:w="2831"/>
          </w:tcPr>
          <w:p>
            <w:pPr>
              <w:pStyle w:val="Compact"/>
              <w:spacing w:line="240" w:lineRule="auto" w:after="20"/>
            </w:pPr>
            <w:r>
              <w:rPr>
                <w:sz w:val="20"/>
              </w:rPr>
              <w:t xml:space="preserve">27.1, 36.6, 28.9, 37.45</w:t>
            </w:r>
          </w:p>
        </w:tc>
        <w:tc>
          <w:tcPr>
            <w:tcW w:type="dxa" w:w="1791"/>
          </w:tcPr>
          <w:p>
            <w:pPr>
              <w:pStyle w:val="Compact"/>
              <w:spacing w:line="240" w:lineRule="auto" w:after="20"/>
            </w:pPr>
            <w:r>
              <w:rPr>
                <w:sz w:val="20"/>
              </w:rPr>
              <w:t xml:space="preserve">2021-06-01 to 2021-07-28 (58 d)</w:t>
            </w:r>
          </w:p>
        </w:tc>
        <w:tc>
          <w:tcPr>
            <w:tcW w:type="dxa" w:w="1791"/>
          </w:tcPr>
          <w:p>
            <w:pPr>
              <w:pStyle w:val="Compact"/>
              <w:spacing w:line="240" w:lineRule="auto" w:after="20"/>
            </w:pPr>
            <w:r>
              <w:rPr>
                <w:sz w:val="20"/>
              </w:rPr>
              <w:t xml:space="preserve">2021-07-29 to 2021-09-15 (49 d)</w:t>
            </w:r>
          </w:p>
        </w:tc>
        <w:tc>
          <w:tcPr>
            <w:tcW w:type="dxa" w:w="1271"/>
          </w:tcPr>
          <w:p>
            <w:pPr>
              <w:pStyle w:val="Compact"/>
              <w:spacing w:line="240" w:lineRule="auto" w:after="20"/>
            </w:pPr>
            <w:r>
              <w:rPr>
                <w:sz w:val="20"/>
              </w:rPr>
              <w:t xml:space="preserve">2017, 2018, 2019, 2020</w:t>
            </w:r>
          </w:p>
        </w:tc>
      </w:tr>
      <w:tr>
        <w:trPr>
          <w:cantSplit/>
        </w:trPr>
        <w:tc>
          <w:tcPr>
            <w:tcW w:type="dxa" w:w="1386"/>
          </w:tcPr>
          <w:p>
            <w:pPr>
              <w:pStyle w:val="Compact"/>
              <w:spacing w:line="240" w:lineRule="auto" w:after="20"/>
            </w:pPr>
            <w:r>
              <w:rPr>
                <w:sz w:val="20"/>
              </w:rPr>
              <w:t xml:space="preserve">North Evia 2021 (Greece)</w:t>
            </w:r>
          </w:p>
        </w:tc>
        <w:tc>
          <w:tcPr>
            <w:tcW w:type="dxa" w:w="2831"/>
          </w:tcPr>
          <w:p>
            <w:pPr>
              <w:pStyle w:val="Compact"/>
              <w:spacing w:line="240" w:lineRule="auto" w:after="20"/>
            </w:pPr>
            <w:r>
              <w:rPr>
                <w:sz w:val="20"/>
              </w:rPr>
              <w:t xml:space="preserve">23.05, 38.55, 23.85, 39.15</w:t>
            </w:r>
          </w:p>
        </w:tc>
        <w:tc>
          <w:tcPr>
            <w:tcW w:type="dxa" w:w="1791"/>
          </w:tcPr>
          <w:p>
            <w:pPr>
              <w:pStyle w:val="Compact"/>
              <w:spacing w:line="240" w:lineRule="auto" w:after="20"/>
            </w:pPr>
            <w:r>
              <w:rPr>
                <w:sz w:val="20"/>
              </w:rPr>
              <w:t xml:space="preserve">2021-06-05 to 2021-08-02 (59 d)</w:t>
            </w:r>
          </w:p>
        </w:tc>
        <w:tc>
          <w:tcPr>
            <w:tcW w:type="dxa" w:w="1791"/>
          </w:tcPr>
          <w:p>
            <w:pPr>
              <w:pStyle w:val="Compact"/>
              <w:spacing w:line="240" w:lineRule="auto" w:after="20"/>
            </w:pPr>
            <w:r>
              <w:rPr>
                <w:sz w:val="20"/>
              </w:rPr>
              <w:t xml:space="preserve">2021-08-03 to 2021-09-30 (59 d)</w:t>
            </w:r>
          </w:p>
        </w:tc>
        <w:tc>
          <w:tcPr>
            <w:tcW w:type="dxa" w:w="1271"/>
          </w:tcPr>
          <w:p>
            <w:pPr>
              <w:pStyle w:val="Compact"/>
              <w:spacing w:line="240" w:lineRule="auto" w:after="20"/>
            </w:pPr>
            <w:r>
              <w:rPr>
                <w:sz w:val="20"/>
              </w:rPr>
              <w:t xml:space="preserve">2017, 2018, 2019, 2020</w:t>
            </w:r>
          </w:p>
        </w:tc>
      </w:tr>
      <w:tr>
        <w:trPr>
          <w:cantSplit/>
        </w:trPr>
        <w:tc>
          <w:tcPr>
            <w:tcW w:type="dxa" w:w="1386"/>
          </w:tcPr>
          <w:p>
            <w:pPr>
              <w:pStyle w:val="Compact"/>
              <w:spacing w:line="240" w:lineRule="auto" w:after="20"/>
            </w:pPr>
            <w:r>
              <w:rPr>
                <w:sz w:val="20"/>
              </w:rPr>
              <w:t xml:space="preserve">Montiferru 2021 (Italy)</w:t>
            </w:r>
          </w:p>
        </w:tc>
        <w:tc>
          <w:tcPr>
            <w:tcW w:type="dxa" w:w="2831"/>
          </w:tcPr>
          <w:p>
            <w:pPr>
              <w:pStyle w:val="Compact"/>
              <w:spacing w:line="240" w:lineRule="auto" w:after="20"/>
            </w:pPr>
            <w:r>
              <w:rPr>
                <w:sz w:val="20"/>
              </w:rPr>
              <w:t xml:space="preserve">8.45, 40.05, 8.75, 40.27</w:t>
            </w:r>
          </w:p>
        </w:tc>
        <w:tc>
          <w:tcPr>
            <w:tcW w:type="dxa" w:w="1791"/>
          </w:tcPr>
          <w:p>
            <w:pPr>
              <w:pStyle w:val="Compact"/>
              <w:spacing w:line="240" w:lineRule="auto" w:after="20"/>
            </w:pPr>
            <w:r>
              <w:rPr>
                <w:sz w:val="20"/>
              </w:rPr>
              <w:t xml:space="preserve">2021-05-25 to 2021-07-23 (60 d)</w:t>
            </w:r>
          </w:p>
        </w:tc>
        <w:tc>
          <w:tcPr>
            <w:tcW w:type="dxa" w:w="1791"/>
          </w:tcPr>
          <w:p>
            <w:pPr>
              <w:pStyle w:val="Compact"/>
              <w:spacing w:line="240" w:lineRule="auto" w:after="20"/>
            </w:pPr>
            <w:r>
              <w:rPr>
                <w:sz w:val="20"/>
              </w:rPr>
              <w:t xml:space="preserve">2021-07-24 to 2021-08-31 (39 d)</w:t>
            </w:r>
          </w:p>
        </w:tc>
        <w:tc>
          <w:tcPr>
            <w:tcW w:type="dxa" w:w="1271"/>
          </w:tcPr>
          <w:p>
            <w:pPr>
              <w:pStyle w:val="Compact"/>
              <w:spacing w:line="240" w:lineRule="auto" w:after="20"/>
            </w:pPr>
            <w:r>
              <w:rPr>
                <w:sz w:val="20"/>
              </w:rPr>
              <w:t xml:space="preserve">2017, 2018, 2019, 2020</w:t>
            </w:r>
          </w:p>
        </w:tc>
      </w:tr>
    </w:tbl>
    <w:bookmarkEnd w:id="60"/>
    <w:bookmarkStart w:id="61" w:name="X22ccedc7bb5c833a610874f39c5377f7d0b97b2"/>
    <w:p>
      <w:pPr>
        <w:pStyle w:val="Heading2"/>
      </w:pPr>
      <w:r>
        <w:t xml:space="preserve">S3.4 Predictor provenance, compositing and the downscaler</w:t>
      </w:r>
    </w:p>
    <w:p>
      <w:pPr>
        <w:pStyle w:val="FirstParagraph"/>
      </w:pPr>
      <w:r>
        <w:t xml:space="preserve">Ten predictors are used, four baseline and six thermal. All are summarised per cell over the</w:t>
      </w:r>
      <w:r>
        <w:t xml:space="preserve"> </w:t>
      </w:r>
      <w:r>
        <w:t xml:space="preserve">predictor window, through the chain shown in Fig. 2. All optical and thermal predictors come from</w:t>
      </w:r>
      <w:r>
        <w:t xml:space="preserve"> </w:t>
      </w:r>
      <w:r>
        <w:t xml:space="preserve">Landsat 8 Collection 2 Level-2 (</w:t>
      </w:r>
      <w:r>
        <w:rPr>
          <w:rStyle w:val="VerbatimChar"/>
        </w:rPr>
        <w:t xml:space="preserve">LANDSAT/LC08/C02/T1_L2</w:t>
      </w:r>
      <w:r>
        <w:t xml:space="preserve">). They are quality-screened per pixel with</w:t>
      </w:r>
      <w:r>
        <w:t xml:space="preserve"> </w:t>
      </w:r>
      <w:r>
        <w:t xml:space="preserve">the</w:t>
      </w:r>
      <w:r>
        <w:t xml:space="preserve"> </w:t>
      </w:r>
      <w:r>
        <w:rPr>
          <w:rStyle w:val="VerbatimChar"/>
        </w:rPr>
        <w:t xml:space="preserve">QA_PIXEL</w:t>
      </w:r>
      <w:r>
        <w:t xml:space="preserve"> </w:t>
      </w:r>
      <w:r>
        <w:t xml:space="preserve">band; the water bit is kept on purpose. The coarse thermal input is</w:t>
      </w:r>
      <w:r>
        <w:t xml:space="preserve"> </w:t>
      </w:r>
      <w:r>
        <w:rPr>
          <w:rStyle w:val="VerbatimChar"/>
        </w:rPr>
        <w:t xml:space="preserve">MODIS/061/MOD11A1</w:t>
      </w:r>
      <w:r>
        <w:t xml:space="preserve">.</w:t>
      </w:r>
    </w:p>
    <w:p>
      <w:pPr>
        <w:pStyle w:val="Compact"/>
        <w:numPr>
          <w:ilvl w:val="0"/>
          <w:numId w:val="1003"/>
        </w:numPr>
      </w:pPr>
      <w:r>
        <w:rPr>
          <w:b/>
          <w:bCs/>
        </w:rPr>
        <w:t xml:space="preserve">NDVI</w:t>
      </w:r>
      <w:r>
        <w:t xml:space="preserve"> </w:t>
      </w:r>
      <w:r>
        <w:t xml:space="preserve">is the median of Landsat surface reflectance over the predictor window. It is the only</w:t>
      </w:r>
      <w:r>
        <w:t xml:space="preserve"> </w:t>
      </w:r>
      <w:r>
        <w:t xml:space="preserve">baseline predictor that changes over time.</w:t>
      </w:r>
    </w:p>
    <w:p>
      <w:pPr>
        <w:pStyle w:val="Compact"/>
        <w:numPr>
          <w:ilvl w:val="0"/>
          <w:numId w:val="1003"/>
        </w:numPr>
      </w:pPr>
      <w:r>
        <w:rPr>
          <w:b/>
          <w:bCs/>
        </w:rPr>
        <w:t xml:space="preserve">Elevation</w:t>
      </w:r>
      <w:r>
        <w:t xml:space="preserve"> </w:t>
      </w:r>
      <w:r>
        <w:t xml:space="preserve">and</w:t>
      </w:r>
      <w:r>
        <w:t xml:space="preserve"> </w:t>
      </w:r>
      <w:r>
        <w:rPr>
          <w:b/>
          <w:bCs/>
        </w:rPr>
        <w:t xml:space="preserve">slope</w:t>
      </w:r>
      <w:r>
        <w:t xml:space="preserve"> </w:t>
      </w:r>
      <w:r>
        <w:t xml:space="preserve">come from the Copernicus DEM GLO-30. Its heights are referenced to the</w:t>
      </w:r>
      <w:r>
        <w:t xml:space="preserve"> </w:t>
      </w:r>
      <w:r>
        <w:t xml:space="preserve">EGM2008 geoid (EPSG:3855) in metres, according to the product handbook. The pipeline applies no</w:t>
      </w:r>
      <w:r>
        <w:t xml:space="preserve"> </w:t>
      </w:r>
      <w:r>
        <w:t xml:space="preserve">datum conversion.</w:t>
      </w:r>
    </w:p>
    <w:p>
      <w:pPr>
        <w:pStyle w:val="Compact"/>
        <w:numPr>
          <w:ilvl w:val="0"/>
          <w:numId w:val="1003"/>
        </w:numPr>
      </w:pPr>
      <w:r>
        <w:rPr>
          <w:b/>
          <w:bCs/>
        </w:rPr>
        <w:t xml:space="preserve">Land cover</w:t>
      </w:r>
      <w:r>
        <w:t xml:space="preserve"> </w:t>
      </w:r>
      <w:r>
        <w:t xml:space="preserve">is ESA WorldCover v200</w:t>
      </w:r>
      <w:r>
        <w:t xml:space="preserve"> </w:t>
      </w:r>
      <w:r>
        <w:t xml:space="preserve">(Zanaga et al. 2022)</w:t>
      </w:r>
      <w:r>
        <w:t xml:space="preserve">, used as the dominant class code.</w:t>
      </w:r>
    </w:p>
    <w:p>
      <w:pPr>
        <w:pStyle w:val="Compact"/>
        <w:numPr>
          <w:ilvl w:val="0"/>
          <w:numId w:val="1003"/>
        </w:numPr>
      </w:pPr>
      <w:r>
        <w:rPr>
          <w:b/>
          <w:bCs/>
        </w:rPr>
        <w:t xml:space="preserve">Current LST</w:t>
      </w:r>
      <w:r>
        <w:t xml:space="preserve"> </w:t>
      </w:r>
      <w:r>
        <w:t xml:space="preserve">is the median of Landsat surface temperature over the predictor window, in °C.</w:t>
      </w:r>
    </w:p>
    <w:p>
      <w:pPr>
        <w:pStyle w:val="Compact"/>
        <w:numPr>
          <w:ilvl w:val="0"/>
          <w:numId w:val="1003"/>
        </w:numPr>
      </w:pPr>
      <w:r>
        <w:rPr>
          <w:b/>
          <w:bCs/>
        </w:rPr>
        <w:t xml:space="preserve">LST anomaly</w:t>
      </w:r>
      <w:r>
        <w:t xml:space="preserve"> </w:t>
      </w:r>
      <w:r>
        <w:t xml:space="preserve">is a z-score of the current LST median against the four baseline years. It is set</w:t>
      </w:r>
      <w:r>
        <w:t xml:space="preserve"> </w:t>
      </w:r>
      <w:r>
        <w:t xml:space="preserve">to no-data where the baseline standard deviation is below 1.0 °C or there are too few observations.</w:t>
      </w:r>
    </w:p>
    <w:p>
      <w:pPr>
        <w:pStyle w:val="Compact"/>
        <w:numPr>
          <w:ilvl w:val="0"/>
          <w:numId w:val="1003"/>
        </w:numPr>
      </w:pPr>
      <w:r>
        <w:rPr>
          <w:b/>
          <w:bCs/>
        </w:rPr>
        <w:t xml:space="preserve">TVDI</w:t>
      </w:r>
      <w:r>
        <w:t xml:space="preserve"> </w:t>
      </w:r>
      <w:r>
        <w:t xml:space="preserve">and</w:t>
      </w:r>
      <w:r>
        <w:t xml:space="preserve"> </w:t>
      </w:r>
      <w:r>
        <w:rPr>
          <w:b/>
          <w:bCs/>
        </w:rPr>
        <w:t xml:space="preserve">TVDI difference</w:t>
      </w:r>
      <w:r>
        <w:t xml:space="preserve">. The Temperature-Vegetation Dryness Index</w:t>
      </w:r>
      <w:r>
        <w:t xml:space="preserve"> </w:t>
      </w:r>
      <w:r>
        <w:t xml:space="preserve">(Sandholt et al. 2002)</w:t>
      </w:r>
      <w:r>
        <w:t xml:space="preserve"> </w:t>
      </w:r>
      <w:r>
        <w:t xml:space="preserve">is</w:t>
      </w:r>
      <w:r>
        <w:t xml:space="preserve"> </w:t>
      </w:r>
      <w:r>
        <w:t xml:space="preserve">computed in the LST-NDVI space. The wet and dry edges are the 2nd and 98th LST percentiles within</w:t>
      </w:r>
      <w:r>
        <w:t xml:space="preserve"> </w:t>
      </w:r>
      <w:r>
        <w:t xml:space="preserve">each of twenty NDVI bins, and the index is limited to [0, 1]. The edges are percentiles of the LST</w:t>
      </w:r>
      <w:r>
        <w:t xml:space="preserve"> </w:t>
      </w:r>
      <w:r>
        <w:t xml:space="preserve">values in a given scene, so they are fitted for each study area and window. A TVDI of 0.5 therefore</w:t>
      </w:r>
      <w:r>
        <w:t xml:space="preserve"> </w:t>
      </w:r>
      <w:r>
        <w:t xml:space="preserve">means a different moisture state in each region.</w:t>
      </w:r>
      <w:r>
        <w:t xml:space="preserve"> </w:t>
      </w:r>
      <w:r>
        <w:rPr>
          <w:b/>
          <w:bCs/>
        </w:rPr>
        <w:t xml:space="preserve">TVDI difference</w:t>
      </w:r>
      <w:r>
        <w:t xml:space="preserve"> </w:t>
      </w:r>
      <w:r>
        <w:t xml:space="preserve">is the raw anomaly of this</w:t>
      </w:r>
      <w:r>
        <w:t xml:space="preserve"> </w:t>
      </w:r>
      <w:r>
        <w:t xml:space="preserve">index against the same four baseline years:</w:t>
      </w:r>
      <w:r>
        <w:t xml:space="preserve"> </w:t>
      </w:r>
      <w:r>
        <w:rPr>
          <w:rStyle w:val="VerbatimChar"/>
        </w:rPr>
        <w:t xml:space="preserve">tvdi_difference = current_tvdi − mean(baseline_tvdi)</w:t>
      </w:r>
      <w:r>
        <w:t xml:space="preserve">.</w:t>
      </w:r>
      <w:r>
        <w:t xml:space="preserve"> </w:t>
      </w:r>
      <w:r>
        <w:t xml:space="preserve">It is in index units, not standard deviations, so it is reported together with the z-scored channel.</w:t>
      </w:r>
    </w:p>
    <w:p>
      <w:pPr>
        <w:pStyle w:val="Compact"/>
        <w:numPr>
          <w:ilvl w:val="0"/>
          <w:numId w:val="1003"/>
        </w:numPr>
      </w:pPr>
      <w:r>
        <w:rPr>
          <w:b/>
          <w:bCs/>
        </w:rPr>
        <w:t xml:space="preserve">Downscaled LST</w:t>
      </w:r>
      <w:r>
        <w:t xml:space="preserve"> </w:t>
      </w:r>
      <w:r>
        <w:t xml:space="preserve">and</w:t>
      </w:r>
      <w:r>
        <w:t xml:space="preserve"> </w:t>
      </w:r>
      <w:r>
        <w:rPr>
          <w:b/>
          <w:bCs/>
        </w:rPr>
        <w:t xml:space="preserve">fused LST</w:t>
      </w:r>
      <w:r>
        <w:t xml:space="preserve">. A MODIS-to-Landsat downscaling model is trained on the</w:t>
      </w:r>
      <w:r>
        <w:t xml:space="preserve"> </w:t>
      </w:r>
      <w:r>
        <w:t xml:space="preserve">predictor window and applied to the full 30 m grid. The fused product equals the observed Landsat</w:t>
      </w:r>
      <w:r>
        <w:t xml:space="preserve"> </w:t>
      </w:r>
      <w:r>
        <w:t xml:space="preserve">LST where that is valid, and the downscaled surface only where it is not. Gap-filling therefore</w:t>
      </w:r>
      <w:r>
        <w:t xml:space="preserve"> </w:t>
      </w:r>
      <w:r>
        <w:t xml:space="preserve">never replaces or blends a valid observation. The gap-filled share is 0.11 % to 9.70 % by region.</w:t>
      </w:r>
      <w:r>
        <w:t xml:space="preserve"> </w:t>
      </w:r>
      <w:r>
        <w:t xml:space="preserve">The downscaler uses coordinates as inputs. This is the only way in which coordinate information</w:t>
      </w:r>
      <w:r>
        <w:t xml:space="preserve"> </w:t>
      </w:r>
      <w:r>
        <w:t xml:space="preserve">enters a feature set from which Section 3.13 excludes coordinates. Section S1.7 gives the gain</w:t>
      </w:r>
      <w:r>
        <w:t xml:space="preserve"> </w:t>
      </w:r>
      <w:r>
        <w:t xml:space="preserve">without these two channels.</w:t>
      </w:r>
    </w:p>
    <w:p>
      <w:pPr>
        <w:pStyle w:val="FirstParagraph"/>
      </w:pPr>
      <w:r>
        <w:rPr>
          <w:b/>
          <w:bCs/>
        </w:rPr>
        <w:t xml:space="preserve">The six thermal channels carry about two signals.</w:t>
      </w:r>
      <w:r>
        <w:t xml:space="preserve"> </w:t>
      </w:r>
      <w:r>
        <w:t xml:space="preserve">In the primary population, current, fused and</w:t>
      </w:r>
      <w:r>
        <w:t xml:space="preserve"> </w:t>
      </w:r>
      <w:r>
        <w:t xml:space="preserve">downscaled LST are correlated at 0.97 to 1.00 in every region. Current LST and TVDI are correlated at</w:t>
      </w:r>
      <w:r>
        <w:t xml:space="preserve"> </w:t>
      </w:r>
      <w:r>
        <w:t xml:space="preserve">0.88 to 0.98, and the two anomaly channels at 0.71 to 0.94. Two principal components of the six</w:t>
      </w:r>
      <w:r>
        <w:t xml:space="preserve"> </w:t>
      </w:r>
      <w:r>
        <w:t xml:space="preserve">channels explain 92 % to 98 % of their variance, and their participation ratio is 1.6 to 1.8</w:t>
      </w:r>
      <w:r>
        <w:t xml:space="preserve"> </w:t>
      </w:r>
      <w:r>
        <w:t xml:space="preserve">(</w:t>
      </w:r>
      <w:r>
        <w:rPr>
          <w:rStyle w:val="VerbatimChar"/>
        </w:rPr>
        <w:t xml:space="preserve">paper/labelfix_rerun/labels/r4_dimensionality.json</w:t>
      </w:r>
      <w:r>
        <w:t xml:space="preserve">).</w:t>
      </w:r>
    </w:p>
    <w:p>
      <w:pPr>
        <w:pStyle w:val="BodyText"/>
        <w:keepNext/>
      </w:pPr>
      <w:r>
        <w:rPr>
          <w:b/>
          <w:bCs/>
        </w:rPr>
        <w:t xml:space="preserve">Table S20. Input data.</w:t>
      </w:r>
      <w:r>
        <w:t xml:space="preserve"> </w:t>
      </w:r>
      <w:r>
        <w:t xml:space="preserve">All retrieved through Google Earth Engine.</w:t>
      </w:r>
    </w:p>
    <w:tbl>
      <w:tblPr>
        <w:tblStyle w:val="Table"/>
        <w:tblW w:type="auto" w:w="0"/>
        <w:tblLook w:firstRow="1" w:lastRow="0" w:firstColumn="0" w:lastColumn="0" w:noHBand="0" w:noVBand="0" w:val="0020"/>
      </w:tblPr>
      <w:tblGrid>
        <w:gridCol w:w="1122"/>
        <w:gridCol w:w="3077"/>
        <w:gridCol w:w="545"/>
        <w:gridCol w:w="1667"/>
        <w:gridCol w:w="2660"/>
      </w:tblGrid>
      <w:tr>
        <w:trPr>
          <w:tblHeader w:val="on"/>
          <w:cantSplit/>
        </w:trPr>
        <w:tc>
          <w:tcPr>
            <w:tcW w:type="dxa" w:w="1122"/>
          </w:tcPr>
          <w:p>
            <w:pPr>
              <w:pStyle w:val="Compact"/>
              <w:spacing w:line="240" w:lineRule="auto" w:after="20"/>
            </w:pPr>
            <w:r>
              <w:rPr>
                <w:sz w:val="20"/>
              </w:rPr>
              <w:t xml:space="preserve">Input</w:t>
            </w:r>
          </w:p>
        </w:tc>
        <w:tc>
          <w:tcPr>
            <w:tcW w:type="dxa" w:w="3077"/>
          </w:tcPr>
          <w:p>
            <w:pPr>
              <w:pStyle w:val="Compact"/>
              <w:spacing w:line="240" w:lineRule="auto" w:after="20"/>
            </w:pPr>
            <w:r>
              <w:rPr>
                <w:sz w:val="20"/>
              </w:rPr>
              <w:t xml:space="preserve">Product and version</w:t>
            </w:r>
          </w:p>
        </w:tc>
        <w:tc>
          <w:tcPr>
            <w:tcW w:type="dxa" w:w="545"/>
          </w:tcPr>
          <w:p>
            <w:pPr>
              <w:pStyle w:val="Compact"/>
              <w:spacing w:line="240" w:lineRule="auto" w:after="20"/>
            </w:pPr>
            <w:r>
              <w:rPr>
                <w:sz w:val="20"/>
              </w:rPr>
              <w:t xml:space="preserve">Native resolution</w:t>
            </w:r>
          </w:p>
        </w:tc>
        <w:tc>
          <w:tcPr>
            <w:tcW w:type="dxa" w:w="1667"/>
          </w:tcPr>
          <w:p>
            <w:pPr>
              <w:pStyle w:val="Compact"/>
              <w:spacing w:line="240" w:lineRule="auto" w:after="20"/>
            </w:pPr>
            <w:r>
              <w:rPr>
                <w:sz w:val="20"/>
              </w:rPr>
              <w:t xml:space="preserve">Use</w:t>
            </w:r>
          </w:p>
        </w:tc>
        <w:tc>
          <w:tcPr>
            <w:tcW w:type="dxa" w:w="2660"/>
          </w:tcPr>
          <w:p>
            <w:pPr>
              <w:pStyle w:val="Compact"/>
              <w:spacing w:line="240" w:lineRule="auto" w:after="20"/>
            </w:pPr>
            <w:r>
              <w:rPr>
                <w:sz w:val="20"/>
              </w:rPr>
              <w:t xml:space="preserve">Reference</w:t>
            </w:r>
          </w:p>
        </w:tc>
      </w:tr>
      <w:tr>
        <w:trPr>
          <w:cantSplit/>
        </w:trPr>
        <w:tc>
          <w:tcPr>
            <w:tcW w:type="dxa" w:w="1122"/>
          </w:tcPr>
          <w:p>
            <w:pPr>
              <w:pStyle w:val="Compact"/>
              <w:spacing w:line="240" w:lineRule="auto" w:after="20"/>
            </w:pPr>
            <w:r>
              <w:rPr>
                <w:sz w:val="20"/>
              </w:rPr>
              <w:t xml:space="preserve">Burned area</w:t>
            </w:r>
          </w:p>
        </w:tc>
        <w:tc>
          <w:tcPr>
            <w:tcW w:type="dxa" w:w="3077"/>
          </w:tcPr>
          <w:p>
            <w:pPr>
              <w:pStyle w:val="Compact"/>
              <w:spacing w:line="240" w:lineRule="auto" w:after="20"/>
            </w:pPr>
            <w:r>
              <w:rPr>
                <w:sz w:val="20"/>
              </w:rPr>
              <w:t xml:space="preserve">MODIS MCD64A1 Collection 6.1 (</w:t>
            </w:r>
            <w:r>
              <w:rPr>
                <w:rStyle w:val="VerbatimChar"/>
                <w:sz w:val="20"/>
              </w:rPr>
              <w:t xml:space="preserve">MODIS/061/MCD64A1</w:t>
            </w:r>
            <w:r>
              <w:rPr>
                <w:sz w:val="20"/>
              </w:rPr>
              <w:t xml:space="preserve">)</w:t>
            </w:r>
          </w:p>
        </w:tc>
        <w:tc>
          <w:tcPr>
            <w:tcW w:type="dxa" w:w="545"/>
          </w:tcPr>
          <w:p>
            <w:pPr>
              <w:pStyle w:val="Compact"/>
              <w:spacing w:line="240" w:lineRule="auto" w:after="20"/>
            </w:pPr>
            <w:r>
              <w:rPr>
                <w:sz w:val="20"/>
              </w:rPr>
              <w:t xml:space="preserve">500 m, monthly</w:t>
            </w:r>
          </w:p>
        </w:tc>
        <w:tc>
          <w:tcPr>
            <w:tcW w:type="dxa" w:w="1667"/>
          </w:tcPr>
          <w:p>
            <w:pPr>
              <w:pStyle w:val="Compact"/>
              <w:spacing w:line="240" w:lineRule="auto" w:after="20"/>
            </w:pPr>
            <w:r>
              <w:rPr>
                <w:sz w:val="20"/>
              </w:rPr>
              <w:t xml:space="preserve">label</w:t>
            </w:r>
          </w:p>
        </w:tc>
        <w:tc>
          <w:tcPr>
            <w:tcW w:type="dxa" w:w="2660"/>
          </w:tcPr>
          <w:p>
            <w:pPr>
              <w:pStyle w:val="Compact"/>
              <w:spacing w:line="240" w:lineRule="auto" w:after="20"/>
            </w:pPr>
            <w:r>
              <w:rPr>
                <w:sz w:val="20"/>
              </w:rPr>
              <w:t xml:space="preserve">(Giglio et al. 2018, 2021)</w:t>
            </w:r>
          </w:p>
        </w:tc>
      </w:tr>
      <w:tr>
        <w:trPr>
          <w:cantSplit/>
        </w:trPr>
        <w:tc>
          <w:tcPr>
            <w:tcW w:type="dxa" w:w="1122"/>
          </w:tcPr>
          <w:p>
            <w:pPr>
              <w:pStyle w:val="Compact"/>
              <w:spacing w:line="240" w:lineRule="auto" w:after="20"/>
            </w:pPr>
            <w:r>
              <w:rPr>
                <w:sz w:val="20"/>
              </w:rPr>
              <w:t xml:space="preserve">Surface reflectance and temperature</w:t>
            </w:r>
          </w:p>
        </w:tc>
        <w:tc>
          <w:tcPr>
            <w:tcW w:type="dxa" w:w="3077"/>
          </w:tcPr>
          <w:p>
            <w:pPr>
              <w:pStyle w:val="Compact"/>
              <w:spacing w:line="240" w:lineRule="auto" w:after="20"/>
            </w:pPr>
            <w:r>
              <w:rPr>
                <w:sz w:val="20"/>
              </w:rPr>
              <w:t xml:space="preserve">Landsat 8 Collection 2 Level-2 (</w:t>
            </w:r>
            <w:r>
              <w:rPr>
                <w:rStyle w:val="VerbatimChar"/>
                <w:sz w:val="20"/>
              </w:rPr>
              <w:t xml:space="preserve">LANDSAT/LC08/C02/T1_L2</w:t>
            </w:r>
            <w:r>
              <w:rPr>
                <w:sz w:val="20"/>
              </w:rPr>
              <w:t xml:space="preserve">),</w:t>
            </w:r>
            <w:r>
              <w:rPr>
                <w:sz w:val="20"/>
              </w:rPr>
              <w:t xml:space="preserve"> </w:t>
            </w:r>
            <w:r>
              <w:rPr>
                <w:rStyle w:val="VerbatimChar"/>
                <w:sz w:val="20"/>
              </w:rPr>
              <w:t xml:space="preserve">QA_PIXEL</w:t>
            </w:r>
            <w:r>
              <w:rPr>
                <w:sz w:val="20"/>
              </w:rPr>
              <w:t xml:space="preserve"> </w:t>
            </w:r>
            <w:r>
              <w:rPr>
                <w:sz w:val="20"/>
              </w:rPr>
              <w:t xml:space="preserve">screening, water bit preserved</w:t>
            </w:r>
          </w:p>
        </w:tc>
        <w:tc>
          <w:tcPr>
            <w:tcW w:type="dxa" w:w="545"/>
          </w:tcPr>
          <w:p>
            <w:pPr>
              <w:pStyle w:val="Compact"/>
              <w:spacing w:line="240" w:lineRule="auto" w:after="20"/>
            </w:pPr>
            <w:r>
              <w:rPr>
                <w:sz w:val="20"/>
              </w:rPr>
              <w:t xml:space="preserve">30 m</w:t>
            </w:r>
          </w:p>
        </w:tc>
        <w:tc>
          <w:tcPr>
            <w:tcW w:type="dxa" w:w="1667"/>
          </w:tcPr>
          <w:p>
            <w:pPr>
              <w:pStyle w:val="Compact"/>
              <w:spacing w:line="240" w:lineRule="auto" w:after="20"/>
            </w:pPr>
            <w:r>
              <w:rPr>
                <w:sz w:val="20"/>
              </w:rPr>
              <w:t xml:space="preserve">NDVI, current LST, anomaly, TVDI</w:t>
            </w:r>
          </w:p>
        </w:tc>
        <w:tc>
          <w:tcPr>
            <w:tcW w:type="dxa" w:w="2660"/>
          </w:tcPr>
          <w:p>
            <w:pPr>
              <w:pStyle w:val="Compact"/>
              <w:spacing w:line="240" w:lineRule="auto" w:after="20"/>
            </w:pPr>
            <w:r>
              <w:rPr>
                <w:sz w:val="20"/>
              </w:rPr>
              <w:t xml:space="preserve">(U.S. Geological Survey Earth Resources Observation and Science (EROS) Center 2020)</w:t>
            </w:r>
          </w:p>
        </w:tc>
      </w:tr>
      <w:tr>
        <w:trPr>
          <w:cantSplit/>
        </w:trPr>
        <w:tc>
          <w:tcPr>
            <w:tcW w:type="dxa" w:w="1122"/>
          </w:tcPr>
          <w:p>
            <w:pPr>
              <w:pStyle w:val="Compact"/>
              <w:spacing w:line="240" w:lineRule="auto" w:after="20"/>
            </w:pPr>
            <w:r>
              <w:rPr>
                <w:sz w:val="20"/>
              </w:rPr>
              <w:t xml:space="preserve">Coarse LST</w:t>
            </w:r>
          </w:p>
        </w:tc>
        <w:tc>
          <w:tcPr>
            <w:tcW w:type="dxa" w:w="3077"/>
          </w:tcPr>
          <w:p>
            <w:pPr>
              <w:pStyle w:val="Compact"/>
              <w:spacing w:line="240" w:lineRule="auto" w:after="20"/>
            </w:pPr>
            <w:r>
              <w:rPr>
                <w:sz w:val="20"/>
              </w:rPr>
              <w:t xml:space="preserve">MODIS MOD11A1 v061 (</w:t>
            </w:r>
            <w:r>
              <w:rPr>
                <w:rStyle w:val="VerbatimChar"/>
                <w:sz w:val="20"/>
              </w:rPr>
              <w:t xml:space="preserve">MODIS/061/MOD11A1</w:t>
            </w:r>
            <w:r>
              <w:rPr>
                <w:sz w:val="20"/>
              </w:rPr>
              <w:t xml:space="preserve">)</w:t>
            </w:r>
          </w:p>
        </w:tc>
        <w:tc>
          <w:tcPr>
            <w:tcW w:type="dxa" w:w="545"/>
          </w:tcPr>
          <w:p>
            <w:pPr>
              <w:pStyle w:val="Compact"/>
              <w:spacing w:line="240" w:lineRule="auto" w:after="20"/>
            </w:pPr>
            <w:r>
              <w:rPr>
                <w:sz w:val="20"/>
              </w:rPr>
              <w:t xml:space="preserve">1 km, daily</w:t>
            </w:r>
          </w:p>
        </w:tc>
        <w:tc>
          <w:tcPr>
            <w:tcW w:type="dxa" w:w="1667"/>
          </w:tcPr>
          <w:p>
            <w:pPr>
              <w:pStyle w:val="Compact"/>
              <w:spacing w:line="240" w:lineRule="auto" w:after="20"/>
            </w:pPr>
            <w:r>
              <w:rPr>
                <w:sz w:val="20"/>
              </w:rPr>
              <w:t xml:space="preserve">downscaled and fused LST (gap-fill 0.11 % to 9.70 %)</w:t>
            </w:r>
          </w:p>
        </w:tc>
        <w:tc>
          <w:tcPr>
            <w:tcW w:type="dxa" w:w="2660"/>
          </w:tcPr>
          <w:p>
            <w:pPr>
              <w:pStyle w:val="Compact"/>
              <w:spacing w:line="240" w:lineRule="auto" w:after="20"/>
            </w:pPr>
            <w:r>
              <w:rPr>
                <w:sz w:val="20"/>
              </w:rPr>
              <w:t xml:space="preserve">(Wan et al. 2021)</w:t>
            </w:r>
          </w:p>
        </w:tc>
      </w:tr>
      <w:tr>
        <w:trPr>
          <w:cantSplit/>
        </w:trPr>
        <w:tc>
          <w:tcPr>
            <w:tcW w:type="dxa" w:w="1122"/>
          </w:tcPr>
          <w:p>
            <w:pPr>
              <w:pStyle w:val="Compact"/>
              <w:spacing w:line="240" w:lineRule="auto" w:after="20"/>
            </w:pPr>
            <w:r>
              <w:rPr>
                <w:sz w:val="20"/>
              </w:rPr>
              <w:t xml:space="preserve">Terrain</w:t>
            </w:r>
          </w:p>
        </w:tc>
        <w:tc>
          <w:tcPr>
            <w:tcW w:type="dxa" w:w="3077"/>
          </w:tcPr>
          <w:p>
            <w:pPr>
              <w:pStyle w:val="Compact"/>
              <w:spacing w:line="240" w:lineRule="auto" w:after="20"/>
            </w:pPr>
            <w:r>
              <w:rPr>
                <w:sz w:val="20"/>
              </w:rPr>
              <w:t xml:space="preserve">Copernicus DEM GLO-30 (EGM2008 heights)</w:t>
            </w:r>
          </w:p>
        </w:tc>
        <w:tc>
          <w:tcPr>
            <w:tcW w:type="dxa" w:w="545"/>
          </w:tcPr>
          <w:p>
            <w:pPr>
              <w:pStyle w:val="Compact"/>
              <w:spacing w:line="240" w:lineRule="auto" w:after="20"/>
            </w:pPr>
            <w:r>
              <w:rPr>
                <w:sz w:val="20"/>
              </w:rPr>
              <w:t xml:space="preserve">30 m</w:t>
            </w:r>
          </w:p>
        </w:tc>
        <w:tc>
          <w:tcPr>
            <w:tcW w:type="dxa" w:w="1667"/>
          </w:tcPr>
          <w:p>
            <w:pPr>
              <w:pStyle w:val="Compact"/>
              <w:spacing w:line="240" w:lineRule="auto" w:after="20"/>
            </w:pPr>
            <w:r>
              <w:rPr>
                <w:sz w:val="20"/>
              </w:rPr>
              <w:t xml:space="preserve">elevation, slope</w:t>
            </w:r>
          </w:p>
        </w:tc>
        <w:tc>
          <w:tcPr>
            <w:tcW w:type="dxa" w:w="2660"/>
          </w:tcPr>
          <w:p>
            <w:pPr>
              <w:pStyle w:val="Compact"/>
              <w:spacing w:line="240" w:lineRule="auto" w:after="20"/>
            </w:pPr>
            <w:r>
              <w:rPr>
                <w:sz w:val="20"/>
              </w:rPr>
              <w:t xml:space="preserve">(European Space Agency 2022)</w:t>
            </w:r>
          </w:p>
        </w:tc>
      </w:tr>
      <w:tr>
        <w:trPr>
          <w:cantSplit/>
        </w:trPr>
        <w:tc>
          <w:tcPr>
            <w:tcW w:type="dxa" w:w="1122"/>
          </w:tcPr>
          <w:p>
            <w:pPr>
              <w:pStyle w:val="Compact"/>
              <w:spacing w:line="240" w:lineRule="auto" w:after="20"/>
            </w:pPr>
            <w:r>
              <w:rPr>
                <w:sz w:val="20"/>
              </w:rPr>
              <w:t xml:space="preserve">Land cover</w:t>
            </w:r>
          </w:p>
        </w:tc>
        <w:tc>
          <w:tcPr>
            <w:tcW w:type="dxa" w:w="3077"/>
          </w:tcPr>
          <w:p>
            <w:pPr>
              <w:pStyle w:val="Compact"/>
              <w:spacing w:line="240" w:lineRule="auto" w:after="20"/>
            </w:pPr>
            <w:r>
              <w:rPr>
                <w:sz w:val="20"/>
              </w:rPr>
              <w:t xml:space="preserve">ESA WorldCover v200 (2021)</w:t>
            </w:r>
          </w:p>
        </w:tc>
        <w:tc>
          <w:tcPr>
            <w:tcW w:type="dxa" w:w="545"/>
          </w:tcPr>
          <w:p>
            <w:pPr>
              <w:pStyle w:val="Compact"/>
              <w:spacing w:line="240" w:lineRule="auto" w:after="20"/>
            </w:pPr>
            <w:r>
              <w:rPr>
                <w:sz w:val="20"/>
              </w:rPr>
              <w:t xml:space="preserve">10 m</w:t>
            </w:r>
          </w:p>
        </w:tc>
        <w:tc>
          <w:tcPr>
            <w:tcW w:type="dxa" w:w="1667"/>
          </w:tcPr>
          <w:p>
            <w:pPr>
              <w:pStyle w:val="Compact"/>
              <w:spacing w:line="240" w:lineRule="auto" w:after="20"/>
            </w:pPr>
            <w:r>
              <w:rPr>
                <w:sz w:val="20"/>
              </w:rPr>
              <w:t xml:space="preserve">dominant class, gate, population</w:t>
            </w:r>
          </w:p>
        </w:tc>
        <w:tc>
          <w:tcPr>
            <w:tcW w:type="dxa" w:w="2660"/>
          </w:tcPr>
          <w:p>
            <w:pPr>
              <w:pStyle w:val="Compact"/>
              <w:spacing w:line="240" w:lineRule="auto" w:after="20"/>
            </w:pPr>
            <w:r>
              <w:rPr>
                <w:sz w:val="20"/>
              </w:rPr>
              <w:t xml:space="preserve">(Zanaga et al. 2022)</w:t>
            </w:r>
          </w:p>
        </w:tc>
      </w:tr>
    </w:tbl>
    <w:p>
      <w:pPr>
        <w:pStyle w:val="BodyText"/>
      </w:pPr>
      <w:r>
        <w:t xml:space="preserve">Compositing uses the median over the predictor window. The anomaly channels refer to four baseline</w:t>
      </w:r>
      <w:r>
        <w:t xml:space="preserve"> </w:t>
      </w:r>
      <w:r>
        <w:t xml:space="preserve">years (Table S19). WorldCover 2021 is later than four of the five fires (Section 3.4).</w:t>
      </w:r>
    </w:p>
    <w:p>
      <w:pPr>
        <w:pStyle w:val="BodyText"/>
        <w:keepNext/>
      </w:pPr>
      <w:r>
        <w:rPr>
          <w:b/>
          <w:bCs/>
        </w:rPr>
        <w:t xml:space="preserve">Table S36. Landsat 8 observations per window.</w:t>
      </w:r>
      <w:r>
        <w:t xml:space="preserve"> </w:t>
      </w:r>
      <w:r>
        <w:t xml:space="preserve">Scenes = Landsat 8 Collection 2 Level-2 scenes</w:t>
      </w:r>
      <w:r>
        <w:t xml:space="preserve"> </w:t>
      </w:r>
      <w:r>
        <w:t xml:space="preserve">whose footprint intersects the study area. Clear observations = number of clear observations per</w:t>
      </w:r>
      <w:r>
        <w:t xml:space="preserve"> </w:t>
      </w:r>
      <w:r>
        <w:t xml:space="preserve">pixel after the pipeline’s QA mask (</w:t>
      </w:r>
      <w:r>
        <w:rPr>
          <w:rStyle w:val="VerbatimChar"/>
        </w:rPr>
        <w:t xml:space="preserve">src/step3_landsat_lst.py</w:t>
      </w:r>
      <w:r>
        <w:t xml:space="preserve">), median and 10th to 90th percentile</w:t>
      </w:r>
      <w:r>
        <w:t xml:space="preserve"> </w:t>
      </w:r>
      <w:r>
        <w:t xml:space="preserve">over the study area at 300 m. The pipeline also filters the predictor window by calendar month, so</w:t>
      </w:r>
      <w:r>
        <w:t xml:space="preserve"> </w:t>
      </w:r>
      <w:r>
        <w:t xml:space="preserve">its counts can be slightly lower. Landsat 9 is not used. Source</w:t>
      </w:r>
      <w:r>
        <w:t xml:space="preserve"> </w:t>
      </w:r>
      <w:r>
        <w:rPr>
          <w:rStyle w:val="VerbatimChar"/>
        </w:rPr>
        <w:t xml:space="preserve">paper/labelfix_rerun/round8/r8k_landsat_observations.csv</w:t>
      </w:r>
      <w:r>
        <w:t xml:space="preserve">.</w:t>
      </w:r>
    </w:p>
    <w:tbl>
      <w:tblPr>
        <w:tblStyle w:val="Table"/>
        <w:tblW w:type="auto" w:w="0"/>
        <w:tblLook w:firstRow="1" w:lastRow="0" w:firstColumn="0" w:lastColumn="0" w:noHBand="0" w:noVBand="0" w:val="0020"/>
      </w:tblPr>
      <w:tblGrid>
        <w:gridCol w:w="1153"/>
        <w:gridCol w:w="1768"/>
        <w:gridCol w:w="2767"/>
        <w:gridCol w:w="3382"/>
      </w:tblGrid>
      <w:tr>
        <w:trPr>
          <w:tblHeader w:val="on"/>
          <w:cantSplit/>
        </w:trPr>
        <w:tc>
          <w:tcPr>
            <w:tcW w:type="dxa" w:w="1153"/>
          </w:tcPr>
          <w:p>
            <w:pPr>
              <w:pStyle w:val="Compact"/>
              <w:spacing w:line="240" w:lineRule="auto" w:after="20"/>
            </w:pPr>
            <w:r>
              <w:rPr>
                <w:sz w:val="20"/>
              </w:rPr>
              <w:t xml:space="preserve">Region</w:t>
            </w:r>
          </w:p>
        </w:tc>
        <w:tc>
          <w:tcPr>
            <w:tcW w:type="dxa" w:w="1768"/>
          </w:tcPr>
          <w:p>
            <w:pPr>
              <w:pStyle w:val="Compact"/>
              <w:spacing w:line="240" w:lineRule="auto" w:after="20"/>
              <w:jc w:val="right"/>
            </w:pPr>
            <w:r>
              <w:rPr>
                <w:sz w:val="20"/>
              </w:rPr>
              <w:t xml:space="preserve">Predictor window scenes</w:t>
            </w:r>
          </w:p>
        </w:tc>
        <w:tc>
          <w:tcPr>
            <w:tcW w:type="dxa" w:w="2767"/>
          </w:tcPr>
          <w:p>
            <w:pPr>
              <w:pStyle w:val="Compact"/>
              <w:spacing w:line="240" w:lineRule="auto" w:after="20"/>
            </w:pPr>
            <w:r>
              <w:rPr>
                <w:sz w:val="20"/>
              </w:rPr>
              <w:t xml:space="preserve">Clear observations, predictor window</w:t>
            </w:r>
          </w:p>
        </w:tc>
        <w:tc>
          <w:tcPr>
            <w:tcW w:type="dxa" w:w="3382"/>
          </w:tcPr>
          <w:p>
            <w:pPr>
              <w:pStyle w:val="Compact"/>
              <w:spacing w:line="240" w:lineRule="auto" w:after="20"/>
            </w:pPr>
            <w:r>
              <w:rPr>
                <w:sz w:val="20"/>
              </w:rPr>
              <w:t xml:space="preserve">Clear observations, baseline years (medians)</w:t>
            </w:r>
          </w:p>
        </w:tc>
      </w:tr>
      <w:tr>
        <w:trPr>
          <w:cantSplit/>
        </w:trPr>
        <w:tc>
          <w:tcPr>
            <w:tcW w:type="dxa" w:w="1153"/>
          </w:tcPr>
          <w:p>
            <w:pPr>
              <w:pStyle w:val="Compact"/>
              <w:spacing w:line="240" w:lineRule="auto" w:after="20"/>
            </w:pPr>
            <w:r>
              <w:rPr>
                <w:sz w:val="20"/>
              </w:rPr>
              <w:t xml:space="preserve">Manavgat 2021</w:t>
            </w:r>
          </w:p>
        </w:tc>
        <w:tc>
          <w:tcPr>
            <w:tcW w:type="dxa" w:w="1768"/>
          </w:tcPr>
          <w:p>
            <w:pPr>
              <w:pStyle w:val="Compact"/>
              <w:spacing w:line="240" w:lineRule="auto" w:after="20"/>
              <w:jc w:val="right"/>
            </w:pPr>
            <w:r>
              <w:rPr>
                <w:sz w:val="20"/>
              </w:rPr>
              <w:t xml:space="preserve">14</w:t>
            </w:r>
          </w:p>
        </w:tc>
        <w:tc>
          <w:tcPr>
            <w:tcW w:type="dxa" w:w="2767"/>
          </w:tcPr>
          <w:p>
            <w:pPr>
              <w:pStyle w:val="Compact"/>
              <w:spacing w:line="240" w:lineRule="auto" w:after="20"/>
            </w:pPr>
            <w:r>
              <w:rPr>
                <w:sz w:val="20"/>
              </w:rPr>
              <w:t xml:space="preserve">6 [3 to 10]</w:t>
            </w:r>
          </w:p>
        </w:tc>
        <w:tc>
          <w:tcPr>
            <w:tcW w:type="dxa" w:w="3382"/>
          </w:tcPr>
          <w:p>
            <w:pPr>
              <w:pStyle w:val="Compact"/>
              <w:spacing w:line="240" w:lineRule="auto" w:after="20"/>
            </w:pPr>
            <w:r>
              <w:rPr>
                <w:sz w:val="20"/>
              </w:rPr>
              <w:t xml:space="preserve">7, 7, 6, 6</w:t>
            </w:r>
          </w:p>
        </w:tc>
      </w:tr>
      <w:tr>
        <w:trPr>
          <w:cantSplit/>
        </w:trPr>
        <w:tc>
          <w:tcPr>
            <w:tcW w:type="dxa" w:w="1153"/>
          </w:tcPr>
          <w:p>
            <w:pPr>
              <w:pStyle w:val="Compact"/>
              <w:spacing w:line="240" w:lineRule="auto" w:after="20"/>
            </w:pPr>
            <w:r>
              <w:rPr>
                <w:sz w:val="20"/>
              </w:rPr>
              <w:t xml:space="preserve">Bejís 2022</w:t>
            </w:r>
          </w:p>
        </w:tc>
        <w:tc>
          <w:tcPr>
            <w:tcW w:type="dxa" w:w="1768"/>
          </w:tcPr>
          <w:p>
            <w:pPr>
              <w:pStyle w:val="Compact"/>
              <w:spacing w:line="240" w:lineRule="auto" w:after="20"/>
              <w:jc w:val="right"/>
            </w:pPr>
            <w:r>
              <w:rPr>
                <w:sz w:val="20"/>
              </w:rPr>
              <w:t xml:space="preserve">16</w:t>
            </w:r>
          </w:p>
        </w:tc>
        <w:tc>
          <w:tcPr>
            <w:tcW w:type="dxa" w:w="2767"/>
          </w:tcPr>
          <w:p>
            <w:pPr>
              <w:pStyle w:val="Compact"/>
              <w:spacing w:line="240" w:lineRule="auto" w:after="20"/>
            </w:pPr>
            <w:r>
              <w:rPr>
                <w:sz w:val="20"/>
              </w:rPr>
              <w:t xml:space="preserve">3 [2 to 6]</w:t>
            </w:r>
          </w:p>
        </w:tc>
        <w:tc>
          <w:tcPr>
            <w:tcW w:type="dxa" w:w="3382"/>
          </w:tcPr>
          <w:p>
            <w:pPr>
              <w:pStyle w:val="Compact"/>
              <w:spacing w:line="240" w:lineRule="auto" w:after="20"/>
            </w:pPr>
            <w:r>
              <w:rPr>
                <w:sz w:val="20"/>
              </w:rPr>
              <w:t xml:space="preserve">4, 4, 3, 2</w:t>
            </w:r>
          </w:p>
        </w:tc>
      </w:tr>
      <w:tr>
        <w:trPr>
          <w:cantSplit/>
        </w:trPr>
        <w:tc>
          <w:tcPr>
            <w:tcW w:type="dxa" w:w="1153"/>
          </w:tcPr>
          <w:p>
            <w:pPr>
              <w:pStyle w:val="Compact"/>
              <w:spacing w:line="240" w:lineRule="auto" w:after="20"/>
            </w:pPr>
            <w:r>
              <w:rPr>
                <w:sz w:val="20"/>
              </w:rPr>
              <w:t xml:space="preserve">Muğla 2021</w:t>
            </w:r>
          </w:p>
        </w:tc>
        <w:tc>
          <w:tcPr>
            <w:tcW w:type="dxa" w:w="1768"/>
          </w:tcPr>
          <w:p>
            <w:pPr>
              <w:pStyle w:val="Compact"/>
              <w:spacing w:line="240" w:lineRule="auto" w:after="20"/>
              <w:jc w:val="right"/>
            </w:pPr>
            <w:r>
              <w:rPr>
                <w:sz w:val="20"/>
              </w:rPr>
              <w:t xml:space="preserve">18</w:t>
            </w:r>
          </w:p>
        </w:tc>
        <w:tc>
          <w:tcPr>
            <w:tcW w:type="dxa" w:w="2767"/>
          </w:tcPr>
          <w:p>
            <w:pPr>
              <w:pStyle w:val="Compact"/>
              <w:spacing w:line="240" w:lineRule="auto" w:after="20"/>
            </w:pPr>
            <w:r>
              <w:rPr>
                <w:sz w:val="20"/>
              </w:rPr>
              <w:t xml:space="preserve">6 [3 to 10]</w:t>
            </w:r>
          </w:p>
        </w:tc>
        <w:tc>
          <w:tcPr>
            <w:tcW w:type="dxa" w:w="3382"/>
          </w:tcPr>
          <w:p>
            <w:pPr>
              <w:pStyle w:val="Compact"/>
              <w:spacing w:line="240" w:lineRule="auto" w:after="20"/>
            </w:pPr>
            <w:r>
              <w:rPr>
                <w:sz w:val="20"/>
              </w:rPr>
              <w:t xml:space="preserve">6, 6, 6, 6</w:t>
            </w:r>
          </w:p>
        </w:tc>
      </w:tr>
      <w:tr>
        <w:trPr>
          <w:cantSplit/>
        </w:trPr>
        <w:tc>
          <w:tcPr>
            <w:tcW w:type="dxa" w:w="1153"/>
          </w:tcPr>
          <w:p>
            <w:pPr>
              <w:pStyle w:val="Compact"/>
              <w:spacing w:line="240" w:lineRule="auto" w:after="20"/>
            </w:pPr>
            <w:r>
              <w:rPr>
                <w:sz w:val="20"/>
              </w:rPr>
              <w:t xml:space="preserve">North Evia 2021</w:t>
            </w:r>
          </w:p>
        </w:tc>
        <w:tc>
          <w:tcPr>
            <w:tcW w:type="dxa" w:w="1768"/>
          </w:tcPr>
          <w:p>
            <w:pPr>
              <w:pStyle w:val="Compact"/>
              <w:spacing w:line="240" w:lineRule="auto" w:after="20"/>
              <w:jc w:val="right"/>
            </w:pPr>
            <w:r>
              <w:rPr>
                <w:sz w:val="20"/>
              </w:rPr>
              <w:t xml:space="preserve">8</w:t>
            </w:r>
          </w:p>
        </w:tc>
        <w:tc>
          <w:tcPr>
            <w:tcW w:type="dxa" w:w="2767"/>
          </w:tcPr>
          <w:p>
            <w:pPr>
              <w:pStyle w:val="Compact"/>
              <w:spacing w:line="240" w:lineRule="auto" w:after="20"/>
            </w:pPr>
            <w:r>
              <w:rPr>
                <w:sz w:val="20"/>
              </w:rPr>
              <w:t xml:space="preserve">4 [3 to 4]</w:t>
            </w:r>
          </w:p>
        </w:tc>
        <w:tc>
          <w:tcPr>
            <w:tcW w:type="dxa" w:w="3382"/>
          </w:tcPr>
          <w:p>
            <w:pPr>
              <w:pStyle w:val="Compact"/>
              <w:spacing w:line="240" w:lineRule="auto" w:after="20"/>
            </w:pPr>
            <w:r>
              <w:rPr>
                <w:sz w:val="20"/>
              </w:rPr>
              <w:t xml:space="preserve">4, 3, 2, 1</w:t>
            </w:r>
          </w:p>
        </w:tc>
      </w:tr>
      <w:tr>
        <w:trPr>
          <w:cantSplit/>
        </w:trPr>
        <w:tc>
          <w:tcPr>
            <w:tcW w:type="dxa" w:w="1153"/>
          </w:tcPr>
          <w:p>
            <w:pPr>
              <w:pStyle w:val="Compact"/>
              <w:spacing w:line="240" w:lineRule="auto" w:after="20"/>
            </w:pPr>
            <w:r>
              <w:rPr>
                <w:sz w:val="20"/>
              </w:rPr>
              <w:t xml:space="preserve">Montiferru 2021</w:t>
            </w:r>
          </w:p>
        </w:tc>
        <w:tc>
          <w:tcPr>
            <w:tcW w:type="dxa" w:w="1768"/>
          </w:tcPr>
          <w:p>
            <w:pPr>
              <w:pStyle w:val="Compact"/>
              <w:spacing w:line="240" w:lineRule="auto" w:after="20"/>
              <w:jc w:val="right"/>
            </w:pPr>
            <w:r>
              <w:rPr>
                <w:sz w:val="20"/>
              </w:rPr>
              <w:t xml:space="preserve">4</w:t>
            </w:r>
          </w:p>
        </w:tc>
        <w:tc>
          <w:tcPr>
            <w:tcW w:type="dxa" w:w="2767"/>
          </w:tcPr>
          <w:p>
            <w:pPr>
              <w:pStyle w:val="Compact"/>
              <w:spacing w:line="240" w:lineRule="auto" w:after="20"/>
            </w:pPr>
            <w:r>
              <w:rPr>
                <w:sz w:val="20"/>
              </w:rPr>
              <w:t xml:space="preserve">3 [2 to 4]</w:t>
            </w:r>
          </w:p>
        </w:tc>
        <w:tc>
          <w:tcPr>
            <w:tcW w:type="dxa" w:w="3382"/>
          </w:tcPr>
          <w:p>
            <w:pPr>
              <w:pStyle w:val="Compact"/>
              <w:spacing w:line="240" w:lineRule="auto" w:after="20"/>
            </w:pPr>
            <w:r>
              <w:rPr>
                <w:sz w:val="20"/>
              </w:rPr>
              <w:t xml:space="preserve">4, 3, 2, 3</w:t>
            </w:r>
          </w:p>
        </w:tc>
      </w:tr>
    </w:tbl>
    <w:p>
      <w:pPr>
        <w:pStyle w:val="BodyText"/>
      </w:pPr>
      <w:r>
        <w:t xml:space="preserve">The anomaly channels therefore rest on few clear observations per year, one to seven depending on</w:t>
      </w:r>
      <w:r>
        <w:t xml:space="preserve"> </w:t>
      </w:r>
      <w:r>
        <w:t xml:space="preserve">region and year, which adds noise to the four-year baseline.</w:t>
      </w:r>
    </w:p>
    <w:bookmarkEnd w:id="61"/>
    <w:bookmarkStart w:id="62" w:name="s3.5-limitations-in-full"/>
    <w:p>
      <w:pPr>
        <w:pStyle w:val="Heading2"/>
      </w:pPr>
      <w:r>
        <w:t xml:space="preserve">S3.5 Limitations, in full</w:t>
      </w:r>
    </w:p>
    <w:p>
      <w:pPr>
        <w:pStyle w:val="FirstParagraph"/>
      </w:pPr>
      <w:r>
        <w:t xml:space="preserve">Section 5.6 lists the limitations that affect the conclusions. All fourteen are given here.</w:t>
      </w:r>
    </w:p>
    <w:p>
      <w:pPr>
        <w:numPr>
          <w:ilvl w:val="0"/>
          <w:numId w:val="1004"/>
        </w:numPr>
      </w:pPr>
      <w:r>
        <w:rPr>
          <w:b/>
          <w:bCs/>
        </w:rPr>
        <w:t xml:space="preserve">No weather predictors</w:t>
      </w:r>
      <w:r>
        <w:t xml:space="preserve"> </w:t>
      </w:r>
      <w:r>
        <w:t xml:space="preserve">are used, so the behaviour of a combined thermal and weather</w:t>
      </w:r>
      <w:r>
        <w:t xml:space="preserve"> </w:t>
      </w:r>
      <w:r>
        <w:t xml:space="preserve">predictor set is not known.</w:t>
      </w:r>
    </w:p>
    <w:p>
      <w:pPr>
        <w:numPr>
          <w:ilvl w:val="0"/>
          <w:numId w:val="1004"/>
        </w:numPr>
      </w:pPr>
      <w:r>
        <w:rPr>
          <w:b/>
          <w:bCs/>
        </w:rPr>
        <w:t xml:space="preserve">The same-place comparison covers one region only</w:t>
      </w:r>
      <w:r>
        <w:t xml:space="preserve">, and there, year and seasonal phase are</w:t>
      </w:r>
      <w:r>
        <w:t xml:space="preserve"> </w:t>
      </w:r>
      <w:r>
        <w:t xml:space="preserve">confounded. This cannot be resolved in this study area. The two fires are 42 days apart in median</w:t>
      </w:r>
      <w:r>
        <w:t xml:space="preserve"> </w:t>
      </w:r>
      <w:r>
        <w:t xml:space="preserve">burn day-of-year, neither year has a second fire at the phase of the other, and a calendar-matched</w:t>
      </w:r>
      <w:r>
        <w:t xml:space="preserve"> </w:t>
      </w:r>
      <w:r>
        <w:t xml:space="preserve">comparison would have nine burned cells, against a gate minimum of thirty. The 2022 population also</w:t>
      </w:r>
      <w:r>
        <w:t xml:space="preserve"> </w:t>
      </w:r>
      <w:r>
        <w:t xml:space="preserve">has only eleven blocks with burned cells, against the minimum of sixteen (Section S1.13). Its 331</w:t>
      </w:r>
      <w:r>
        <w:t xml:space="preserve"> </w:t>
      </w:r>
      <w:r>
        <w:t xml:space="preserve">burned cells do not resolve the thermal reversals at interval level, and the pair keeps the place</w:t>
      </w:r>
      <w:r>
        <w:t xml:space="preserve"> </w:t>
      </w:r>
      <w:r>
        <w:t xml:space="preserve">fixed but not the population. The two Muğla populations were computed with the unmodified pipeline</w:t>
      </w:r>
      <w:r>
        <w:t xml:space="preserve"> </w:t>
      </w:r>
      <w:r>
        <w:t xml:space="preserve">code and the same fixed environment, not read from a frozen export.</w:t>
      </w:r>
    </w:p>
    <w:p>
      <w:pPr>
        <w:numPr>
          <w:ilvl w:val="0"/>
          <w:numId w:val="1004"/>
        </w:numPr>
      </w:pPr>
      <w:r>
        <w:rPr>
          <w:b/>
          <w:bCs/>
        </w:rPr>
        <w:t xml:space="preserve">All labels come from one burned-area product</w:t>
      </w:r>
      <w:r>
        <w:t xml:space="preserve">, MCD64A1</w:t>
      </w:r>
      <w:r>
        <w:t xml:space="preserve"> </w:t>
      </w:r>
      <w:r>
        <w:t xml:space="preserve">(Giglio et al. 2018)</w:t>
      </w:r>
      <w:r>
        <w:t xml:space="preserve">. Its omission and</w:t>
      </w:r>
      <w:r>
        <w:t xml:space="preserve"> </w:t>
      </w:r>
      <w:r>
        <w:t xml:space="preserve">commission errors</w:t>
      </w:r>
      <w:r>
        <w:t xml:space="preserve"> </w:t>
      </w:r>
      <w:r>
        <w:t xml:space="preserve">(Boschetti et al. 2019)</w:t>
      </w:r>
      <w:r>
        <w:t xml:space="preserve"> </w:t>
      </w:r>
      <w:r>
        <w:t xml:space="preserve">limit every model here. Its accuracy in the Mediterranean was</w:t>
      </w:r>
      <w:r>
        <w:t xml:space="preserve"> </w:t>
      </w:r>
      <w:r>
        <w:t xml:space="preserve">assessed against reference perimeters</w:t>
      </w:r>
      <w:r>
        <w:t xml:space="preserve"> </w:t>
      </w:r>
      <w:r>
        <w:t xml:space="preserve">(Katagis and Gitas 2022)</w:t>
      </w:r>
      <w:r>
        <w:t xml:space="preserve">. A second 500 m product, VIIRS VNP64A1</w:t>
      </w:r>
      <w:r>
        <w:t xml:space="preserve"> </w:t>
      </w:r>
      <w:r>
        <w:t xml:space="preserve">(Giglio 2024)</w:t>
      </w:r>
      <w:r>
        <w:t xml:space="preserve">, was used as a label check (Table S35), and no</w:t>
      </w:r>
      <w:r>
        <w:t xml:space="preserve"> </w:t>
      </w:r>
      <w:r>
        <w:t xml:space="preserve">conclusion changed. Independent fire perimeters were not used.</w:t>
      </w:r>
    </w:p>
    <w:p>
      <w:pPr>
        <w:numPr>
          <w:ilvl w:val="0"/>
          <w:numId w:val="1004"/>
        </w:numPr>
      </w:pPr>
      <w:r>
        <w:rPr>
          <w:b/>
          <w:bCs/>
        </w:rPr>
        <w:t xml:space="preserve">Evia has the most unusual class balance</w:t>
      </w:r>
      <w:r>
        <w:t xml:space="preserve">, even on the extended study area. Its TSG prevalence</w:t>
      </w:r>
      <w:r>
        <w:t xml:space="preserve"> </w:t>
      </w:r>
      <w:r>
        <w:t xml:space="preserve">is 0.287, the highest in the cohort, against 0.070 to 0.212 in the other four regions.</w:t>
      </w:r>
    </w:p>
    <w:p>
      <w:pPr>
        <w:numPr>
          <w:ilvl w:val="0"/>
          <w:numId w:val="1004"/>
        </w:numPr>
      </w:pPr>
      <w:r>
        <w:rPr>
          <w:b/>
          <w:bCs/>
        </w:rPr>
        <w:t xml:space="preserve">Each region contributes one fire season</w:t>
      </w:r>
      <w:r>
        <w:t xml:space="preserve">, so regional concept shift is confounded with the</w:t>
      </w:r>
      <w:r>
        <w:t xml:space="preserve"> </w:t>
      </w:r>
      <w:r>
        <w:t xml:space="preserve">weather of each fire. Labels from several years are needed to separate them.</w:t>
      </w:r>
    </w:p>
    <w:p>
      <w:pPr>
        <w:numPr>
          <w:ilvl w:val="0"/>
          <w:numId w:val="1004"/>
        </w:numPr>
      </w:pPr>
      <w:r>
        <w:rPr>
          <w:b/>
          <w:bCs/>
        </w:rPr>
        <w:t xml:space="preserve">Point estimates depend on the software version.</w:t>
      </w:r>
      <w:r>
        <w:t xml:space="preserve"> </w:t>
      </w:r>
      <w:r>
        <w:t xml:space="preserve">Under scikit-learn 1.5.2 instead of 1.9.0,</w:t>
      </w:r>
      <w:r>
        <w:t xml:space="preserve"> </w:t>
      </w:r>
      <w:r>
        <w:t xml:space="preserve">single-direction AUCs of the frame-transfer matrix move by up to 0.023 for the thermal model and 0.047</w:t>
      </w:r>
      <w:r>
        <w:t xml:space="preserve"> </w:t>
      </w:r>
      <w:r>
        <w:t xml:space="preserve">for the baseline, and paired differences by up to 0.045. The means move by at most 0.003. One</w:t>
      </w:r>
      <w:r>
        <w:t xml:space="preserve"> </w:t>
      </w:r>
      <w:r>
        <w:t xml:space="preserve">direction changes interval support on each of the original and 10 km frames</w:t>
      </w:r>
      <w:r>
        <w:t xml:space="preserve"> </w:t>
      </w:r>
      <w:r>
        <w:t xml:space="preserve">(</w:t>
      </w:r>
      <w:r>
        <w:rPr>
          <w:rStyle w:val="VerbatimChar"/>
        </w:rPr>
        <w:t xml:space="preserve">paper/labelfix_rerun/round7/sklearn152/compare_vs_1_9_0.json</w:t>
      </w:r>
      <w:r>
        <w:t xml:space="preserve">). All reported numbers come from one</w:t>
      </w:r>
      <w:r>
        <w:t xml:space="preserve"> </w:t>
      </w:r>
      <w:r>
        <w:t xml:space="preserve">verified version, and exact reproduction needs the archived environment.</w:t>
      </w:r>
    </w:p>
    <w:p>
      <w:pPr>
        <w:numPr>
          <w:ilvl w:val="0"/>
          <w:numId w:val="1004"/>
        </w:numPr>
      </w:pPr>
      <w:r>
        <w:rPr>
          <w:b/>
          <w:bCs/>
        </w:rPr>
        <w:t xml:space="preserve">The low transfer into Manavgat is located but not explained.</w:t>
      </w:r>
      <w:r>
        <w:t xml:space="preserve"> </w:t>
      </w:r>
      <w:r>
        <w:t xml:space="preserve">Manavgat is the weakest target</w:t>
      </w:r>
      <w:r>
        <w:t xml:space="preserve"> </w:t>
      </w:r>
      <w:r>
        <w:t xml:space="preserve">(0.435), has the largest matched shortfall (+0.319) and has the most unusual univariate profile in</w:t>
      </w:r>
      <w:r>
        <w:t xml:space="preserve"> </w:t>
      </w:r>
      <w:r>
        <w:t xml:space="preserve">the cohort. Two processing causes were tested, and neither explains it. The quality screening of its</w:t>
      </w:r>
      <w:r>
        <w:t xml:space="preserve"> </w:t>
      </w:r>
      <w:r>
        <w:t xml:space="preserve">coarse thermal input moves no signed association by more than 0.005 (Section S1.5), and its elevation</w:t>
      </w:r>
      <w:r>
        <w:t xml:space="preserve"> </w:t>
      </w:r>
      <w:r>
        <w:t xml:space="preserve">reversal remains on the collar (Section 4.4). Holding elevation reverses its raw LST association (Section S1.11), while holding aspect does not.</w:t>
      </w:r>
      <w:r>
        <w:t xml:space="preserve"> </w:t>
      </w:r>
      <w:r>
        <w:t xml:space="preserve">This rests on one region and one fire.</w:t>
      </w:r>
    </w:p>
    <w:p>
      <w:pPr>
        <w:numPr>
          <w:ilvl w:val="0"/>
          <w:numId w:val="1004"/>
        </w:numPr>
      </w:pPr>
      <w:r>
        <w:rPr>
          <w:b/>
          <w:bCs/>
        </w:rPr>
        <w:t xml:space="preserve">Measures based on interval support are less stable than the point estimates.</w:t>
      </w:r>
      <w:r>
        <w:t xml:space="preserve"> </w:t>
      </w:r>
      <w:r>
        <w:t xml:space="preserve">Five to six</w:t>
      </w:r>
      <w:r>
        <w:t xml:space="preserve"> </w:t>
      </w:r>
      <w:r>
        <w:t xml:space="preserve">of the pipeline’s interval bounds lie within 0.01 of 0.5, under both labels. One such flag, the NDVI</w:t>
      </w:r>
      <w:r>
        <w:t xml:space="preserve"> </w:t>
      </w:r>
      <w:r>
        <w:t xml:space="preserve">of Manavgat, moved the supported-feature cosine on the original study areas from ρ = 0.49 to 0.70,</w:t>
      </w:r>
      <w:r>
        <w:t xml:space="preserve"> </w:t>
      </w:r>
      <w:r>
        <w:t xml:space="preserve">when two equally valid bootstrap streams disagreed on it. The transfer verdicts are more stable.</w:t>
      </w:r>
      <w:r>
        <w:t xml:space="preserve"> </w:t>
      </w:r>
      <w:r>
        <w:t xml:space="preserve">Across five bootstrap seeds, every verdict at 1 km blocking is stable, and the paired split of twelve</w:t>
      </w:r>
      <w:r>
        <w:t xml:space="preserve"> </w:t>
      </w:r>
      <w:r>
        <w:t xml:space="preserve">positive, seven negative and one uncertain holds on every seed. At 5 km blocking, one level verdict</w:t>
      </w:r>
      <w:r>
        <w:t xml:space="preserve"> </w:t>
      </w:r>
      <w:r>
        <w:t xml:space="preserve">and two paired-delta verdicts change with the seed. Exact counts of supported directions should be</w:t>
      </w:r>
      <w:r>
        <w:t xml:space="preserve"> </w:t>
      </w:r>
      <w:r>
        <w:t xml:space="preserve">read at this precision.</w:t>
      </w:r>
    </w:p>
    <w:p>
      <w:pPr>
        <w:numPr>
          <w:ilvl w:val="0"/>
          <w:numId w:val="1004"/>
        </w:numPr>
      </w:pPr>
      <w:r>
        <w:rPr>
          <w:b/>
          <w:bCs/>
        </w:rPr>
        <w:t xml:space="preserve">The five study areas are not comparable, and this cohort cannot fully correct this</w:t>
      </w:r>
      <w:r>
        <w:t xml:space="preserve"> </w:t>
      </w:r>
      <w:r>
        <w:t xml:space="preserve">(Section</w:t>
      </w:r>
      <w:r>
        <w:t xml:space="preserve"> </w:t>
      </w:r>
      <w:r>
        <w:t xml:space="preserve">4.4). The collar results are reported together with the original results, not instead of them,</w:t>
      </w:r>
      <w:r>
        <w:t xml:space="preserve"> </w:t>
      </w:r>
      <w:r>
        <w:t xml:space="preserve">because the collar radius is also a choice, and 5 km and 10 km do not agree exactly (0.591 against</w:t>
      </w:r>
      <w:r>
        <w:t xml:space="preserve"> </w:t>
      </w:r>
      <w:r>
        <w:t xml:space="preserve">0.589). The study areas were fixed earlier in the pipeline, in</w:t>
      </w:r>
      <w:r>
        <w:t xml:space="preserve"> </w:t>
      </w:r>
      <w:r>
        <w:rPr>
          <w:rStyle w:val="VerbatimChar"/>
        </w:rPr>
        <w:t xml:space="preserve">repo/</w:t>
      </w:r>
      <w:r>
        <w:t xml:space="preserve">, so they can be restricted but</w:t>
      </w:r>
      <w:r>
        <w:t xml:space="preserve"> </w:t>
      </w:r>
      <w:r>
        <w:t xml:space="preserve">not extended. Montiferru, whose rectangle is already close to the fire, cannot be given distant cells.</w:t>
      </w:r>
      <w:r>
        <w:t xml:space="preserve"> </w:t>
      </w:r>
      <w:r>
        <w:t xml:space="preserve">Their independence from the outcomes can also not be fully documented. Only the Montiferru rectangle</w:t>
      </w:r>
      <w:r>
        <w:t xml:space="preserve"> </w:t>
      </w:r>
      <w:r>
        <w:t xml:space="preserve">follows a rule, and the Manavgat rectangle is dated before its first gate result. For Bejís and Muğla,</w:t>
      </w:r>
      <w:r>
        <w:t xml:space="preserve"> </w:t>
      </w:r>
      <w:r>
        <w:t xml:space="preserve">the version history cannot show that the rectangle was fixed before the first gate result (Section</w:t>
      </w:r>
      <w:r>
        <w:t xml:space="preserve"> </w:t>
      </w:r>
      <w:r>
        <w:t xml:space="preserve">3.1). Future studies should fix the study area by a stated accessible-area rule</w:t>
      </w:r>
      <w:r>
        <w:t xml:space="preserve"> </w:t>
      </w:r>
      <w:r>
        <w:t xml:space="preserve">(Barve et al. 2011)</w:t>
      </w:r>
      <w:r>
        <w:t xml:space="preserve"> </w:t>
      </w:r>
      <w:r>
        <w:t xml:space="preserve">before</w:t>
      </w:r>
      <w:r>
        <w:t xml:space="preserve"> </w:t>
      </w:r>
      <w:r>
        <w:t xml:space="preserve">any predictor is computed.</w:t>
      </w:r>
    </w:p>
    <w:p>
      <w:pPr>
        <w:numPr>
          <w:ilvl w:val="0"/>
          <w:numId w:val="1004"/>
        </w:numPr>
      </w:pPr>
      <w:r>
        <w:rPr>
          <w:b/>
          <w:bCs/>
        </w:rPr>
        <w:t xml:space="preserve">Other classifiers are compared by point estimate only.</w:t>
      </w:r>
      <w:r>
        <w:t xml:space="preserve"> </w:t>
      </w:r>
      <w:r>
        <w:t xml:space="preserve">The main results use a random forest</w:t>
      </w:r>
      <w:r>
        <w:t xml:space="preserve"> </w:t>
      </w:r>
      <w:r>
        <w:t xml:space="preserve">with unlimited depth, which fits local structure well and extrapolates poorly. Section S1.8 shows that</w:t>
      </w:r>
      <w:r>
        <w:t xml:space="preserve"> </w:t>
      </w:r>
      <w:r>
        <w:t xml:space="preserve">the transfer result does not depend on this choice. Three other estimators, including a penalised</w:t>
      </w:r>
      <w:r>
        <w:t xml:space="preserve"> </w:t>
      </w:r>
      <w:r>
        <w:t xml:space="preserve">linear model, range from 0.481 to 0.527 and have eleven to thirteen of twenty directions above chance.</w:t>
      </w:r>
      <w:r>
        <w:t xml:space="preserve"> </w:t>
      </w:r>
      <w:r>
        <w:t xml:space="preserve">These are point estimates without intervals, so the estimators are not ranked. Other estimator</w:t>
      </w:r>
      <w:r>
        <w:t xml:space="preserve"> </w:t>
      </w:r>
      <w:r>
        <w:t xml:space="preserve">classes were not tried.</w:t>
      </w:r>
    </w:p>
    <w:p>
      <w:pPr>
        <w:numPr>
          <w:ilvl w:val="0"/>
          <w:numId w:val="1004"/>
        </w:numPr>
      </w:pPr>
      <w:r>
        <w:rPr>
          <w:b/>
          <w:bCs/>
        </w:rPr>
        <w:t xml:space="preserve">Burn timing and elevation are confounded in Manavgat.</w:t>
      </w:r>
      <w:r>
        <w:t xml:space="preserve"> </w:t>
      </w:r>
      <w:r>
        <w:t xml:space="preserve">The cells that burned in the first four</w:t>
      </w:r>
      <w:r>
        <w:t xml:space="preserve"> </w:t>
      </w:r>
      <w:r>
        <w:t xml:space="preserve">days lie at a median of 219 m, against 512 m for the later burns and 1,004 m for unburned cells. The</w:t>
      </w:r>
      <w:r>
        <w:t xml:space="preserve"> </w:t>
      </w:r>
      <w:r>
        <w:t xml:space="preserve">effects of timing and elevation cannot be separated in these data.</w:t>
      </w:r>
    </w:p>
    <w:p>
      <w:pPr>
        <w:numPr>
          <w:ilvl w:val="0"/>
          <w:numId w:val="1004"/>
        </w:numPr>
      </w:pPr>
      <w:r>
        <w:rPr>
          <w:b/>
          <w:bCs/>
        </w:rPr>
        <w:t xml:space="preserve">The quality-screening comparison differs in code version as well as in screening.</w:t>
      </w:r>
      <w:r>
        <w:t xml:space="preserve"> </w:t>
      </w:r>
      <w:r>
        <w:t xml:space="preserve">The</w:t>
      </w:r>
      <w:r>
        <w:t xml:space="preserve"> </w:t>
      </w:r>
      <w:r>
        <w:t xml:space="preserve">current pipeline step7 refuses the unscreened MODIS input, because the raster has no nodata tag and</w:t>
      </w:r>
      <w:r>
        <w:t xml:space="preserve"> </w:t>
      </w:r>
      <w:r>
        <w:t xml:space="preserve">8.1 % exact zeros. The unscreened version therefore uses the step7 of export time, and the screened</w:t>
      </w:r>
      <w:r>
        <w:t xml:space="preserve"> </w:t>
      </w:r>
      <w:r>
        <w:t xml:space="preserve">version the current one. The two agree on elevation to four decimals and on every other signed AUC to</w:t>
      </w:r>
      <w:r>
        <w:t xml:space="preserve"> </w:t>
      </w:r>
      <w:r>
        <w:t xml:space="preserve">within 0.005; the largest change is −0.0044 for downscaled LST. The within-region gain moves from</w:t>
      </w:r>
      <w:r>
        <w:t xml:space="preserve"> </w:t>
      </w:r>
      <w:r>
        <w:t xml:space="preserve">+0.067 to +0.068. The confound could hide an effect only if two effects cancelled (Section S1.5).</w:t>
      </w:r>
    </w:p>
    <w:p>
      <w:pPr>
        <w:numPr>
          <w:ilvl w:val="0"/>
          <w:numId w:val="1004"/>
        </w:numPr>
      </w:pPr>
      <w:r>
        <w:rPr>
          <w:b/>
          <w:bCs/>
        </w:rPr>
        <w:t xml:space="preserve">The similarity tests rest on ten independent region pairs.</w:t>
      </w:r>
      <w:r>
        <w:t xml:space="preserve"> </w:t>
      </w:r>
      <w:r>
        <w:t xml:space="preserve">Five regions give twenty</w:t>
      </w:r>
      <w:r>
        <w:t xml:space="preserve"> </w:t>
      </w:r>
      <w:r>
        <w:t xml:space="preserve">ordered directions, but the two directions of a pair share both regions and are not independent. All</w:t>
      </w:r>
      <w:r>
        <w:t xml:space="preserve"> </w:t>
      </w:r>
      <w:r>
        <w:t xml:space="preserve">results of Section S1.21, positive and negative, have this low power. With ten pairs, a moderate true</w:t>
      </w:r>
      <w:r>
        <w:t xml:space="preserve"> </w:t>
      </w:r>
      <w:r>
        <w:t xml:space="preserve">ordering would usually be missed.</w:t>
      </w:r>
    </w:p>
    <w:p>
      <w:pPr>
        <w:numPr>
          <w:ilvl w:val="0"/>
          <w:numId w:val="1004"/>
        </w:numPr>
      </w:pPr>
      <w:r>
        <w:rPr>
          <w:b/>
          <w:bCs/>
        </w:rPr>
        <w:t xml:space="preserve">The frame cost rests on few scars.</w:t>
      </w:r>
      <w:r>
        <w:t xml:space="preserve"> </w:t>
      </w:r>
      <w:r>
        <w:t xml:space="preserve">The full comparison of Section 4.3 is defined on seven</w:t>
      </w:r>
      <w:r>
        <w:t xml:space="preserve"> </w:t>
      </w:r>
      <w:r>
        <w:t xml:space="preserve">scars in three regions. Its scar-level intervals are too narrow, because row A is repeated for each</w:t>
      </w:r>
      <w:r>
        <w:t xml:space="preserve"> </w:t>
      </w:r>
      <w:r>
        <w:t xml:space="preserve">scar of a region. The region-level estimates (+0.137 over three regions, +0.160 over five) should be</w:t>
      </w:r>
      <w:r>
        <w:t xml:space="preserve"> </w:t>
      </w:r>
      <w:r>
        <w:t xml:space="preserve">quoted.</w:t>
      </w:r>
    </w:p>
    <w:bookmarkEnd w:id="62"/>
    <w:bookmarkStart w:id="65" w:name="Xdd31c53b461bc182b050058e71b7f599426e20c"/>
    <w:p>
      <w:pPr>
        <w:pStyle w:val="Heading2"/>
      </w:pPr>
      <w:r>
        <w:t xml:space="preserve">S3.6 Leakage control and reproducibility, in full</w:t>
      </w:r>
    </w:p>
    <w:p>
      <w:pPr>
        <w:pStyle w:val="FirstParagraph"/>
      </w:pPr>
      <w:r>
        <w:t xml:space="preserve">A fixed set of forbidden columns is checked at every model fit. Coordinates (</w:t>
      </w:r>
      <w:r>
        <w:rPr>
          <w:rStyle w:val="VerbatimChar"/>
        </w:rPr>
        <w:t xml:space="preserve">lon</w:t>
      </w:r>
      <w:r>
        <w:t xml:space="preserve">,</w:t>
      </w:r>
      <w:r>
        <w:t xml:space="preserve"> </w:t>
      </w:r>
      <w:r>
        <w:rPr>
          <w:rStyle w:val="VerbatimChar"/>
        </w:rPr>
        <w:t xml:space="preserve">lat</w:t>
      </w:r>
      <w:r>
        <w:t xml:space="preserve">,</w:t>
      </w:r>
      <w:r>
        <w:t xml:space="preserve"> </w:t>
      </w:r>
      <w:r>
        <w:rPr>
          <w:rStyle w:val="VerbatimChar"/>
        </w:rPr>
        <w:t xml:space="preserve">row</w:t>
      </w:r>
      <w:r>
        <w:t xml:space="preserve">,</w:t>
      </w:r>
      <w:r>
        <w:t xml:space="preserve"> </w:t>
      </w:r>
      <w:r>
        <w:rPr>
          <w:rStyle w:val="VerbatimChar"/>
        </w:rPr>
        <w:t xml:space="preserve">col</w:t>
      </w:r>
      <w:r>
        <w:t xml:space="preserve"> </w:t>
      </w:r>
      <w:r>
        <w:t xml:space="preserve">and their normalised forms), every burn-date and label-provenance column, and the agreement</w:t>
      </w:r>
      <w:r>
        <w:t xml:space="preserve"> </w:t>
      </w:r>
      <w:r>
        <w:t xml:space="preserve">fraction are excluded from all feature sets. The check is an assertion in the code. The</w:t>
      </w:r>
      <w:r>
        <w:t xml:space="preserve"> </w:t>
      </w:r>
      <w:r>
        <w:t xml:space="preserve">natural-vegetation mask is used only to define the population, never as a predictor. Spatial blocking</w:t>
      </w:r>
      <w:r>
        <w:t xml:space="preserve"> </w:t>
      </w:r>
      <w:r>
        <w:t xml:space="preserve">keeps neighbouring cells in the same fold.</w:t>
      </w:r>
    </w:p>
    <w:p>
      <w:pPr>
        <w:pStyle w:val="BodyText"/>
      </w:pPr>
      <w:r>
        <w:rPr>
          <w:b/>
          <w:bCs/>
        </w:rPr>
        <w:t xml:space="preserve">Reproducibility.</w:t>
      </w:r>
      <w:r>
        <w:t xml:space="preserve"> </w:t>
      </w:r>
      <w:r>
        <w:t xml:space="preserve">All random processes use seed 42, and every bootstrap uses 1000 replicates. The</w:t>
      </w:r>
      <w:r>
        <w:t xml:space="preserve"> </w:t>
      </w:r>
      <w:r>
        <w:t xml:space="preserve">reproduction check is described in Section S3.6.2.</w:t>
      </w:r>
    </w:p>
    <w:bookmarkStart w:id="63" w:name="s3.6.1-resampling-units"/>
    <w:p>
      <w:pPr>
        <w:pStyle w:val="Heading3"/>
      </w:pPr>
      <w:r>
        <w:t xml:space="preserve">S3.6.1 Resampling units</w:t>
      </w:r>
    </w:p>
    <w:p>
      <w:pPr>
        <w:pStyle w:val="FirstParagraph"/>
      </w:pPr>
      <w:r>
        <w:t xml:space="preserve">Uncertainty is estimated with a spatial-block bootstrap. Let</w:t>
      </w:r>
      <w:r>
        <w:t xml:space="preserve"> </w:t>
      </w:r>
      <m:oMath>
        <m:sSub>
          <m:e>
            <m:r>
              <m:t>β</m:t>
            </m:r>
          </m:e>
          <m:sub>
            <m:r>
              <m:t>1</m:t>
            </m:r>
          </m:sub>
        </m:sSub>
        <m:r>
          <m:rPr>
            <m:sty m:val="p"/>
          </m:rPr>
          <m:t>,</m:t>
        </m:r>
        <m:r>
          <m:rPr>
            <m:sty m:val="p"/>
          </m:rPr>
          <m:t>…</m:t>
        </m:r>
        <m:r>
          <m:rPr>
            <m:sty m:val="p"/>
          </m:rPr>
          <m:t>,</m:t>
        </m:r>
        <m:sSub>
          <m:e>
            <m:r>
              <m:t>β</m:t>
            </m:r>
          </m:e>
          <m:sub>
            <m:r>
              <m:t>M</m:t>
            </m:r>
          </m:sub>
        </m:sSub>
      </m:oMath>
      <w:r>
        <w:t xml:space="preserve"> </w:t>
      </w:r>
      <w:r>
        <w:t xml:space="preserve">be the</w:t>
      </w:r>
      <w:r>
        <w:t xml:space="preserve"> </w:t>
      </w:r>
      <w:r>
        <w:t xml:space="preserve">blocks of Eq. (1) of the main text that contain cells of</w:t>
      </w:r>
      <w:r>
        <w:t xml:space="preserve"> </w:t>
      </w:r>
      <m:oMath>
        <m:r>
          <m:t>F</m:t>
        </m:r>
      </m:oMath>
      <w:r>
        <w:t xml:space="preserve">. Replicate</w:t>
      </w:r>
      <w:r>
        <w:t xml:space="preserve"> </w:t>
      </w:r>
      <m:oMath>
        <m:r>
          <m:t>b</m:t>
        </m:r>
      </m:oMath>
      <w:r>
        <w:t xml:space="preserve"> </w:t>
      </w:r>
      <w:r>
        <w:t xml:space="preserve">draws</w:t>
      </w:r>
      <w:r>
        <w:t xml:space="preserve"> </w:t>
      </w:r>
      <m:oMath>
        <m:r>
          <m:t>M</m:t>
        </m:r>
      </m:oMath>
      <w:r>
        <w:t xml:space="preserve"> </w:t>
      </w:r>
      <w:r>
        <w:t xml:space="preserve">indices</w:t>
      </w:r>
      <w:r>
        <w:t xml:space="preserve"> </w:t>
      </w:r>
      <m:oMath>
        <m:sSub>
          <m:e>
            <m:r>
              <m:t>u</m:t>
            </m:r>
          </m:e>
          <m:sub>
            <m:r>
              <m:t>b</m:t>
            </m:r>
            <m:r>
              <m:t>m</m:t>
            </m:r>
          </m:sub>
        </m:sSub>
      </m:oMath>
      <w:r>
        <w:t xml:space="preserve"> </w:t>
      </w:r>
      <w:r>
        <w:t xml:space="preserve">uniformly with replacement:</w:t>
      </w:r>
    </w:p>
    <w:p>
      <w:pPr>
        <w:pStyle w:val="BodyText"/>
      </w:pPr>
      <m:oMathPara>
        <m:oMathParaPr>
          <m:jc m:val="center"/>
        </m:oMathParaPr>
        <m:oMath>
          <m:sSup>
            <m:e>
              <m:r>
                <m:t>F</m:t>
              </m:r>
            </m:e>
            <m:sup>
              <m:r>
                <m:rPr>
                  <m:sty m:val="p"/>
                </m:rPr>
                <m:t>*</m:t>
              </m:r>
              <m:r>
                <m:t>b</m:t>
              </m:r>
            </m:sup>
          </m:sSup>
          <m:r>
            <m:rPr>
              <m:sty m:val="p"/>
            </m:rPr>
            <m:t>=</m:t>
          </m:r>
          <m:sSubSup>
            <m:e>
              <m:r>
                <m:rPr>
                  <m:sty m:val="p"/>
                </m:rPr>
                <m:t>⨄</m:t>
              </m:r>
            </m:e>
            <m:sub>
              <m:r>
                <m:t>m</m:t>
              </m:r>
              <m:r>
                <m:rPr>
                  <m:sty m:val="p"/>
                </m:rPr>
                <m:t>=</m:t>
              </m:r>
              <m:r>
                <m:t>1</m:t>
              </m:r>
            </m:sub>
            <m:sup>
              <m:r>
                <m:t>M</m:t>
              </m:r>
            </m:sup>
          </m:sSubSup>
          <m:sSub>
            <m:e>
              <m:r>
                <m:t>β</m:t>
              </m:r>
            </m:e>
            <m:sub>
              <m:sSub>
                <m:e>
                  <m:r>
                    <m:t>u</m:t>
                  </m:r>
                </m:e>
                <m:sub>
                  <m:r>
                    <m:t>b</m:t>
                  </m:r>
                  <m:r>
                    <m:t>m</m:t>
                  </m:r>
                </m:sub>
              </m:sSub>
            </m:sub>
          </m:sSub>
          <m:r>
            <m:rPr>
              <m:sty m:val="p"/>
            </m:rPr>
            <m:t>,</m:t>
          </m:r>
          <m:r>
            <m:t>  </m:t>
          </m:r>
          <m:sSub>
            <m:e>
              <m:r>
                <m:rPr>
                  <m:sty m:val="p"/>
                </m:rPr>
                <m:t>C</m:t>
              </m:r>
              <m:r>
                <m:rPr>
                  <m:sty m:val="p"/>
                </m:rPr>
                <m:t>I</m:t>
              </m:r>
            </m:e>
            <m:sub>
              <m:r>
                <m:t>95</m:t>
              </m:r>
            </m:sub>
          </m:sSub>
          <m:r>
            <m:rPr>
              <m:sty m:val="p"/>
            </m:rPr>
            <m:t>=</m:t>
          </m:r>
          <m:d>
            <m:dPr>
              <m:begChr m:val="["/>
              <m:sepChr m:val=""/>
              <m:endChr m:val="]"/>
              <m:grow/>
            </m:dPr>
            <m:e>
              <m:sSub>
                <m:e>
                  <m:r>
                    <m:t>Q</m:t>
                  </m:r>
                </m:e>
                <m:sub>
                  <m:r>
                    <m:t>0.025</m:t>
                  </m:r>
                </m:sub>
              </m:sSub>
              <m:r>
                <m:rPr>
                  <m:sty m:val="p"/>
                </m:rPr>
                <m:t>{</m:t>
              </m:r>
              <m:r>
                <m:t>θ</m:t>
              </m:r>
              <m:r>
                <m:rPr>
                  <m:sty m:val="p"/>
                </m:rPr>
                <m:t>(</m:t>
              </m:r>
              <m:sSup>
                <m:e>
                  <m:r>
                    <m:t>F</m:t>
                  </m:r>
                </m:e>
                <m:sup>
                  <m:r>
                    <m:rPr>
                      <m:sty m:val="p"/>
                    </m:rPr>
                    <m:t>*</m:t>
                  </m:r>
                  <m:r>
                    <m:t>b</m:t>
                  </m:r>
                </m:sup>
              </m:sSup>
              <m:r>
                <m:rPr>
                  <m:sty m:val="p"/>
                </m:rPr>
                <m:t>)</m:t>
              </m:r>
              <m:sSub>
                <m:e>
                  <m:r>
                    <m:rPr>
                      <m:sty m:val="p"/>
                    </m:rPr>
                    <m:t>}</m:t>
                  </m:r>
                </m:e>
                <m:sub>
                  <m:r>
                    <m:t>b</m:t>
                  </m:r>
                </m:sub>
              </m:sSub>
              <m:r>
                <m:rPr>
                  <m:sty m:val="p"/>
                </m:rPr>
                <m:t>,</m:t>
              </m:r>
              <m:r>
                <m:t> </m:t>
              </m:r>
              <m:sSub>
                <m:e>
                  <m:r>
                    <m:t>Q</m:t>
                  </m:r>
                </m:e>
                <m:sub>
                  <m:r>
                    <m:t>0.975</m:t>
                  </m:r>
                </m:sub>
              </m:sSub>
              <m:r>
                <m:rPr>
                  <m:sty m:val="p"/>
                </m:rPr>
                <m:t>{</m:t>
              </m:r>
              <m:r>
                <m:t>θ</m:t>
              </m:r>
              <m:r>
                <m:rPr>
                  <m:sty m:val="p"/>
                </m:rPr>
                <m:t>(</m:t>
              </m:r>
              <m:sSup>
                <m:e>
                  <m:r>
                    <m:t>F</m:t>
                  </m:r>
                </m:e>
                <m:sup>
                  <m:r>
                    <m:rPr>
                      <m:sty m:val="p"/>
                    </m:rPr>
                    <m:t>*</m:t>
                  </m:r>
                  <m:r>
                    <m:t>b</m:t>
                  </m:r>
                </m:sup>
              </m:sSup>
              <m:r>
                <m:rPr>
                  <m:sty m:val="p"/>
                </m:rPr>
                <m:t>)</m:t>
              </m:r>
              <m:sSub>
                <m:e>
                  <m:r>
                    <m:rPr>
                      <m:sty m:val="p"/>
                    </m:rPr>
                    <m:t>}</m:t>
                  </m:r>
                </m:e>
                <m:sub>
                  <m:r>
                    <m:t>b</m:t>
                  </m:r>
                </m:sub>
              </m:sSub>
            </m:e>
          </m:d>
          <m:r>
            <m:rPr>
              <m:sty m:val="p"/>
            </m:rPr>
            <m:t>.</m:t>
          </m:r>
          <m:r>
            <m:t>  </m:t>
          </m:r>
          <m:r>
            <m:rPr>
              <m:sty m:val="p"/>
            </m:rPr>
            <m:t>(</m:t>
          </m:r>
          <m:r>
            <m:t>S</m:t>
          </m:r>
          <m:r>
            <m:t>1</m:t>
          </m:r>
          <m:r>
            <m:rPr>
              <m:sty m:val="p"/>
            </m:rPr>
            <m:t>)</m:t>
          </m:r>
        </m:oMath>
      </m:oMathPara>
    </w:p>
    <w:p>
      <w:pPr>
        <w:pStyle w:val="FirstParagraph"/>
      </w:pPr>
      <w:r>
        <w:t xml:space="preserve">Here</w:t>
      </w:r>
      <w:r>
        <w:t xml:space="preserve"> </w:t>
      </w:r>
      <m:oMath>
        <m:r>
          <m:t>θ</m:t>
        </m:r>
      </m:oMath>
      <w:r>
        <w:t xml:space="preserve"> </w:t>
      </w:r>
      <w:r>
        <w:t xml:space="preserve">is the statistic and</w:t>
      </w:r>
      <w:r>
        <w:t xml:space="preserve"> </w:t>
      </w:r>
      <m:oMath>
        <m:r>
          <m:t>Q</m:t>
        </m:r>
      </m:oMath>
      <w:r>
        <w:t xml:space="preserve"> </w:t>
      </w:r>
      <w:r>
        <w:t xml:space="preserve">gives the 2.5 and 97.5 percentiles over 1000</w:t>
      </w:r>
      <w:r>
        <w:t xml:space="preserve"> </w:t>
      </w:r>
      <w:r>
        <w:t xml:space="preserve">replicates, seed 42. A replicate with only one class is dropped. Differences are formed within each</w:t>
      </w:r>
      <w:r>
        <w:t xml:space="preserve"> </w:t>
      </w:r>
      <w:r>
        <w:t xml:space="preserve">replicate, so they are paired. The block size of each interval is given with the result. Because</w:t>
      </w:r>
      <w:r>
        <w:t xml:space="preserve"> </w:t>
      </w:r>
      <w:r>
        <w:t xml:space="preserve">blocks are resampled, the reliability of an interval depends on the number of blocks with at least</w:t>
      </w:r>
      <w:r>
        <w:t xml:space="preserve"> </w:t>
      </w:r>
      <w:r>
        <w:t xml:space="preserve">one burned cell. These counts are reported with the intervals. Where a verdict rests on too few such</w:t>
      </w:r>
      <w:r>
        <w:t xml:space="preserve"> </w:t>
      </w:r>
      <w:r>
        <w:t xml:space="preserve">blocks, it is reported as indicative.</w:t>
      </w:r>
    </w:p>
    <w:p>
      <w:pPr>
        <w:pStyle w:val="BodyText"/>
      </w:pPr>
      <w:r>
        <w:t xml:space="preserve">The twenty transfer directions are not independent, because each region appears in eight of them.</w:t>
      </w:r>
      <w:r>
        <w:t xml:space="preserve"> </w:t>
      </w:r>
      <w:r>
        <w:t xml:space="preserve">The</w:t>
      </w:r>
      <w:r>
        <w:t xml:space="preserve"> </w:t>
      </w:r>
      <w:r>
        <w:rPr>
          <w:b/>
          <w:bCs/>
        </w:rPr>
        <w:t xml:space="preserve">pair-cluster bootstrap</w:t>
      </w:r>
      <w:r>
        <w:t xml:space="preserve"> </w:t>
      </w:r>
      <w:r>
        <w:t xml:space="preserve">therefore resamples the ten unordered region pairs. Each pair carries</w:t>
      </w:r>
      <w:r>
        <w:t xml:space="preserve"> </w:t>
      </w:r>
      <w:r>
        <w:t xml:space="preserve">its set</w:t>
      </w:r>
      <w:r>
        <w:t xml:space="preserve"> </w:t>
      </w:r>
      <m:oMath>
        <m:sSub>
          <m:e>
            <m:r>
              <m:t>π</m:t>
            </m:r>
          </m:e>
          <m:sub>
            <m:r>
              <m:t>p</m:t>
            </m:r>
          </m:sub>
        </m:sSub>
      </m:oMath>
      <w:r>
        <w:t xml:space="preserve"> </w:t>
      </w:r>
      <w:r>
        <w:t xml:space="preserve">of ordered directions, and the carried values</w:t>
      </w:r>
      <w:r>
        <w:t xml:space="preserve"> </w:t>
      </w:r>
      <m:oMath>
        <m:sSub>
          <m:e>
            <m:r>
              <m:t>δ</m:t>
            </m:r>
          </m:e>
          <m:sub>
            <m:r>
              <m:t>s</m:t>
            </m:r>
            <m:r>
              <m:t>t</m:t>
            </m:r>
          </m:sub>
        </m:sSub>
      </m:oMath>
      <w:r>
        <w:t xml:space="preserve"> </w:t>
      </w:r>
      <w:r>
        <w:t xml:space="preserve">are averaged:</w:t>
      </w:r>
    </w:p>
    <w:p>
      <w:pPr>
        <w:pStyle w:val="BodyText"/>
      </w:pPr>
      <m:oMathPara>
        <m:oMathParaPr>
          <m:jc m:val="center"/>
        </m:oMathParaPr>
        <m:oMath>
          <m:sSup>
            <m:e>
              <m:acc>
                <m:accPr>
                  <m:chr m:val="‾"/>
                </m:accPr>
                <m:e>
                  <m:r>
                    <m:t>δ</m:t>
                  </m:r>
                </m:e>
              </m:acc>
            </m:e>
            <m:sup>
              <m:r>
                <m:rPr>
                  <m:sty m:val="p"/>
                </m:rPr>
                <m:t>*</m:t>
              </m:r>
              <m:r>
                <m:t>b</m:t>
              </m:r>
            </m:sup>
          </m:sSup>
          <m:r>
            <m:rPr>
              <m:sty m:val="p"/>
            </m:rPr>
            <m:t>=</m:t>
          </m:r>
          <m:f>
            <m:fPr>
              <m:type m:val="bar"/>
            </m:fPr>
            <m:num>
              <m:nary>
                <m:naryPr>
                  <m:chr m:val="∑"/>
                  <m:limLoc m:val="undOvr"/>
                  <m:subHide m:val="off"/>
                  <m:supHide m:val="off"/>
                </m:naryPr>
                <m:sub>
                  <m:r>
                    <m:t>m</m:t>
                  </m:r>
                  <m:r>
                    <m:rPr>
                      <m:sty m:val="p"/>
                    </m:rPr>
                    <m:t>=</m:t>
                  </m:r>
                  <m:r>
                    <m:t>1</m:t>
                  </m:r>
                </m:sub>
                <m:sup>
                  <m:r>
                    <m:t>10</m:t>
                  </m:r>
                </m:sup>
                <m:e>
                  <m:nary>
                    <m:naryPr>
                      <m:chr m:val="∑"/>
                      <m:limLoc m:val="undOvr"/>
                      <m:subHide m:val="off"/>
                      <m:supHide m:val="on"/>
                    </m:naryPr>
                    <m:sub>
                      <m:r>
                        <m:rPr>
                          <m:sty m:val="p"/>
                        </m:rPr>
                        <m:t>(</m:t>
                      </m:r>
                      <m:r>
                        <m:t>s</m:t>
                      </m:r>
                      <m:r>
                        <m:rPr>
                          <m:sty m:val="p"/>
                        </m:rPr>
                        <m:t>,</m:t>
                      </m:r>
                      <m:r>
                        <m:t>t</m:t>
                      </m:r>
                      <m:r>
                        <m:rPr>
                          <m:sty m:val="p"/>
                        </m:rPr>
                        <m:t>)</m:t>
                      </m:r>
                      <m:r>
                        <m:rPr>
                          <m:sty m:val="p"/>
                        </m:rPr>
                        <m:t>∈</m:t>
                      </m:r>
                      <m:sSub>
                        <m:e>
                          <m:r>
                            <m:t>π</m:t>
                          </m:r>
                        </m:e>
                        <m:sub>
                          <m:sSub>
                            <m:e>
                              <m:r>
                                <m:t>u</m:t>
                              </m:r>
                            </m:e>
                            <m:sub>
                              <m:r>
                                <m:t>b</m:t>
                              </m:r>
                              <m:r>
                                <m:t>m</m:t>
                              </m:r>
                            </m:sub>
                          </m:sSub>
                        </m:sub>
                      </m:sSub>
                    </m:sub>
                    <m:sup>
                      <m:r>
                        <m:t>​</m:t>
                      </m:r>
                    </m:sup>
                    <m:e>
                      <m:sSub>
                        <m:e>
                          <m:r>
                            <m:t>δ</m:t>
                          </m:r>
                        </m:e>
                        <m:sub>
                          <m:r>
                            <m:t>s</m:t>
                          </m:r>
                          <m:r>
                            <m:t>t</m:t>
                          </m:r>
                        </m:sub>
                      </m:sSub>
                    </m:e>
                  </m:nary>
                </m:e>
              </m:nary>
            </m:num>
            <m:den>
              <m:nary>
                <m:naryPr>
                  <m:chr m:val="∑"/>
                  <m:limLoc m:val="undOvr"/>
                  <m:subHide m:val="off"/>
                  <m:supHide m:val="off"/>
                </m:naryPr>
                <m:sub>
                  <m:r>
                    <m:t>m</m:t>
                  </m:r>
                  <m:r>
                    <m:rPr>
                      <m:sty m:val="p"/>
                    </m:rPr>
                    <m:t>=</m:t>
                  </m:r>
                  <m:r>
                    <m:t>1</m:t>
                  </m:r>
                </m:sub>
                <m:sup>
                  <m:r>
                    <m:t>10</m:t>
                  </m:r>
                </m:sup>
                <m:e>
                  <m:r>
                    <m:rPr>
                      <m:sty m:val="p"/>
                    </m:rPr>
                    <m:t>|</m:t>
                  </m:r>
                </m:e>
              </m:nary>
              <m:sSub>
                <m:e>
                  <m:r>
                    <m:t>π</m:t>
                  </m:r>
                </m:e>
                <m:sub>
                  <m:sSub>
                    <m:e>
                      <m:r>
                        <m:t>u</m:t>
                      </m:r>
                    </m:e>
                    <m:sub>
                      <m:r>
                        <m:t>b</m:t>
                      </m:r>
                      <m:r>
                        <m:t>m</m:t>
                      </m:r>
                    </m:sub>
                  </m:sSub>
                </m:sub>
              </m:sSub>
              <m:r>
                <m:rPr>
                  <m:sty m:val="p"/>
                </m:rPr>
                <m:t>|</m:t>
              </m:r>
            </m:den>
          </m:f>
          <m:r>
            <m:rPr>
              <m:sty m:val="p"/>
            </m:rPr>
            <m:t>.</m:t>
          </m:r>
          <m:r>
            <m:t>  </m:t>
          </m:r>
          <m:r>
            <m:rPr>
              <m:sty m:val="p"/>
            </m:rPr>
            <m:t>(</m:t>
          </m:r>
          <m:r>
            <m:t>S</m:t>
          </m:r>
          <m:r>
            <m:t>2</m:t>
          </m:r>
          <m:r>
            <m:rPr>
              <m:sty m:val="p"/>
            </m:rPr>
            <m:t>)</m:t>
          </m:r>
        </m:oMath>
      </m:oMathPara>
    </w:p>
    <w:p>
      <w:pPr>
        <w:pStyle w:val="FirstParagraph"/>
      </w:pPr>
      <w:r>
        <w:t xml:space="preserve">The interval has the same percentile form, with 1000 replicates for the direction-level intervals</w:t>
      </w:r>
      <w:r>
        <w:t xml:space="preserve"> </w:t>
      </w:r>
      <w:r>
        <w:t xml:space="preserve">of Sections 4.4 and 4.5, and 20,000 for the unit comparison of Table S31. Clustering by target region</w:t>
      </w:r>
      <w:r>
        <w:t xml:space="preserve"> </w:t>
      </w:r>
      <w:r>
        <w:t xml:space="preserve">replaces</w:t>
      </w:r>
      <w:r>
        <w:t xml:space="preserve"> </w:t>
      </w:r>
      <m:oMath>
        <m:sSub>
          <m:e>
            <m:r>
              <m:t>π</m:t>
            </m:r>
          </m:e>
          <m:sub>
            <m:r>
              <m:t>p</m:t>
            </m:r>
          </m:sub>
        </m:sSub>
      </m:oMath>
      <w:r>
        <w:t xml:space="preserve"> </w:t>
      </w:r>
      <w:r>
        <w:t xml:space="preserve">by the four directions that share a target. A quantity with one value per held-out</w:t>
      </w:r>
      <w:r>
        <w:t xml:space="preserve"> </w:t>
      </w:r>
      <w:r>
        <w:t xml:space="preserve">scar or target region gets a Student t interval over these</w:t>
      </w:r>
      <w:r>
        <w:t xml:space="preserve"> </w:t>
      </w:r>
      <m:oMath>
        <m:r>
          <m:t>n</m:t>
        </m:r>
      </m:oMath>
      <w:r>
        <w:t xml:space="preserve"> </w:t>
      </w:r>
      <w:r>
        <w:t xml:space="preserve">units:</w:t>
      </w:r>
    </w:p>
    <w:p>
      <w:pPr>
        <w:pStyle w:val="BodyText"/>
      </w:pPr>
      <m:oMathPara>
        <m:oMathParaPr>
          <m:jc m:val="center"/>
        </m:oMathParaPr>
        <m:oMath>
          <m:acc>
            <m:accPr>
              <m:chr m:val="‾"/>
            </m:accPr>
            <m:e>
              <m:r>
                <m:t>x</m:t>
              </m:r>
            </m:e>
          </m:acc>
          <m:r>
            <m:rPr>
              <m:sty m:val="p"/>
            </m:rPr>
            <m:t>±</m:t>
          </m:r>
          <m:sSub>
            <m:e>
              <m:r>
                <m:t>t</m:t>
              </m:r>
            </m:e>
            <m:sub>
              <m:r>
                <m:t>0.975</m:t>
              </m:r>
              <m:r>
                <m:rPr>
                  <m:sty m:val="p"/>
                </m:rPr>
                <m:t>,</m:t>
              </m:r>
              <m:r>
                <m:t> </m:t>
              </m:r>
              <m:r>
                <m:t>n</m:t>
              </m:r>
              <m:r>
                <m:rPr>
                  <m:sty m:val="p"/>
                </m:rPr>
                <m:t>−</m:t>
              </m:r>
              <m:r>
                <m:t>1</m:t>
              </m:r>
            </m:sub>
          </m:sSub>
          <m:r>
            <m:t> </m:t>
          </m:r>
          <m:sSub>
            <m:e>
              <m:r>
                <m:t>s</m:t>
              </m:r>
            </m:e>
            <m:sub>
              <m:r>
                <m:t>x</m:t>
              </m:r>
            </m:sub>
          </m:sSub>
          <m:r>
            <m:rPr>
              <m:sty m:val="p"/>
            </m:rPr>
            <m:t>/</m:t>
          </m:r>
          <m:rad>
            <m:radPr>
              <m:degHide m:val="on"/>
            </m:radPr>
            <m:deg/>
            <m:e>
              <m:r>
                <m:t>n</m:t>
              </m:r>
            </m:e>
          </m:rad>
          <m:r>
            <m:rPr>
              <m:sty m:val="p"/>
            </m:rPr>
            <m:t>.</m:t>
          </m:r>
          <m:r>
            <m:t>  </m:t>
          </m:r>
          <m:r>
            <m:rPr>
              <m:sty m:val="p"/>
            </m:rPr>
            <m:t>(</m:t>
          </m:r>
          <m:r>
            <m:t>S</m:t>
          </m:r>
          <m:r>
            <m:t>3</m:t>
          </m:r>
          <m:r>
            <m:rPr>
              <m:sty m:val="p"/>
            </m:rPr>
            <m:t>)</m:t>
          </m:r>
        </m:oMath>
      </m:oMathPara>
    </w:p>
    <w:p>
      <w:pPr>
        <w:pStyle w:val="FirstParagraph"/>
      </w:pPr>
      <w:r>
        <w:rPr>
          <w:b/>
          <w:bCs/>
        </w:rPr>
        <w:t xml:space="preserve">The effective sample is therefore ten pairs or five regions for direction-level intervals, and at</w:t>
      </w:r>
      <w:r>
        <w:rPr>
          <w:b/>
          <w:bCs/>
        </w:rPr>
        <w:t xml:space="preserve"> </w:t>
      </w:r>
      <w:r>
        <w:rPr>
          <w:b/>
          <w:bCs/>
        </w:rPr>
        <w:t xml:space="preserve">most seven scars from three regions for scar-level intervals.</w:t>
      </w:r>
    </w:p>
    <w:bookmarkEnd w:id="63"/>
    <w:bookmarkStart w:id="64" w:name="X0ae8e26febd88e9fb8191e199c7ec154398bd1c"/>
    <w:p>
      <w:pPr>
        <w:pStyle w:val="Heading3"/>
      </w:pPr>
      <w:r>
        <w:t xml:space="preserve">S3.6.2 Reproduction of the re-frozen outputs</w:t>
      </w:r>
    </w:p>
    <w:p>
      <w:pPr>
        <w:pStyle w:val="FirstParagraph"/>
      </w:pPr>
      <w:r>
        <w:t xml:space="preserve">The transfer analysis runs in an environment separate from the pipeline. The reproduction check of</w:t>
      </w:r>
      <w:r>
        <w:t xml:space="preserve"> </w:t>
      </w:r>
      <w:r>
        <w:t xml:space="preserve">the repository therefore refitted every within-region model and all twenty CORAL transfers and</w:t>
      </w:r>
      <w:r>
        <w:t xml:space="preserve"> </w:t>
      </w:r>
      <w:r>
        <w:t xml:space="preserve">compared them with the frozen pipeline output. For Manavgat this output is the one re-frozen on the</w:t>
      </w:r>
      <w:r>
        <w:t xml:space="preserve"> </w:t>
      </w:r>
      <w:r>
        <w:t xml:space="preserve">corrected label (Section 3.2), produced with the pipeline at commit 6381f4c. Only two changes were</w:t>
      </w:r>
      <w:r>
        <w:t xml:space="preserve"> </w:t>
      </w:r>
      <w:r>
        <w:t xml:space="preserve">made. A one-line patch lets the window-closure module accept a population column that the corrected</w:t>
      </w:r>
      <w:r>
        <w:t xml:space="preserve"> </w:t>
      </w:r>
      <w:r>
        <w:t xml:space="preserve">label adds; its diff is released with the re-freeze. A runtime setting points the Earth Engine calls</w:t>
      </w:r>
      <w:r>
        <w:t xml:space="preserve"> </w:t>
      </w:r>
      <w:r>
        <w:t xml:space="preserve">at the project</w:t>
      </w:r>
      <w:r>
        <w:t xml:space="preserve"> </w:t>
      </w:r>
      <w:r>
        <w:rPr>
          <w:rStyle w:val="VerbatimChar"/>
        </w:rPr>
        <w:t xml:space="preserve">thermaltwin</w:t>
      </w:r>
      <w:r>
        <w:t xml:space="preserve">, which changes only the infrastructure. The within-region results agree</w:t>
      </w:r>
      <w:r>
        <w:t xml:space="preserve"> </w:t>
      </w:r>
      <w:r>
        <w:t xml:space="preserve">exactly, and the transfer directions to within 1.3×10⁻⁸, below the repository tolerance of 10⁻⁶. This</w:t>
      </w:r>
      <w:r>
        <w:t xml:space="preserve"> </w:t>
      </w:r>
      <w:r>
        <w:t xml:space="preserve">tolerance applies to the CORAL and within-region check. The frame-transfer script of Section 4.4 fits</w:t>
      </w:r>
      <w:r>
        <w:t xml:space="preserve"> </w:t>
      </w:r>
      <w:r>
        <w:t xml:space="preserve">its forests in parallel, so its values vary between runs by up to 2×10⁻⁶ (1.4×10⁻⁶ in a rerun on</w:t>
      </w:r>
      <w:r>
        <w:t xml:space="preserve"> </w:t>
      </w:r>
      <w:r>
        <w:t xml:space="preserve">29 September 2026,</w:t>
      </w:r>
      <w:r>
        <w:t xml:space="preserve"> </w:t>
      </w:r>
      <w:r>
        <w:rPr>
          <w:rStyle w:val="VerbatimChar"/>
        </w:rPr>
        <w:t xml:space="preserve">paper/labelfix_rerun/round7/</w:t>
      </w:r>
      <w:r>
        <w:t xml:space="preserve">). This is within the tolerance of 10⁻⁵ applied to</w:t>
      </w:r>
      <w:r>
        <w:t xml:space="preserve"> </w:t>
      </w:r>
      <w:r>
        <w:t xml:space="preserve">it, and the values are stable at the printed precision. The effect of an unpinned library version is</w:t>
      </w:r>
      <w:r>
        <w:t xml:space="preserve"> </w:t>
      </w:r>
      <w:r>
        <w:t xml:space="preserve">given in Section S3.5(vi).</w:t>
      </w:r>
    </w:p>
    <w:bookmarkEnd w:id="64"/>
    <w:bookmarkEnd w:id="65"/>
    <w:bookmarkStart w:id="67" w:name="Xcb25a90d00f58f7567c934698a002b62f4fc3c6"/>
    <w:p>
      <w:pPr>
        <w:pStyle w:val="Heading2"/>
      </w:pPr>
      <w:r>
        <w:t xml:space="preserve">S3.7 Transfer-gap decomposition and the concept-shift diagnostic, in full</w:t>
      </w:r>
    </w:p>
    <w:p>
      <w:pPr>
        <w:pStyle w:val="FirstParagraph"/>
      </w:pPr>
      <w:r>
        <w:t xml:space="preserve">For each direction, the gap between the within-region skill of the target and the raw transfer</w:t>
      </w:r>
      <w:r>
        <w:t xml:space="preserve"> </w:t>
      </w:r>
      <w:r>
        <w:t xml:space="preserve">result is split in two parts. One part is what the best label-free adaptation recovers, and the other</w:t>
      </w:r>
      <w:r>
        <w:t xml:space="preserve"> </w:t>
      </w:r>
      <w:r>
        <w:t xml:space="preserve">is what it does not recover. The recovered fraction is (adapted − raw) / (within − raw), signed and not</w:t>
      </w:r>
      <w:r>
        <w:t xml:space="preserve"> </w:t>
      </w:r>
      <w:r>
        <w:t xml:space="preserve">clipped, with its interval from the same paired bootstrap. It describes what the two methods tested achieved, with the better one chosen using target labels;</w:t>
      </w:r>
      <w:r>
        <w:t xml:space="preserve"> </w:t>
      </w:r>
      <w:r>
        <w:t xml:space="preserve">other correction methods were not tested. Section 4.3 shows that the remainder should not be read</w:t>
      </w:r>
      <w:r>
        <w:t xml:space="preserve"> </w:t>
      </w:r>
      <w:r>
        <w:t xml:space="preserve">as a concept-shift residual, because much of it already appears inside a single region (Section</w:t>
      </w:r>
      <w:r>
        <w:t xml:space="preserve"> </w:t>
      </w:r>
      <w:r>
        <w:t xml:space="preserve">S1.10).</w:t>
      </w:r>
    </w:p>
    <w:p>
      <w:pPr>
        <w:pStyle w:val="BodyText"/>
      </w:pPr>
      <w:r>
        <w:t xml:space="preserve">Concept shift is examined with the</w:t>
      </w:r>
      <w:r>
        <w:t xml:space="preserve"> </w:t>
      </w:r>
      <w:r>
        <w:rPr>
          <w:b/>
          <w:bCs/>
        </w:rPr>
        <w:t xml:space="preserve">signed univariate association</w:t>
      </w:r>
      <w:r>
        <w:t xml:space="preserve">. For each numeric predictor, the</w:t>
      </w:r>
      <w:r>
        <w:t xml:space="preserve"> </w:t>
      </w:r>
      <w:r>
        <w:t xml:space="preserve">raw ROC-AUC of the predictor against</w:t>
      </w:r>
      <w:r>
        <w:t xml:space="preserve"> </w:t>
      </w:r>
      <w:r>
        <w:rPr>
          <w:rStyle w:val="VerbatimChar"/>
        </w:rPr>
        <w:t xml:space="preserve">burned</w:t>
      </w:r>
      <w:r>
        <w:t xml:space="preserve"> </w:t>
      </w:r>
      <w:r>
        <w:t xml:space="preserve">is computed in each region and is not folded to</w:t>
      </w:r>
      <w:r>
        <w:t xml:space="preserve"> </w:t>
      </w:r>
      <w:r>
        <w:t xml:space="preserve">max(AUC, 1 − AUC), so a value below 0.5 shows a direction, not weakness. A reversal is called</w:t>
      </w:r>
      <w:r>
        <w:t xml:space="preserve"> </w:t>
      </w:r>
      <w:r>
        <w:t xml:space="preserve">bootstrap-supported only when the point estimates of the two regions lie on opposite sides of 0.5</w:t>
      </w:r>
      <w:r>
        <w:t xml:space="preserve"> </w:t>
      </w:r>
      <w:r>
        <w:rPr>
          <w:b/>
          <w:bCs/>
        </w:rPr>
        <w:t xml:space="preserve">and the interval of each region excludes 0.5</w:t>
      </w:r>
      <w:r>
        <w:t xml:space="preserve">, under the same 10-cell spatial-block bootstrap. This</w:t>
      </w:r>
      <w:r>
        <w:t xml:space="preserve"> </w:t>
      </w:r>
      <w:r>
        <w:t xml:space="preserve">is stricter than requiring disjoint intervals. A feature with disjoint intervals, one of which</w:t>
      </w:r>
      <w:r>
        <w:t xml:space="preserve"> </w:t>
      </w:r>
      <w:r>
        <w:t xml:space="preserve">includes 0.5, has not been shown to point in any direction in that region, so it is recorded as a</w:t>
      </w:r>
      <w:r>
        <w:t xml:space="preserve"> </w:t>
      </w:r>
      <w:r>
        <w:t xml:space="preserve">point reversal only. Section S2 repeats the rule next to the counts, and</w:t>
      </w:r>
      <w:r>
        <w:t xml:space="preserve"> </w:t>
      </w:r>
      <w:r>
        <w:rPr>
          <w:rStyle w:val="VerbatimChar"/>
        </w:rPr>
        <w:t xml:space="preserve">conditional_similarity_transfer.json</w:t>
      </w:r>
      <w:r>
        <w:t xml:space="preserve"> </w:t>
      </w:r>
      <w:r>
        <w:t xml:space="preserve">stores it as metadata.</w:t>
      </w:r>
    </w:p>
    <w:bookmarkStart w:id="66" w:name="s3.7.1-degenerate-replicates"/>
    <w:p>
      <w:pPr>
        <w:pStyle w:val="Heading3"/>
      </w:pPr>
      <w:r>
        <w:t xml:space="preserve">S3.7.1 Degenerate replicates</w:t>
      </w:r>
    </w:p>
    <w:p>
      <w:pPr>
        <w:pStyle w:val="FirstParagraph"/>
      </w:pPr>
      <w:r>
        <w:t xml:space="preserve">Replicates with</w:t>
      </w:r>
      <w:r>
        <w:t xml:space="preserve"> </w:t>
      </w:r>
      <m:oMath>
        <m:r>
          <m:rPr>
            <m:sty m:val="p"/>
          </m:rPr>
          <m:t>|</m:t>
        </m:r>
        <m:r>
          <m:t>G</m:t>
        </m:r>
        <m:r>
          <m:rPr>
            <m:sty m:val="p"/>
          </m:rPr>
          <m:t>|</m:t>
        </m:r>
        <m:r>
          <m:rPr>
            <m:sty m:val="p"/>
          </m:rPr>
          <m:t>&lt;</m:t>
        </m:r>
        <m:sSup>
          <m:e>
            <m:r>
              <m:t>10</m:t>
            </m:r>
          </m:e>
          <m:sup>
            <m:r>
              <m:rPr>
                <m:sty m:val="p"/>
              </m:rPr>
              <m:t>−</m:t>
            </m:r>
            <m:r>
              <m:t>6</m:t>
            </m:r>
          </m:sup>
        </m:sSup>
      </m:oMath>
      <w:r>
        <w:t xml:space="preserve"> </w:t>
      </w:r>
      <w:r>
        <w:t xml:space="preserve">are dropped.</w:t>
      </w:r>
    </w:p>
    <w:bookmarkEnd w:id="66"/>
    <w:bookmarkEnd w:id="67"/>
    <w:bookmarkStart w:id="68" w:name="Xcdcaf2323eeae0176f0536c5eea1cbf922f6585"/>
    <w:p>
      <w:pPr>
        <w:pStyle w:val="Heading2"/>
      </w:pPr>
      <w:r>
        <w:t xml:space="preserve">S3.8 Label-free adaptation, full specification</w:t>
      </w:r>
    </w:p>
    <w:p>
      <w:pPr>
        <w:pStyle w:val="FirstParagraph"/>
      </w:pPr>
      <w:r>
        <w:rPr>
          <w:b/>
          <w:bCs/>
        </w:rPr>
        <w:t xml:space="preserve">Region-wise z-score.</w:t>
      </w:r>
      <w:r>
        <w:t xml:space="preserve"> </w:t>
      </w:r>
      <w:r>
        <w:t xml:space="preserve">The numeric features of each region are standardised with the statistics</w:t>
      </w:r>
      <w:r>
        <w:t xml:space="preserve"> </w:t>
      </w:r>
      <w:r>
        <w:t xml:space="preserve">of that region: source statistics from source data and target statistics from target data, never</w:t>
      </w:r>
      <w:r>
        <w:t xml:space="preserve"> </w:t>
      </w:r>
      <w:r>
        <w:t xml:space="preserve">pooled. For feature</w:t>
      </w:r>
      <w:r>
        <w:t xml:space="preserve"> </w:t>
      </w:r>
      <m:oMath>
        <m:r>
          <m:t>j</m:t>
        </m:r>
      </m:oMath>
      <w:r>
        <w:t xml:space="preserve"> </w:t>
      </w:r>
      <w:r>
        <w:t xml:space="preserve">in region</w:t>
      </w:r>
      <w:r>
        <w:t xml:space="preserve"> </w:t>
      </w:r>
      <m:oMath>
        <m:r>
          <m:t>R</m:t>
        </m:r>
      </m:oMath>
      <w:r>
        <w:t xml:space="preserve">,</w:t>
      </w:r>
    </w:p>
    <w:p>
      <w:pPr>
        <w:pStyle w:val="BodyText"/>
      </w:pPr>
      <m:oMathPara>
        <m:oMathParaPr>
          <m:jc m:val="center"/>
        </m:oMathParaPr>
        <m:oMath>
          <m:sSub>
            <m:e>
              <m:r>
                <m:t>z</m:t>
              </m:r>
            </m:e>
            <m:sub>
              <m:r>
                <m:t>i</m:t>
              </m:r>
              <m:r>
                <m:t>j</m:t>
              </m:r>
            </m:sub>
          </m:sSub>
          <m:r>
            <m:rPr>
              <m:sty m:val="p"/>
            </m:rPr>
            <m:t>=</m:t>
          </m:r>
          <m:f>
            <m:fPr>
              <m:type m:val="bar"/>
            </m:fPr>
            <m:num>
              <m:sSub>
                <m:e>
                  <m:r>
                    <m:t>x</m:t>
                  </m:r>
                </m:e>
                <m:sub>
                  <m:r>
                    <m:t>i</m:t>
                  </m:r>
                  <m:r>
                    <m:t>j</m:t>
                  </m:r>
                </m:sub>
              </m:sSub>
              <m:r>
                <m:rPr>
                  <m:sty m:val="p"/>
                </m:rPr>
                <m:t>−</m:t>
              </m:r>
              <m:sSubSup>
                <m:e>
                  <m:r>
                    <m:t>μ</m:t>
                  </m:r>
                </m:e>
                <m:sub>
                  <m:r>
                    <m:t>j</m:t>
                  </m:r>
                </m:sub>
                <m:sup>
                  <m:r>
                    <m:t>R</m:t>
                  </m:r>
                </m:sup>
              </m:sSubSup>
            </m:num>
            <m:den>
              <m:sSubSup>
                <m:e>
                  <m:r>
                    <m:t>σ</m:t>
                  </m:r>
                </m:e>
                <m:sub>
                  <m:r>
                    <m:t>j</m:t>
                  </m:r>
                </m:sub>
                <m:sup>
                  <m:r>
                    <m:t>R</m:t>
                  </m:r>
                </m:sup>
              </m:sSubSup>
            </m:den>
          </m:f>
          <m:r>
            <m:rPr>
              <m:sty m:val="p"/>
            </m:rPr>
            <m:t>,</m:t>
          </m:r>
          <m:r>
            <m:t>  </m:t>
          </m:r>
          <m:sSubSup>
            <m:e>
              <m:r>
                <m:t>μ</m:t>
              </m:r>
            </m:e>
            <m:sub>
              <m:r>
                <m:t>j</m:t>
              </m:r>
            </m:sub>
            <m:sup>
              <m:r>
                <m:t>R</m:t>
              </m:r>
            </m:sup>
          </m:sSubSup>
          <m:r>
            <m:rPr>
              <m:sty m:val="p"/>
            </m:rPr>
            <m:t>=</m:t>
          </m:r>
          <m:f>
            <m:fPr>
              <m:type m:val="bar"/>
            </m:fPr>
            <m:num>
              <m:r>
                <m:t>1</m:t>
              </m:r>
            </m:num>
            <m:den>
              <m:sSubSup>
                <m:e>
                  <m:r>
                    <m:t>n</m:t>
                  </m:r>
                </m:e>
                <m:sub>
                  <m:r>
                    <m:t>j</m:t>
                  </m:r>
                </m:sub>
                <m:sup>
                  <m:r>
                    <m:t>R</m:t>
                  </m:r>
                </m:sup>
              </m:sSubSup>
            </m:den>
          </m:f>
          <m:nary>
            <m:naryPr>
              <m:chr m:val="∑"/>
              <m:limLoc m:val="undOvr"/>
              <m:subHide m:val="off"/>
              <m:supHide m:val="on"/>
            </m:naryPr>
            <m:sub>
              <m:r>
                <m:t>i</m:t>
              </m:r>
              <m:r>
                <m:rPr>
                  <m:sty m:val="p"/>
                </m:rPr>
                <m:t>∈</m:t>
              </m:r>
              <m:sSubSup>
                <m:e>
                  <m:r>
                    <m:t>O</m:t>
                  </m:r>
                </m:e>
                <m:sub>
                  <m:r>
                    <m:t>j</m:t>
                  </m:r>
                </m:sub>
                <m:sup>
                  <m:r>
                    <m:t>R</m:t>
                  </m:r>
                </m:sup>
              </m:sSubSup>
            </m:sub>
            <m:sup>
              <m:r>
                <m:t>​</m:t>
              </m:r>
            </m:sup>
            <m:e>
              <m:sSub>
                <m:e>
                  <m:r>
                    <m:t>x</m:t>
                  </m:r>
                </m:e>
                <m:sub>
                  <m:r>
                    <m:t>i</m:t>
                  </m:r>
                  <m:r>
                    <m:t>j</m:t>
                  </m:r>
                </m:sub>
              </m:sSub>
            </m:e>
          </m:nary>
          <m:r>
            <m:rPr>
              <m:sty m:val="p"/>
            </m:rPr>
            <m:t>,</m:t>
          </m:r>
          <m:r>
            <m:t>  </m:t>
          </m:r>
          <m:sSubSup>
            <m:e>
              <m:r>
                <m:t>σ</m:t>
              </m:r>
            </m:e>
            <m:sub>
              <m:r>
                <m:t>j</m:t>
              </m:r>
            </m:sub>
            <m:sup>
              <m:r>
                <m:t>R</m:t>
              </m:r>
            </m:sup>
          </m:sSubSup>
          <m:r>
            <m:rPr>
              <m:sty m:val="p"/>
            </m:rPr>
            <m:t>=</m:t>
          </m:r>
          <m:r>
            <m:rPr>
              <m:sty m:val="p"/>
            </m:rPr>
            <m:t>(</m:t>
          </m:r>
          <m:f>
            <m:fPr>
              <m:type m:val="bar"/>
            </m:fPr>
            <m:num>
              <m:r>
                <m:t>1</m:t>
              </m:r>
            </m:num>
            <m:den>
              <m:sSubSup>
                <m:e>
                  <m:r>
                    <m:t>n</m:t>
                  </m:r>
                </m:e>
                <m:sub>
                  <m:r>
                    <m:t>j</m:t>
                  </m:r>
                </m:sub>
                <m:sup>
                  <m:r>
                    <m:t>R</m:t>
                  </m:r>
                </m:sup>
              </m:sSubSup>
            </m:den>
          </m:f>
          <m:nary>
            <m:naryPr>
              <m:chr m:val="∑"/>
              <m:limLoc m:val="undOvr"/>
              <m:subHide m:val="off"/>
              <m:supHide m:val="on"/>
            </m:naryPr>
            <m:sub>
              <m:r>
                <m:t>i</m:t>
              </m:r>
              <m:r>
                <m:rPr>
                  <m:sty m:val="p"/>
                </m:rPr>
                <m:t>∈</m:t>
              </m:r>
              <m:sSubSup>
                <m:e>
                  <m:r>
                    <m:t>O</m:t>
                  </m:r>
                </m:e>
                <m:sub>
                  <m:r>
                    <m:t>j</m:t>
                  </m:r>
                </m:sub>
                <m:sup>
                  <m:r>
                    <m:t>R</m:t>
                  </m:r>
                </m:sup>
              </m:sSubSup>
            </m:sub>
            <m:sup>
              <m:r>
                <m:t>​</m:t>
              </m:r>
            </m:sup>
            <m:e>
              <m:r>
                <m:rPr>
                  <m:sty m:val="p"/>
                </m:rPr>
                <m:t>(</m:t>
              </m:r>
            </m:e>
          </m:nary>
          <m:sSub>
            <m:e>
              <m:r>
                <m:t>x</m:t>
              </m:r>
            </m:e>
            <m:sub>
              <m:r>
                <m:t>i</m:t>
              </m:r>
              <m:r>
                <m:t>j</m:t>
              </m:r>
            </m:sub>
          </m:sSub>
          <m:r>
            <m:rPr>
              <m:sty m:val="p"/>
            </m:rPr>
            <m:t>−</m:t>
          </m:r>
          <m:sSubSup>
            <m:e>
              <m:r>
                <m:t>μ</m:t>
              </m:r>
            </m:e>
            <m:sub>
              <m:r>
                <m:t>j</m:t>
              </m:r>
            </m:sub>
            <m:sup>
              <m:r>
                <m:t>R</m:t>
              </m:r>
            </m:sup>
          </m:sSubSup>
          <m:sSup>
            <m:e>
              <m:r>
                <m:rPr>
                  <m:sty m:val="p"/>
                </m:rPr>
                <m:t>)</m:t>
              </m:r>
            </m:e>
            <m:sup>
              <m:r>
                <m:t>2</m:t>
              </m:r>
            </m:sup>
          </m:sSup>
          <m:sSup>
            <m:e>
              <m:r>
                <m:rPr>
                  <m:sty m:val="p"/>
                </m:rPr>
                <m:t>)</m:t>
              </m:r>
            </m:e>
            <m:sup>
              <m:r>
                <m:t>1</m:t>
              </m:r>
              <m:r>
                <m:rPr>
                  <m:sty m:val="p"/>
                </m:rPr>
                <m:t>/</m:t>
              </m:r>
              <m:r>
                <m:t>2</m:t>
              </m:r>
            </m:sup>
          </m:sSup>
          <m:r>
            <m:rPr>
              <m:sty m:val="p"/>
            </m:rPr>
            <m:t>,</m:t>
          </m:r>
          <m:r>
            <m:t>  </m:t>
          </m:r>
          <m:r>
            <m:rPr>
              <m:sty m:val="p"/>
            </m:rPr>
            <m:t>(</m:t>
          </m:r>
          <m:r>
            <m:t>S</m:t>
          </m:r>
          <m:r>
            <m:t>4</m:t>
          </m:r>
          <m:r>
            <m:rPr>
              <m:sty m:val="p"/>
            </m:rPr>
            <m:t>)</m:t>
          </m:r>
        </m:oMath>
      </m:oMathPara>
    </w:p>
    <w:p>
      <w:pPr>
        <w:pStyle w:val="FirstParagraph"/>
      </w:pPr>
      <w:r>
        <w:t xml:space="preserve">where</w:t>
      </w:r>
      <w:r>
        <w:t xml:space="preserve"> </w:t>
      </w:r>
      <m:oMath>
        <m:sSubSup>
          <m:e>
            <m:r>
              <m:t>O</m:t>
            </m:r>
          </m:e>
          <m:sub>
            <m:r>
              <m:t>j</m:t>
            </m:r>
          </m:sub>
          <m:sup>
            <m:r>
              <m:t>R</m:t>
            </m:r>
          </m:sup>
        </m:sSubSup>
      </m:oMath>
      <w:r>
        <w:t xml:space="preserve"> </w:t>
      </w:r>
      <w:r>
        <w:t xml:space="preserve">contains the</w:t>
      </w:r>
      <w:r>
        <w:t xml:space="preserve"> </w:t>
      </w:r>
      <m:oMath>
        <m:sSubSup>
          <m:e>
            <m:r>
              <m:t>n</m:t>
            </m:r>
          </m:e>
          <m:sub>
            <m:r>
              <m:t>j</m:t>
            </m:r>
          </m:sub>
          <m:sup>
            <m:r>
              <m:t>R</m:t>
            </m:r>
          </m:sup>
        </m:sSubSup>
      </m:oMath>
      <w:r>
        <w:t xml:space="preserve"> </w:t>
      </w:r>
      <w:r>
        <w:t xml:space="preserve">cells with an observed value (ddof 0). A missing value is</w:t>
      </w:r>
      <w:r>
        <w:t xml:space="preserve"> </w:t>
      </w:r>
      <w:r>
        <w:t xml:space="preserve">first set to</w:t>
      </w:r>
      <w:r>
        <w:t xml:space="preserve"> </w:t>
      </w:r>
      <m:oMath>
        <m:sSubSup>
          <m:e>
            <m:r>
              <m:t>μ</m:t>
            </m:r>
          </m:e>
          <m:sub>
            <m:r>
              <m:t>j</m:t>
            </m:r>
          </m:sub>
          <m:sup>
            <m:r>
              <m:t>R</m:t>
            </m:r>
          </m:sup>
        </m:sSubSup>
      </m:oMath>
      <w:r>
        <w:t xml:space="preserve">, so it becomes zero, and</w:t>
      </w:r>
      <w:r>
        <w:t xml:space="preserve"> </w:t>
      </w:r>
      <m:oMath>
        <m:sSubSup>
          <m:e>
            <m:r>
              <m:t>σ</m:t>
            </m:r>
          </m:e>
          <m:sub>
            <m:r>
              <m:t>j</m:t>
            </m:r>
          </m:sub>
          <m:sup>
            <m:r>
              <m:t>R</m:t>
            </m:r>
          </m:sup>
        </m:sSubSup>
        <m:r>
          <m:rPr>
            <m:sty m:val="p"/>
          </m:rPr>
          <m:t>&lt;</m:t>
        </m:r>
        <m:sSup>
          <m:e>
            <m:r>
              <m:t>10</m:t>
            </m:r>
          </m:e>
          <m:sup>
            <m:r>
              <m:rPr>
                <m:sty m:val="p"/>
              </m:rPr>
              <m:t>−</m:t>
            </m:r>
            <m:r>
              <m:t>12</m:t>
            </m:r>
          </m:sup>
        </m:sSup>
      </m:oMath>
      <w:r>
        <w:t xml:space="preserve"> </w:t>
      </w:r>
      <w:r>
        <w:t xml:space="preserve">is replaced by 1.</w:t>
      </w:r>
      <w:r>
        <w:t xml:space="preserve"> </w:t>
      </w:r>
      <w:r>
        <w:t xml:space="preserve">Land cover is not transformed. Target feature statistics, but never target labels, are therefore used</w:t>
      </w:r>
      <w:r>
        <w:t xml:space="preserve"> </w:t>
      </w:r>
      <w:r>
        <w:t xml:space="preserve">in the adapted models. The classifier is refitted on the z-scored source and applied to the z-scored</w:t>
      </w:r>
      <w:r>
        <w:t xml:space="preserve"> </w:t>
      </w:r>
      <w:r>
        <w:t xml:space="preserve">target. This removes differences in the mean and variance of each feature.</w:t>
      </w:r>
    </w:p>
    <w:p>
      <w:pPr>
        <w:pStyle w:val="BodyText"/>
      </w:pPr>
      <w:r>
        <w:rPr>
          <w:b/>
          <w:bCs/>
        </w:rPr>
        <w:t xml:space="preserve">CORAL after region-wise z-score.</w:t>
      </w:r>
      <w:r>
        <w:t xml:space="preserve"> </w:t>
      </w:r>
      <w:r>
        <w:t xml:space="preserve">The source covariance is aligned to the target covariance with</w:t>
      </w:r>
      <w:r>
        <w:t xml:space="preserve"> </w:t>
      </w:r>
      <w:r>
        <w:t xml:space="preserve">the standard whitening and recolouring map</w:t>
      </w:r>
      <w:r>
        <w:t xml:space="preserve"> </w:t>
      </w:r>
      <w:r>
        <w:t xml:space="preserve">(Sun et al. 2016)</w:t>
      </w:r>
      <w:r>
        <w:t xml:space="preserve">. With</w:t>
      </w:r>
      <w:r>
        <w:t xml:space="preserve"> </w:t>
      </w:r>
      <m:oMath>
        <m:sSub>
          <m:e>
            <m:r>
              <m:t>Z</m:t>
            </m:r>
          </m:e>
          <m:sub>
            <m:r>
              <m:t>R</m:t>
            </m:r>
          </m:sub>
        </m:sSub>
      </m:oMath>
      <w:r>
        <w:t xml:space="preserve"> </w:t>
      </w:r>
      <w:r>
        <w:t xml:space="preserve">the</w:t>
      </w:r>
      <w:r>
        <w:t xml:space="preserve"> </w:t>
      </w:r>
      <m:oMath>
        <m:sSub>
          <m:e>
            <m:r>
              <m:t>n</m:t>
            </m:r>
          </m:e>
          <m:sub>
            <m:r>
              <m:t>R</m:t>
            </m:r>
          </m:sub>
        </m:sSub>
        <m:r>
          <m:rPr>
            <m:sty m:val="p"/>
          </m:rPr>
          <m:t>×</m:t>
        </m:r>
        <m:r>
          <m:t>d</m:t>
        </m:r>
      </m:oMath>
      <w:r>
        <w:t xml:space="preserve"> </w:t>
      </w:r>
      <w:r>
        <w:t xml:space="preserve">matrix of</w:t>
      </w:r>
      <w:r>
        <w:t xml:space="preserve"> </w:t>
      </w:r>
      <w:r>
        <w:t xml:space="preserve">z-scored numeric features, one row per cell,</w:t>
      </w:r>
    </w:p>
    <w:p>
      <w:pPr>
        <w:pStyle w:val="BodyText"/>
      </w:pPr>
      <m:oMathPara>
        <m:oMathParaPr>
          <m:jc m:val="center"/>
        </m:oMathParaPr>
        <m:oMath>
          <m:sSubSup>
            <m:e>
              <m:r>
                <m:t>Z</m:t>
              </m:r>
            </m:e>
            <m:sub>
              <m:r>
                <m:t>s</m:t>
              </m:r>
            </m:sub>
            <m:sup>
              <m:r>
                <m:rPr>
                  <m:sty m:val="p"/>
                </m:rPr>
                <m:t>a</m:t>
              </m:r>
              <m:r>
                <m:rPr>
                  <m:sty m:val="p"/>
                </m:rPr>
                <m:t>l</m:t>
              </m:r>
            </m:sup>
          </m:sSubSup>
          <m:r>
            <m:rPr>
              <m:sty m:val="p"/>
            </m:rPr>
            <m:t>=</m:t>
          </m:r>
          <m:sSub>
            <m:e>
              <m:r>
                <m:t>Z</m:t>
              </m:r>
            </m:e>
            <m:sub>
              <m:r>
                <m:t>s</m:t>
              </m:r>
            </m:sub>
          </m:sSub>
          <m:r>
            <m:t> </m:t>
          </m:r>
          <m:r>
            <m:rPr>
              <m:sty m:val="p"/>
            </m:rPr>
            <m:t>(</m:t>
          </m:r>
          <m:sSub>
            <m:e>
              <m:r>
                <m:t>C</m:t>
              </m:r>
            </m:e>
            <m:sub>
              <m:r>
                <m:t>s</m:t>
              </m:r>
            </m:sub>
          </m:sSub>
          <m:r>
            <m:rPr>
              <m:sty m:val="p"/>
            </m:rPr>
            <m:t>+</m:t>
          </m:r>
          <m:r>
            <m:t>λ</m:t>
          </m:r>
          <m:r>
            <m:t>I</m:t>
          </m:r>
          <m:sSup>
            <m:e>
              <m:r>
                <m:rPr>
                  <m:sty m:val="p"/>
                </m:rPr>
                <m:t>)</m:t>
              </m:r>
            </m:e>
            <m:sup>
              <m:r>
                <m:rPr>
                  <m:sty m:val="p"/>
                </m:rPr>
                <m:t>−</m:t>
              </m:r>
              <m:r>
                <m:t>1</m:t>
              </m:r>
              <m:r>
                <m:rPr>
                  <m:sty m:val="p"/>
                </m:rPr>
                <m:t>/</m:t>
              </m:r>
              <m:r>
                <m:t>2</m:t>
              </m:r>
            </m:sup>
          </m:sSup>
          <m:r>
            <m:t> </m:t>
          </m:r>
          <m:r>
            <m:rPr>
              <m:sty m:val="p"/>
            </m:rPr>
            <m:t>(</m:t>
          </m:r>
          <m:sSub>
            <m:e>
              <m:r>
                <m:t>C</m:t>
              </m:r>
            </m:e>
            <m:sub>
              <m:r>
                <m:t>t</m:t>
              </m:r>
            </m:sub>
          </m:sSub>
          <m:r>
            <m:rPr>
              <m:sty m:val="p"/>
            </m:rPr>
            <m:t>+</m:t>
          </m:r>
          <m:r>
            <m:t>λ</m:t>
          </m:r>
          <m:r>
            <m:t>I</m:t>
          </m:r>
          <m:sSup>
            <m:e>
              <m:r>
                <m:rPr>
                  <m:sty m:val="p"/>
                </m:rPr>
                <m:t>)</m:t>
              </m:r>
            </m:e>
            <m:sup>
              <m:r>
                <m:t>1</m:t>
              </m:r>
              <m:r>
                <m:rPr>
                  <m:sty m:val="p"/>
                </m:rPr>
                <m:t>/</m:t>
              </m:r>
              <m:r>
                <m:t>2</m:t>
              </m:r>
            </m:sup>
          </m:sSup>
          <m:r>
            <m:rPr>
              <m:sty m:val="p"/>
            </m:rPr>
            <m:t>,</m:t>
          </m:r>
          <m:r>
            <m:t>  </m:t>
          </m:r>
          <m:sSub>
            <m:e>
              <m:r>
                <m:t>C</m:t>
              </m:r>
            </m:e>
            <m:sub>
              <m:r>
                <m:t>R</m:t>
              </m:r>
            </m:sub>
          </m:sSub>
          <m:r>
            <m:rPr>
              <m:sty m:val="p"/>
            </m:rPr>
            <m:t>=</m:t>
          </m:r>
          <m:f>
            <m:fPr>
              <m:type m:val="bar"/>
            </m:fPr>
            <m:num>
              <m:r>
                <m:t>1</m:t>
              </m:r>
            </m:num>
            <m:den>
              <m:sSub>
                <m:e>
                  <m:r>
                    <m:t>n</m:t>
                  </m:r>
                </m:e>
                <m:sub>
                  <m:r>
                    <m:t>R</m:t>
                  </m:r>
                </m:sub>
              </m:sSub>
            </m:den>
          </m:f>
          <m:nary>
            <m:naryPr>
              <m:chr m:val="∑"/>
              <m:limLoc m:val="undOvr"/>
              <m:subHide m:val="off"/>
              <m:supHide m:val="off"/>
            </m:naryPr>
            <m:sub>
              <m:r>
                <m:t>i</m:t>
              </m:r>
              <m:r>
                <m:rPr>
                  <m:sty m:val="p"/>
                </m:rPr>
                <m:t>=</m:t>
              </m:r>
              <m:r>
                <m:t>1</m:t>
              </m:r>
            </m:sub>
            <m:sup>
              <m:sSub>
                <m:e>
                  <m:r>
                    <m:t>n</m:t>
                  </m:r>
                </m:e>
                <m:sub>
                  <m:r>
                    <m:t>R</m:t>
                  </m:r>
                </m:sub>
              </m:sSub>
            </m:sup>
            <m:e>
              <m:r>
                <m:rPr>
                  <m:sty m:val="p"/>
                </m:rPr>
                <m:t>(</m:t>
              </m:r>
            </m:e>
          </m:nary>
          <m:sSub>
            <m:e>
              <m:r>
                <m:t>z</m:t>
              </m:r>
            </m:e>
            <m:sub>
              <m:r>
                <m:t>i</m:t>
              </m:r>
            </m:sub>
          </m:sSub>
          <m:r>
            <m:rPr>
              <m:sty m:val="p"/>
            </m:rPr>
            <m:t>−</m:t>
          </m:r>
          <m:sSub>
            <m:e>
              <m:acc>
                <m:accPr>
                  <m:chr m:val="‾"/>
                </m:accPr>
                <m:e>
                  <m:r>
                    <m:t>z</m:t>
                  </m:r>
                </m:e>
              </m:acc>
            </m:e>
            <m:sub>
              <m:r>
                <m:t>R</m:t>
              </m:r>
            </m:sub>
          </m:sSub>
          <m:r>
            <m:rPr>
              <m:sty m:val="p"/>
            </m:rPr>
            <m:t>)</m:t>
          </m:r>
          <m:r>
            <m:rPr>
              <m:sty m:val="p"/>
            </m:rPr>
            <m:t>(</m:t>
          </m:r>
          <m:sSub>
            <m:e>
              <m:r>
                <m:t>z</m:t>
              </m:r>
            </m:e>
            <m:sub>
              <m:r>
                <m:t>i</m:t>
              </m:r>
            </m:sub>
          </m:sSub>
          <m:r>
            <m:rPr>
              <m:sty m:val="p"/>
            </m:rPr>
            <m:t>−</m:t>
          </m:r>
          <m:sSub>
            <m:e>
              <m:acc>
                <m:accPr>
                  <m:chr m:val="‾"/>
                </m:accPr>
                <m:e>
                  <m:r>
                    <m:t>z</m:t>
                  </m:r>
                </m:e>
              </m:acc>
            </m:e>
            <m:sub>
              <m:r>
                <m:t>R</m:t>
              </m:r>
            </m:sub>
          </m:sSub>
          <m:sSup>
            <m:e>
              <m:r>
                <m:rPr>
                  <m:sty m:val="p"/>
                </m:rPr>
                <m:t>)</m:t>
              </m:r>
            </m:e>
            <m:sup>
              <m:r>
                <m:rPr>
                  <m:sty m:val="p"/>
                </m:rPr>
                <m:t>⊤</m:t>
              </m:r>
            </m:sup>
          </m:sSup>
          <m:r>
            <m:rPr>
              <m:sty m:val="p"/>
            </m:rPr>
            <m:t>,</m:t>
          </m:r>
          <m:r>
            <m:t>  </m:t>
          </m:r>
          <m:r>
            <m:rPr>
              <m:sty m:val="p"/>
            </m:rPr>
            <m:t>(</m:t>
          </m:r>
          <m:r>
            <m:t>S</m:t>
          </m:r>
          <m:r>
            <m:t>5</m:t>
          </m:r>
          <m:r>
            <m:rPr>
              <m:sty m:val="p"/>
            </m:rPr>
            <m:t>)</m:t>
          </m:r>
        </m:oMath>
      </m:oMathPara>
    </w:p>
    <w:p>
      <w:pPr>
        <w:pStyle w:val="FirstParagraph"/>
      </w:pPr>
      <w:r>
        <w:t xml:space="preserve">with</w:t>
      </w:r>
      <w:r>
        <w:t xml:space="preserve"> </w:t>
      </w:r>
      <m:oMath>
        <m:r>
          <m:t>λ</m:t>
        </m:r>
        <m:r>
          <m:rPr>
            <m:sty m:val="p"/>
          </m:rPr>
          <m:t>=</m:t>
        </m:r>
        <m:sSup>
          <m:e>
            <m:r>
              <m:t>10</m:t>
            </m:r>
          </m:e>
          <m:sup>
            <m:r>
              <m:rPr>
                <m:sty m:val="p"/>
              </m:rPr>
              <m:t>−</m:t>
            </m:r>
            <m:r>
              <m:t>5</m:t>
            </m:r>
          </m:sup>
        </m:sSup>
      </m:oMath>
      <w:r>
        <w:t xml:space="preserve"> </w:t>
      </w:r>
      <w:r>
        <w:t xml:space="preserve">(ddof 0). Both means are zero after Eq. (S4), so the mean terms of the</w:t>
      </w:r>
      <w:r>
        <w:t xml:space="preserve"> </w:t>
      </w:r>
      <w:r>
        <w:t xml:space="preserve">general map are zero. Matrix powers use a symmetric eigendecomposition, with eigenvalues set to at</w:t>
      </w:r>
      <w:r>
        <w:t xml:space="preserve"> </w:t>
      </w:r>
      <w:r>
        <w:t xml:space="preserve">least</w:t>
      </w:r>
      <w:r>
        <w:t xml:space="preserve"> </w:t>
      </w:r>
      <m:oMath>
        <m:sSup>
          <m:e>
            <m:r>
              <m:t>10</m:t>
            </m:r>
          </m:e>
          <m:sup>
            <m:r>
              <m:rPr>
                <m:sty m:val="p"/>
              </m:rPr>
              <m:t>−</m:t>
            </m:r>
            <m:r>
              <m:t>12</m:t>
            </m:r>
          </m:sup>
        </m:sSup>
      </m:oMath>
      <w:r>
        <w:t xml:space="preserve">.</w:t>
      </w:r>
      <w:r>
        <w:t xml:space="preserve"> </w:t>
      </w:r>
      <w:r>
        <w:rPr>
          <w:b/>
          <w:bCs/>
        </w:rPr>
        <w:t xml:space="preserve">The transform is applied to the source only.</w:t>
      </w:r>
      <w:r>
        <w:t xml:space="preserve"> </w:t>
      </w:r>
      <w:r>
        <w:t xml:space="preserve">The target stays at</w:t>
      </w:r>
      <w:r>
        <w:t xml:space="preserve"> </w:t>
      </w:r>
      <m:oMath>
        <m:sSub>
          <m:e>
            <m:r>
              <m:t>Z</m:t>
            </m:r>
          </m:e>
          <m:sub>
            <m:r>
              <m:t>t</m:t>
            </m:r>
          </m:sub>
        </m:sSub>
      </m:oMath>
      <w:r>
        <w:t xml:space="preserve">, and</w:t>
      </w:r>
      <w:r>
        <w:t xml:space="preserve"> </w:t>
      </w:r>
      <w:r>
        <w:t xml:space="preserve">the classifier is refitted on</w:t>
      </w:r>
      <w:r>
        <w:t xml:space="preserve"> </w:t>
      </w:r>
      <m:oMath>
        <m:sSubSup>
          <m:e>
            <m:r>
              <m:t>Z</m:t>
            </m:r>
          </m:e>
          <m:sub>
            <m:r>
              <m:t>s</m:t>
            </m:r>
          </m:sub>
          <m:sup>
            <m:r>
              <m:rPr>
                <m:sty m:val="p"/>
              </m:rPr>
              <m:t>a</m:t>
            </m:r>
            <m:r>
              <m:rPr>
                <m:sty m:val="p"/>
              </m:rPr>
              <m:t>l</m:t>
            </m:r>
          </m:sup>
        </m:sSubSup>
      </m:oMath>
      <w:r>
        <w:t xml:space="preserve">. Neither method uses a target label, and this is</w:t>
      </w:r>
      <w:r>
        <w:t xml:space="preserve"> </w:t>
      </w:r>
      <w:r>
        <w:t xml:space="preserve">checked at run time. The sensitivity to λ was tested over nine values on four of the twenty</w:t>
      </w:r>
      <w:r>
        <w:t xml:space="preserve"> </w:t>
      </w:r>
      <w:r>
        <w:t xml:space="preserve">directions; transfer AUC moved by at most 0.014, and λ was not selected on performance. λ = 1, the value of the original CORAL formulation, is tested in Sections S1.2 and S1.23. The value</w:t>
      </w:r>
      <w:r>
        <w:t xml:space="preserve"> </w:t>
      </w:r>
      <w:r>
        <w:t xml:space="preserve">used throughout is λ = 10⁻⁵.</w:t>
      </w:r>
    </w:p>
    <w:bookmarkEnd w:id="68"/>
    <w:bookmarkEnd w:id="69"/>
    <w:bookmarkStart w:id="74" w:name="s4-target-label-recovery-curve"/>
    <w:p>
      <w:pPr>
        <w:pStyle w:val="Heading1"/>
      </w:pPr>
      <w:r>
        <w:t xml:space="preserve">S4 Target-label recovery curve</w:t>
      </w:r>
    </w:p>
    <w:bookmarkStart w:id="70" w:name="s4.1-purpose"/>
    <w:p>
      <w:pPr>
        <w:pStyle w:val="Heading2"/>
      </w:pPr>
      <w:r>
        <w:t xml:space="preserve">S4.1 Purpose</w:t>
      </w:r>
    </w:p>
    <w:p>
      <w:pPr>
        <w:pStyle w:val="FirstParagraph"/>
      </w:pPr>
      <w:r>
        <w:t xml:space="preserve">The main text shows that label-free alignment does not close the transfer gap. This section asks</w:t>
      </w:r>
      <w:r>
        <w:t xml:space="preserve"> </w:t>
      </w:r>
      <w:r>
        <w:t xml:space="preserve">how much of the gap a small number of target labels can close. It is not a proposed method or an</w:t>
      </w:r>
      <w:r>
        <w:t xml:space="preserve"> </w:t>
      </w:r>
      <w:r>
        <w:t xml:space="preserve">operational claim, because the labels come from the fire that is predicted. It covers three of the</w:t>
      </w:r>
      <w:r>
        <w:t xml:space="preserve"> </w:t>
      </w:r>
      <w:r>
        <w:t xml:space="preserve">five regions (Manavgat, Bejís and Muğla) and all six directions among them. Source: the pipeline’s</w:t>
      </w:r>
      <w:r>
        <w:t xml:space="preserve"> </w:t>
      </w:r>
      <w:r>
        <w:t xml:space="preserve">few-shot recovery diagnostic on the corrected label, analysis</w:t>
      </w:r>
      <w:r>
        <w:t xml:space="preserve"> </w:t>
      </w:r>
      <w:r>
        <w:rPr>
          <w:rStyle w:val="VerbatimChar"/>
        </w:rPr>
        <w:t xml:space="preserve">7348dfe7…</w:t>
      </w:r>
      <w:r>
        <w:t xml:space="preserve">, released in</w:t>
      </w:r>
      <w:r>
        <w:t xml:space="preserve"> </w:t>
      </w:r>
      <w:r>
        <w:rPr>
          <w:rStyle w:val="VerbatimChar"/>
        </w:rPr>
        <w:t xml:space="preserve">paper/labelfix_rerun/exports/few_shot_recovery_7348dfe7/</w:t>
      </w:r>
      <w:r>
        <w:t xml:space="preserve"> </w:t>
      </w:r>
      <w:r>
        <w:t xml:space="preserve">(</w:t>
      </w:r>
      <w:r>
        <w:rPr>
          <w:rStyle w:val="VerbatimChar"/>
        </w:rPr>
        <w:t xml:space="preserve">recovery_curve.csv</w:t>
      </w:r>
      <w:r>
        <w:t xml:space="preserve">,</w:t>
      </w:r>
      <w:r>
        <w:t xml:space="preserve"> </w:t>
      </w:r>
      <w:r>
        <w:rPr>
          <w:rStyle w:val="VerbatimChar"/>
        </w:rPr>
        <w:t xml:space="preserve">repeat_metrics.csv</w:t>
      </w:r>
      <w:r>
        <w:t xml:space="preserve">,</w:t>
      </w:r>
      <w:r>
        <w:t xml:space="preserve"> </w:t>
      </w:r>
      <w:r>
        <w:rPr>
          <w:rStyle w:val="VerbatimChar"/>
        </w:rPr>
        <w:t xml:space="preserve">report.md</w:t>
      </w:r>
      <w:r>
        <w:t xml:space="preserve">); every value below is read from it.</w:t>
      </w:r>
    </w:p>
    <w:bookmarkEnd w:id="70"/>
    <w:bookmarkStart w:id="71" w:name="s4.2-design"/>
    <w:p>
      <w:pPr>
        <w:pStyle w:val="Heading2"/>
      </w:pPr>
      <w:r>
        <w:t xml:space="preserve">S4.2 Design</w:t>
      </w:r>
    </w:p>
    <w:p>
      <w:pPr>
        <w:pStyle w:val="FirstParagraph"/>
      </w:pPr>
      <w:r>
        <w:t xml:space="preserve">The unit of labelling effort is one 10-cell (≈5 km) spatial block of the target. For a budget of k</w:t>
      </w:r>
      <w:r>
        <w:t xml:space="preserve"> </w:t>
      </w:r>
      <w:r>
        <w:t xml:space="preserve">blocks, k target blocks are drawn from the training folds of a 5-fold spatially blocked split of the</w:t>
      </w:r>
      <w:r>
        <w:t xml:space="preserve"> </w:t>
      </w:r>
      <w:r>
        <w:t xml:space="preserve">target. Their labels are added to the source training set, and the refitted model is scored on the</w:t>
      </w:r>
      <w:r>
        <w:t xml:space="preserve"> </w:t>
      </w:r>
      <w:r>
        <w:t xml:space="preserve">held-out target folds. The budgets are 0, 1, 2, 4, 8, 16 and 32 blocks, with ten repeated draws for</w:t>
      </w:r>
      <w:r>
        <w:t xml:space="preserve"> </w:t>
      </w:r>
      <w:r>
        <w:t xml:space="preserve">every k &gt; 0. Budget 0 is raw transfer. The</w:t>
      </w:r>
      <w:r>
        <w:t xml:space="preserve"> </w:t>
      </w:r>
      <w:r>
        <w:rPr>
          <w:b/>
          <w:bCs/>
        </w:rPr>
        <w:t xml:space="preserve">ceiling</w:t>
      </w:r>
      <w:r>
        <w:t xml:space="preserve"> </w:t>
      </w:r>
      <w:r>
        <w:t xml:space="preserve">is a target-only model at the same 10-cell</w:t>
      </w:r>
      <w:r>
        <w:t xml:space="preserve"> </w:t>
      </w:r>
      <w:r>
        <w:t xml:space="preserve">blocking (0.777 for Muğla, 0.824 for Bejís and 0.882 for Manavgat). It reproduces the pipeline’s own</w:t>
      </w:r>
      <w:r>
        <w:t xml:space="preserve"> </w:t>
      </w:r>
      <w:r>
        <w:t xml:space="preserve">large-block values exactly. The</w:t>
      </w:r>
      <w:r>
        <w:t xml:space="preserve"> </w:t>
      </w:r>
      <w:r>
        <w:rPr>
          <w:b/>
          <w:bCs/>
        </w:rPr>
        <w:t xml:space="preserve">recovered fraction</w:t>
      </w:r>
      <w:r>
        <w:t xml:space="preserve"> </w:t>
      </w:r>
      <w:r>
        <w:t xml:space="preserve">is (few-shot − raw) / (ceiling − raw), the</w:t>
      </w:r>
      <w:r>
        <w:t xml:space="preserve"> </w:t>
      </w:r>
      <w:r>
        <w:t xml:space="preserve">share of the gap between raw transfer and the ceiling that the labels close; it is signed and not</w:t>
      </w:r>
      <w:r>
        <w:t xml:space="preserve"> </w:t>
      </w:r>
      <w:r>
        <w:t xml:space="preserve">clipped. The intervals are</w:t>
      </w:r>
      <w:r>
        <w:t xml:space="preserve"> </w:t>
      </w:r>
      <w:r>
        <w:rPr>
          <w:b/>
          <w:bCs/>
        </w:rPr>
        <w:t xml:space="preserve">selection intervals</w:t>
      </w:r>
      <w:r>
        <w:t xml:space="preserve">: the 2.5th and 97.5th percentiles over the ten</w:t>
      </w:r>
      <w:r>
        <w:t xml:space="preserve"> </w:t>
      </w:r>
      <w:r>
        <w:t xml:space="preserve">block draws. They describe only which blocks were drawn, and no hypothesis test is made.</w:t>
      </w:r>
    </w:p>
    <w:bookmarkEnd w:id="71"/>
    <w:bookmarkStart w:id="72" w:name="s4.3-result"/>
    <w:p>
      <w:pPr>
        <w:pStyle w:val="Heading2"/>
      </w:pPr>
      <w:r>
        <w:t xml:space="preserve">S4.3 Result</w:t>
      </w:r>
    </w:p>
    <w:p>
      <w:pPr>
        <w:pStyle w:val="FirstParagraph"/>
        <w:keepNext/>
      </w:pPr>
      <w:r>
        <w:rPr>
          <w:b/>
          <w:bCs/>
        </w:rPr>
        <w:t xml:space="preserve">Table S22. Few-shot recovery of target ROC-AUC, thermal model, natural-vegetation population.</w:t>
      </w:r>
      <w:r>
        <w:t xml:space="preserve"> </w:t>
      </w:r>
      <w:r>
        <w:t xml:space="preserve">Raw</w:t>
      </w:r>
      <w:r>
        <w:t xml:space="preserve"> </w:t>
      </w:r>
      <w:r>
        <w:t xml:space="preserve">= source-only transfer (budget 0); ceiling = target-only model at the same 10-cell blocking. Values</w:t>
      </w:r>
      <w:r>
        <w:t xml:space="preserve"> </w:t>
      </w:r>
      <w:r>
        <w:t xml:space="preserve">are means over ten repeated block draws.</w:t>
      </w:r>
    </w:p>
    <w:tbl>
      <w:tblPr>
        <w:tblStyle w:val="Table"/>
        <w:tblW w:type="auto" w:w="0"/>
        <w:tblLook w:firstRow="1" w:lastRow="0" w:firstColumn="0" w:lastColumn="0" w:noHBand="0" w:noVBand="0" w:val="0020"/>
      </w:tblPr>
      <w:tblGrid>
        <w:gridCol w:w="1909"/>
        <w:gridCol w:w="597"/>
        <w:gridCol w:w="597"/>
        <w:gridCol w:w="597"/>
        <w:gridCol w:w="597"/>
        <w:gridCol w:w="597"/>
        <w:gridCol w:w="716"/>
        <w:gridCol w:w="716"/>
        <w:gridCol w:w="835"/>
        <w:gridCol w:w="1909"/>
      </w:tblGrid>
      <w:tr>
        <w:trPr>
          <w:tblHeader w:val="on"/>
          <w:cantSplit/>
        </w:trPr>
        <w:tc>
          <w:tcPr>
            <w:tcW w:type="dxa" w:w="1909"/>
          </w:tcPr>
          <w:p>
            <w:pPr>
              <w:pStyle w:val="Compact"/>
              <w:spacing w:line="240" w:lineRule="auto" w:after="20"/>
            </w:pPr>
            <w:r>
              <w:rPr>
                <w:sz w:val="20"/>
              </w:rPr>
              <w:t xml:space="preserve">Direction</w:t>
            </w:r>
          </w:p>
        </w:tc>
        <w:tc>
          <w:tcPr>
            <w:tcW w:type="dxa" w:w="597"/>
          </w:tcPr>
          <w:p>
            <w:pPr>
              <w:pStyle w:val="Compact"/>
              <w:spacing w:line="240" w:lineRule="auto" w:after="20"/>
            </w:pPr>
            <w:r>
              <w:rPr>
                <w:sz w:val="20"/>
              </w:rPr>
              <w:t xml:space="preserve">Raw</w:t>
            </w:r>
          </w:p>
        </w:tc>
        <w:tc>
          <w:tcPr>
            <w:tcW w:type="dxa" w:w="597"/>
          </w:tcPr>
          <w:p>
            <w:pPr>
              <w:pStyle w:val="Compact"/>
              <w:spacing w:line="240" w:lineRule="auto" w:after="20"/>
            </w:pPr>
            <w:r>
              <w:rPr>
                <w:sz w:val="20"/>
              </w:rPr>
              <w:t xml:space="preserve">1 blk</w:t>
            </w:r>
          </w:p>
        </w:tc>
        <w:tc>
          <w:tcPr>
            <w:tcW w:type="dxa" w:w="597"/>
          </w:tcPr>
          <w:p>
            <w:pPr>
              <w:pStyle w:val="Compact"/>
              <w:spacing w:line="240" w:lineRule="auto" w:after="20"/>
            </w:pPr>
            <w:r>
              <w:rPr>
                <w:sz w:val="20"/>
              </w:rPr>
              <w:t xml:space="preserve">2 blk</w:t>
            </w:r>
          </w:p>
        </w:tc>
        <w:tc>
          <w:tcPr>
            <w:tcW w:type="dxa" w:w="597"/>
          </w:tcPr>
          <w:p>
            <w:pPr>
              <w:pStyle w:val="Compact"/>
              <w:spacing w:line="240" w:lineRule="auto" w:after="20"/>
            </w:pPr>
            <w:r>
              <w:rPr>
                <w:sz w:val="20"/>
              </w:rPr>
              <w:t xml:space="preserve">4 blk</w:t>
            </w:r>
          </w:p>
        </w:tc>
        <w:tc>
          <w:tcPr>
            <w:tcW w:type="dxa" w:w="597"/>
          </w:tcPr>
          <w:p>
            <w:pPr>
              <w:pStyle w:val="Compact"/>
              <w:spacing w:line="240" w:lineRule="auto" w:after="20"/>
            </w:pPr>
            <w:r>
              <w:rPr>
                <w:sz w:val="20"/>
              </w:rPr>
              <w:t xml:space="preserve">8 blk</w:t>
            </w:r>
          </w:p>
        </w:tc>
        <w:tc>
          <w:tcPr>
            <w:tcW w:type="dxa" w:w="716"/>
          </w:tcPr>
          <w:p>
            <w:pPr>
              <w:pStyle w:val="Compact"/>
              <w:spacing w:line="240" w:lineRule="auto" w:after="20"/>
            </w:pPr>
            <w:r>
              <w:rPr>
                <w:sz w:val="20"/>
              </w:rPr>
              <w:t xml:space="preserve">16 blk</w:t>
            </w:r>
          </w:p>
        </w:tc>
        <w:tc>
          <w:tcPr>
            <w:tcW w:type="dxa" w:w="716"/>
          </w:tcPr>
          <w:p>
            <w:pPr>
              <w:pStyle w:val="Compact"/>
              <w:spacing w:line="240" w:lineRule="auto" w:after="20"/>
            </w:pPr>
            <w:r>
              <w:rPr>
                <w:sz w:val="20"/>
              </w:rPr>
              <w:t xml:space="preserve">32 blk</w:t>
            </w:r>
          </w:p>
        </w:tc>
        <w:tc>
          <w:tcPr>
            <w:tcW w:type="dxa" w:w="835"/>
          </w:tcPr>
          <w:p>
            <w:pPr>
              <w:pStyle w:val="Compact"/>
              <w:spacing w:line="240" w:lineRule="auto" w:after="20"/>
            </w:pPr>
            <w:r>
              <w:rPr>
                <w:sz w:val="20"/>
              </w:rPr>
              <w:t xml:space="preserve">Ceiling</w:t>
            </w:r>
          </w:p>
        </w:tc>
        <w:tc>
          <w:tcPr>
            <w:tcW w:type="dxa" w:w="1909"/>
          </w:tcPr>
          <w:p>
            <w:pPr>
              <w:pStyle w:val="Compact"/>
              <w:spacing w:line="240" w:lineRule="auto" w:after="20"/>
            </w:pPr>
            <w:r>
              <w:rPr>
                <w:sz w:val="20"/>
              </w:rPr>
              <w:t xml:space="preserve">Gap closed at 32</w:t>
            </w:r>
          </w:p>
        </w:tc>
      </w:tr>
      <w:tr>
        <w:trPr>
          <w:cantSplit/>
        </w:trPr>
        <w:tc>
          <w:tcPr>
            <w:tcW w:type="dxa" w:w="1909"/>
          </w:tcPr>
          <w:p>
            <w:pPr>
              <w:pStyle w:val="Compact"/>
              <w:spacing w:line="240" w:lineRule="auto" w:after="20"/>
            </w:pPr>
            <w:r>
              <w:rPr>
                <w:sz w:val="20"/>
              </w:rPr>
              <w:t xml:space="preserve">Bejís → Manavgat</w:t>
            </w:r>
          </w:p>
        </w:tc>
        <w:tc>
          <w:tcPr>
            <w:tcW w:type="dxa" w:w="597"/>
          </w:tcPr>
          <w:p>
            <w:pPr>
              <w:pStyle w:val="Compact"/>
              <w:spacing w:line="240" w:lineRule="auto" w:after="20"/>
            </w:pPr>
            <w:r>
              <w:rPr>
                <w:sz w:val="20"/>
              </w:rPr>
              <w:t xml:space="preserve">0.314</w:t>
            </w:r>
          </w:p>
        </w:tc>
        <w:tc>
          <w:tcPr>
            <w:tcW w:type="dxa" w:w="597"/>
          </w:tcPr>
          <w:p>
            <w:pPr>
              <w:pStyle w:val="Compact"/>
              <w:spacing w:line="240" w:lineRule="auto" w:after="20"/>
            </w:pPr>
            <w:r>
              <w:rPr>
                <w:sz w:val="20"/>
              </w:rPr>
              <w:t xml:space="preserve">0.518</w:t>
            </w:r>
          </w:p>
        </w:tc>
        <w:tc>
          <w:tcPr>
            <w:tcW w:type="dxa" w:w="597"/>
          </w:tcPr>
          <w:p>
            <w:pPr>
              <w:pStyle w:val="Compact"/>
              <w:spacing w:line="240" w:lineRule="auto" w:after="20"/>
            </w:pPr>
            <w:r>
              <w:rPr>
                <w:sz w:val="20"/>
              </w:rPr>
              <w:t xml:space="preserve">0.565</w:t>
            </w:r>
          </w:p>
        </w:tc>
        <w:tc>
          <w:tcPr>
            <w:tcW w:type="dxa" w:w="597"/>
          </w:tcPr>
          <w:p>
            <w:pPr>
              <w:pStyle w:val="Compact"/>
              <w:spacing w:line="240" w:lineRule="auto" w:after="20"/>
            </w:pPr>
            <w:r>
              <w:rPr>
                <w:sz w:val="20"/>
              </w:rPr>
              <w:t xml:space="preserve">0.659</w:t>
            </w:r>
          </w:p>
        </w:tc>
        <w:tc>
          <w:tcPr>
            <w:tcW w:type="dxa" w:w="597"/>
          </w:tcPr>
          <w:p>
            <w:pPr>
              <w:pStyle w:val="Compact"/>
              <w:spacing w:line="240" w:lineRule="auto" w:after="20"/>
            </w:pPr>
            <w:r>
              <w:rPr>
                <w:sz w:val="20"/>
              </w:rPr>
              <w:t xml:space="preserve">0.698</w:t>
            </w:r>
          </w:p>
        </w:tc>
        <w:tc>
          <w:tcPr>
            <w:tcW w:type="dxa" w:w="716"/>
          </w:tcPr>
          <w:p>
            <w:pPr>
              <w:pStyle w:val="Compact"/>
              <w:spacing w:line="240" w:lineRule="auto" w:after="20"/>
            </w:pPr>
            <w:r>
              <w:rPr>
                <w:sz w:val="20"/>
              </w:rPr>
              <w:t xml:space="preserve">0.750</w:t>
            </w:r>
          </w:p>
        </w:tc>
        <w:tc>
          <w:tcPr>
            <w:tcW w:type="dxa" w:w="716"/>
          </w:tcPr>
          <w:p>
            <w:pPr>
              <w:pStyle w:val="Compact"/>
              <w:spacing w:line="240" w:lineRule="auto" w:after="20"/>
            </w:pPr>
            <w:r>
              <w:rPr>
                <w:sz w:val="20"/>
              </w:rPr>
              <w:t xml:space="preserve">0.820</w:t>
            </w:r>
          </w:p>
        </w:tc>
        <w:tc>
          <w:tcPr>
            <w:tcW w:type="dxa" w:w="835"/>
          </w:tcPr>
          <w:p>
            <w:pPr>
              <w:pStyle w:val="Compact"/>
              <w:spacing w:line="240" w:lineRule="auto" w:after="20"/>
            </w:pPr>
            <w:r>
              <w:rPr>
                <w:sz w:val="20"/>
              </w:rPr>
              <w:t xml:space="preserve">0.882</w:t>
            </w:r>
          </w:p>
        </w:tc>
        <w:tc>
          <w:tcPr>
            <w:tcW w:type="dxa" w:w="1909"/>
          </w:tcPr>
          <w:p>
            <w:pPr>
              <w:pStyle w:val="Compact"/>
              <w:spacing w:line="240" w:lineRule="auto" w:after="20"/>
            </w:pPr>
            <w:r>
              <w:rPr>
                <w:sz w:val="20"/>
              </w:rPr>
              <w:t xml:space="preserve">89 %</w:t>
            </w:r>
          </w:p>
        </w:tc>
      </w:tr>
      <w:tr>
        <w:trPr>
          <w:cantSplit/>
        </w:trPr>
        <w:tc>
          <w:tcPr>
            <w:tcW w:type="dxa" w:w="1909"/>
          </w:tcPr>
          <w:p>
            <w:pPr>
              <w:pStyle w:val="Compact"/>
              <w:spacing w:line="240" w:lineRule="auto" w:after="20"/>
            </w:pPr>
            <w:r>
              <w:rPr>
                <w:sz w:val="20"/>
              </w:rPr>
              <w:t xml:space="preserve">Muğla → Bejís</w:t>
            </w:r>
          </w:p>
        </w:tc>
        <w:tc>
          <w:tcPr>
            <w:tcW w:type="dxa" w:w="597"/>
          </w:tcPr>
          <w:p>
            <w:pPr>
              <w:pStyle w:val="Compact"/>
              <w:spacing w:line="240" w:lineRule="auto" w:after="20"/>
            </w:pPr>
            <w:r>
              <w:rPr>
                <w:sz w:val="20"/>
              </w:rPr>
              <w:t xml:space="preserve">0.583</w:t>
            </w:r>
          </w:p>
        </w:tc>
        <w:tc>
          <w:tcPr>
            <w:tcW w:type="dxa" w:w="597"/>
          </w:tcPr>
          <w:p>
            <w:pPr>
              <w:pStyle w:val="Compact"/>
              <w:spacing w:line="240" w:lineRule="auto" w:after="20"/>
            </w:pPr>
            <w:r>
              <w:rPr>
                <w:sz w:val="20"/>
              </w:rPr>
              <w:t xml:space="preserve">0.578</w:t>
            </w:r>
          </w:p>
        </w:tc>
        <w:tc>
          <w:tcPr>
            <w:tcW w:type="dxa" w:w="597"/>
          </w:tcPr>
          <w:p>
            <w:pPr>
              <w:pStyle w:val="Compact"/>
              <w:spacing w:line="240" w:lineRule="auto" w:after="20"/>
            </w:pPr>
            <w:r>
              <w:rPr>
                <w:sz w:val="20"/>
              </w:rPr>
              <w:t xml:space="preserve">0.603</w:t>
            </w:r>
          </w:p>
        </w:tc>
        <w:tc>
          <w:tcPr>
            <w:tcW w:type="dxa" w:w="597"/>
          </w:tcPr>
          <w:p>
            <w:pPr>
              <w:pStyle w:val="Compact"/>
              <w:spacing w:line="240" w:lineRule="auto" w:after="20"/>
            </w:pPr>
            <w:r>
              <w:rPr>
                <w:sz w:val="20"/>
              </w:rPr>
              <w:t xml:space="preserve">0.625</w:t>
            </w:r>
          </w:p>
        </w:tc>
        <w:tc>
          <w:tcPr>
            <w:tcW w:type="dxa" w:w="597"/>
          </w:tcPr>
          <w:p>
            <w:pPr>
              <w:pStyle w:val="Compact"/>
              <w:spacing w:line="240" w:lineRule="auto" w:after="20"/>
            </w:pPr>
            <w:r>
              <w:rPr>
                <w:sz w:val="20"/>
              </w:rPr>
              <w:t xml:space="preserve">0.666</w:t>
            </w:r>
          </w:p>
        </w:tc>
        <w:tc>
          <w:tcPr>
            <w:tcW w:type="dxa" w:w="716"/>
          </w:tcPr>
          <w:p>
            <w:pPr>
              <w:pStyle w:val="Compact"/>
              <w:spacing w:line="240" w:lineRule="auto" w:after="20"/>
            </w:pPr>
            <w:r>
              <w:rPr>
                <w:sz w:val="20"/>
              </w:rPr>
              <w:t xml:space="preserve">0.743</w:t>
            </w:r>
          </w:p>
        </w:tc>
        <w:tc>
          <w:tcPr>
            <w:tcW w:type="dxa" w:w="716"/>
          </w:tcPr>
          <w:p>
            <w:pPr>
              <w:pStyle w:val="Compact"/>
              <w:spacing w:line="240" w:lineRule="auto" w:after="20"/>
            </w:pPr>
            <w:r>
              <w:rPr>
                <w:sz w:val="20"/>
              </w:rPr>
              <w:t xml:space="preserve">0.789</w:t>
            </w:r>
          </w:p>
        </w:tc>
        <w:tc>
          <w:tcPr>
            <w:tcW w:type="dxa" w:w="835"/>
          </w:tcPr>
          <w:p>
            <w:pPr>
              <w:pStyle w:val="Compact"/>
              <w:spacing w:line="240" w:lineRule="auto" w:after="20"/>
            </w:pPr>
            <w:r>
              <w:rPr>
                <w:sz w:val="20"/>
              </w:rPr>
              <w:t xml:space="preserve">0.824</w:t>
            </w:r>
          </w:p>
        </w:tc>
        <w:tc>
          <w:tcPr>
            <w:tcW w:type="dxa" w:w="1909"/>
          </w:tcPr>
          <w:p>
            <w:pPr>
              <w:pStyle w:val="Compact"/>
              <w:spacing w:line="240" w:lineRule="auto" w:after="20"/>
            </w:pPr>
            <w:r>
              <w:rPr>
                <w:sz w:val="20"/>
              </w:rPr>
              <w:t xml:space="preserve">85 %</w:t>
            </w:r>
          </w:p>
        </w:tc>
      </w:tr>
      <w:tr>
        <w:trPr>
          <w:cantSplit/>
        </w:trPr>
        <w:tc>
          <w:tcPr>
            <w:tcW w:type="dxa" w:w="1909"/>
          </w:tcPr>
          <w:p>
            <w:pPr>
              <w:pStyle w:val="Compact"/>
              <w:spacing w:line="240" w:lineRule="auto" w:after="20"/>
            </w:pPr>
            <w:r>
              <w:rPr>
                <w:sz w:val="20"/>
              </w:rPr>
              <w:t xml:space="preserve">Manavgat → Bejís</w:t>
            </w:r>
          </w:p>
        </w:tc>
        <w:tc>
          <w:tcPr>
            <w:tcW w:type="dxa" w:w="597"/>
          </w:tcPr>
          <w:p>
            <w:pPr>
              <w:pStyle w:val="Compact"/>
              <w:spacing w:line="240" w:lineRule="auto" w:after="20"/>
            </w:pPr>
            <w:r>
              <w:rPr>
                <w:sz w:val="20"/>
              </w:rPr>
              <w:t xml:space="preserve">0.396</w:t>
            </w:r>
          </w:p>
        </w:tc>
        <w:tc>
          <w:tcPr>
            <w:tcW w:type="dxa" w:w="597"/>
          </w:tcPr>
          <w:p>
            <w:pPr>
              <w:pStyle w:val="Compact"/>
              <w:spacing w:line="240" w:lineRule="auto" w:after="20"/>
            </w:pPr>
            <w:r>
              <w:rPr>
                <w:sz w:val="20"/>
              </w:rPr>
              <w:t xml:space="preserve">0.447</w:t>
            </w:r>
          </w:p>
        </w:tc>
        <w:tc>
          <w:tcPr>
            <w:tcW w:type="dxa" w:w="597"/>
          </w:tcPr>
          <w:p>
            <w:pPr>
              <w:pStyle w:val="Compact"/>
              <w:spacing w:line="240" w:lineRule="auto" w:after="20"/>
            </w:pPr>
            <w:r>
              <w:rPr>
                <w:sz w:val="20"/>
              </w:rPr>
              <w:t xml:space="preserve">0.456</w:t>
            </w:r>
          </w:p>
        </w:tc>
        <w:tc>
          <w:tcPr>
            <w:tcW w:type="dxa" w:w="597"/>
          </w:tcPr>
          <w:p>
            <w:pPr>
              <w:pStyle w:val="Compact"/>
              <w:spacing w:line="240" w:lineRule="auto" w:after="20"/>
            </w:pPr>
            <w:r>
              <w:rPr>
                <w:sz w:val="20"/>
              </w:rPr>
              <w:t xml:space="preserve">0.541</w:t>
            </w:r>
          </w:p>
        </w:tc>
        <w:tc>
          <w:tcPr>
            <w:tcW w:type="dxa" w:w="597"/>
          </w:tcPr>
          <w:p>
            <w:pPr>
              <w:pStyle w:val="Compact"/>
              <w:spacing w:line="240" w:lineRule="auto" w:after="20"/>
            </w:pPr>
            <w:r>
              <w:rPr>
                <w:sz w:val="20"/>
              </w:rPr>
              <w:t xml:space="preserve">0.598</w:t>
            </w:r>
          </w:p>
        </w:tc>
        <w:tc>
          <w:tcPr>
            <w:tcW w:type="dxa" w:w="716"/>
          </w:tcPr>
          <w:p>
            <w:pPr>
              <w:pStyle w:val="Compact"/>
              <w:spacing w:line="240" w:lineRule="auto" w:after="20"/>
            </w:pPr>
            <w:r>
              <w:rPr>
                <w:sz w:val="20"/>
              </w:rPr>
              <w:t xml:space="preserve">0.690</w:t>
            </w:r>
          </w:p>
        </w:tc>
        <w:tc>
          <w:tcPr>
            <w:tcW w:type="dxa" w:w="716"/>
          </w:tcPr>
          <w:p>
            <w:pPr>
              <w:pStyle w:val="Compact"/>
              <w:spacing w:line="240" w:lineRule="auto" w:after="20"/>
            </w:pPr>
            <w:r>
              <w:rPr>
                <w:sz w:val="20"/>
              </w:rPr>
              <w:t xml:space="preserve">0.752</w:t>
            </w:r>
          </w:p>
        </w:tc>
        <w:tc>
          <w:tcPr>
            <w:tcW w:type="dxa" w:w="835"/>
          </w:tcPr>
          <w:p>
            <w:pPr>
              <w:pStyle w:val="Compact"/>
              <w:spacing w:line="240" w:lineRule="auto" w:after="20"/>
            </w:pPr>
            <w:r>
              <w:rPr>
                <w:sz w:val="20"/>
              </w:rPr>
              <w:t xml:space="preserve">0.824</w:t>
            </w:r>
          </w:p>
        </w:tc>
        <w:tc>
          <w:tcPr>
            <w:tcW w:type="dxa" w:w="1909"/>
          </w:tcPr>
          <w:p>
            <w:pPr>
              <w:pStyle w:val="Compact"/>
              <w:spacing w:line="240" w:lineRule="auto" w:after="20"/>
            </w:pPr>
            <w:r>
              <w:rPr>
                <w:sz w:val="20"/>
              </w:rPr>
              <w:t xml:space="preserve">83 %</w:t>
            </w:r>
          </w:p>
        </w:tc>
      </w:tr>
      <w:tr>
        <w:trPr>
          <w:cantSplit/>
        </w:trPr>
        <w:tc>
          <w:tcPr>
            <w:tcW w:type="dxa" w:w="1909"/>
          </w:tcPr>
          <w:p>
            <w:pPr>
              <w:pStyle w:val="Compact"/>
              <w:spacing w:line="240" w:lineRule="auto" w:after="20"/>
            </w:pPr>
            <w:r>
              <w:rPr>
                <w:sz w:val="20"/>
              </w:rPr>
              <w:t xml:space="preserve">Muğla → Manavgat</w:t>
            </w:r>
          </w:p>
        </w:tc>
        <w:tc>
          <w:tcPr>
            <w:tcW w:type="dxa" w:w="597"/>
          </w:tcPr>
          <w:p>
            <w:pPr>
              <w:pStyle w:val="Compact"/>
              <w:spacing w:line="240" w:lineRule="auto" w:after="20"/>
            </w:pPr>
            <w:r>
              <w:rPr>
                <w:sz w:val="20"/>
              </w:rPr>
              <w:t xml:space="preserve">0.345</w:t>
            </w:r>
          </w:p>
        </w:tc>
        <w:tc>
          <w:tcPr>
            <w:tcW w:type="dxa" w:w="597"/>
          </w:tcPr>
          <w:p>
            <w:pPr>
              <w:pStyle w:val="Compact"/>
              <w:spacing w:line="240" w:lineRule="auto" w:after="20"/>
            </w:pPr>
            <w:r>
              <w:rPr>
                <w:sz w:val="20"/>
              </w:rPr>
              <w:t xml:space="preserve">0.358</w:t>
            </w:r>
          </w:p>
        </w:tc>
        <w:tc>
          <w:tcPr>
            <w:tcW w:type="dxa" w:w="597"/>
          </w:tcPr>
          <w:p>
            <w:pPr>
              <w:pStyle w:val="Compact"/>
              <w:spacing w:line="240" w:lineRule="auto" w:after="20"/>
            </w:pPr>
            <w:r>
              <w:rPr>
                <w:sz w:val="20"/>
              </w:rPr>
              <w:t xml:space="preserve">0.380</w:t>
            </w:r>
          </w:p>
        </w:tc>
        <w:tc>
          <w:tcPr>
            <w:tcW w:type="dxa" w:w="597"/>
          </w:tcPr>
          <w:p>
            <w:pPr>
              <w:pStyle w:val="Compact"/>
              <w:spacing w:line="240" w:lineRule="auto" w:after="20"/>
            </w:pPr>
            <w:r>
              <w:rPr>
                <w:sz w:val="20"/>
              </w:rPr>
              <w:t xml:space="preserve">0.407</w:t>
            </w:r>
          </w:p>
        </w:tc>
        <w:tc>
          <w:tcPr>
            <w:tcW w:type="dxa" w:w="597"/>
          </w:tcPr>
          <w:p>
            <w:pPr>
              <w:pStyle w:val="Compact"/>
              <w:spacing w:line="240" w:lineRule="auto" w:after="20"/>
            </w:pPr>
            <w:r>
              <w:rPr>
                <w:sz w:val="20"/>
              </w:rPr>
              <w:t xml:space="preserve">0.437</w:t>
            </w:r>
          </w:p>
        </w:tc>
        <w:tc>
          <w:tcPr>
            <w:tcW w:type="dxa" w:w="716"/>
          </w:tcPr>
          <w:p>
            <w:pPr>
              <w:pStyle w:val="Compact"/>
              <w:spacing w:line="240" w:lineRule="auto" w:after="20"/>
            </w:pPr>
            <w:r>
              <w:rPr>
                <w:sz w:val="20"/>
              </w:rPr>
              <w:t xml:space="preserve">0.505</w:t>
            </w:r>
          </w:p>
        </w:tc>
        <w:tc>
          <w:tcPr>
            <w:tcW w:type="dxa" w:w="716"/>
          </w:tcPr>
          <w:p>
            <w:pPr>
              <w:pStyle w:val="Compact"/>
              <w:spacing w:line="240" w:lineRule="auto" w:after="20"/>
            </w:pPr>
            <w:r>
              <w:rPr>
                <w:sz w:val="20"/>
              </w:rPr>
              <w:t xml:space="preserve">0.624</w:t>
            </w:r>
          </w:p>
        </w:tc>
        <w:tc>
          <w:tcPr>
            <w:tcW w:type="dxa" w:w="835"/>
          </w:tcPr>
          <w:p>
            <w:pPr>
              <w:pStyle w:val="Compact"/>
              <w:spacing w:line="240" w:lineRule="auto" w:after="20"/>
            </w:pPr>
            <w:r>
              <w:rPr>
                <w:sz w:val="20"/>
              </w:rPr>
              <w:t xml:space="preserve">0.882</w:t>
            </w:r>
          </w:p>
        </w:tc>
        <w:tc>
          <w:tcPr>
            <w:tcW w:type="dxa" w:w="1909"/>
          </w:tcPr>
          <w:p>
            <w:pPr>
              <w:pStyle w:val="Compact"/>
              <w:spacing w:line="240" w:lineRule="auto" w:after="20"/>
            </w:pPr>
            <w:r>
              <w:rPr>
                <w:sz w:val="20"/>
              </w:rPr>
              <w:t xml:space="preserve">52 %</w:t>
            </w:r>
          </w:p>
        </w:tc>
      </w:tr>
      <w:tr>
        <w:trPr>
          <w:cantSplit/>
        </w:trPr>
        <w:tc>
          <w:tcPr>
            <w:tcW w:type="dxa" w:w="1909"/>
          </w:tcPr>
          <w:p>
            <w:pPr>
              <w:pStyle w:val="Compact"/>
              <w:spacing w:line="240" w:lineRule="auto" w:after="20"/>
            </w:pPr>
            <w:r>
              <w:rPr>
                <w:sz w:val="20"/>
              </w:rPr>
              <w:t xml:space="preserve">Manavgat → Muğla</w:t>
            </w:r>
          </w:p>
        </w:tc>
        <w:tc>
          <w:tcPr>
            <w:tcW w:type="dxa" w:w="597"/>
          </w:tcPr>
          <w:p>
            <w:pPr>
              <w:pStyle w:val="Compact"/>
              <w:spacing w:line="240" w:lineRule="auto" w:after="20"/>
            </w:pPr>
            <w:r>
              <w:rPr>
                <w:sz w:val="20"/>
              </w:rPr>
              <w:t xml:space="preserve">0.438</w:t>
            </w:r>
          </w:p>
        </w:tc>
        <w:tc>
          <w:tcPr>
            <w:tcW w:type="dxa" w:w="597"/>
          </w:tcPr>
          <w:p>
            <w:pPr>
              <w:pStyle w:val="Compact"/>
              <w:spacing w:line="240" w:lineRule="auto" w:after="20"/>
            </w:pPr>
            <w:r>
              <w:rPr>
                <w:sz w:val="20"/>
              </w:rPr>
              <w:t xml:space="preserve">0.447</w:t>
            </w:r>
          </w:p>
        </w:tc>
        <w:tc>
          <w:tcPr>
            <w:tcW w:type="dxa" w:w="597"/>
          </w:tcPr>
          <w:p>
            <w:pPr>
              <w:pStyle w:val="Compact"/>
              <w:spacing w:line="240" w:lineRule="auto" w:after="20"/>
            </w:pPr>
            <w:r>
              <w:rPr>
                <w:sz w:val="20"/>
              </w:rPr>
              <w:t xml:space="preserve">0.453</w:t>
            </w:r>
          </w:p>
        </w:tc>
        <w:tc>
          <w:tcPr>
            <w:tcW w:type="dxa" w:w="597"/>
          </w:tcPr>
          <w:p>
            <w:pPr>
              <w:pStyle w:val="Compact"/>
              <w:spacing w:line="240" w:lineRule="auto" w:after="20"/>
            </w:pPr>
            <w:r>
              <w:rPr>
                <w:sz w:val="20"/>
              </w:rPr>
              <w:t xml:space="preserve">0.468</w:t>
            </w:r>
          </w:p>
        </w:tc>
        <w:tc>
          <w:tcPr>
            <w:tcW w:type="dxa" w:w="597"/>
          </w:tcPr>
          <w:p>
            <w:pPr>
              <w:pStyle w:val="Compact"/>
              <w:spacing w:line="240" w:lineRule="auto" w:after="20"/>
            </w:pPr>
            <w:r>
              <w:rPr>
                <w:sz w:val="20"/>
              </w:rPr>
              <w:t xml:space="preserve">0.490</w:t>
            </w:r>
          </w:p>
        </w:tc>
        <w:tc>
          <w:tcPr>
            <w:tcW w:type="dxa" w:w="716"/>
          </w:tcPr>
          <w:p>
            <w:pPr>
              <w:pStyle w:val="Compact"/>
              <w:spacing w:line="240" w:lineRule="auto" w:after="20"/>
            </w:pPr>
            <w:r>
              <w:rPr>
                <w:sz w:val="20"/>
              </w:rPr>
              <w:t xml:space="preserve">0.532</w:t>
            </w:r>
          </w:p>
        </w:tc>
        <w:tc>
          <w:tcPr>
            <w:tcW w:type="dxa" w:w="716"/>
          </w:tcPr>
          <w:p>
            <w:pPr>
              <w:pStyle w:val="Compact"/>
              <w:spacing w:line="240" w:lineRule="auto" w:after="20"/>
            </w:pPr>
            <w:r>
              <w:rPr>
                <w:sz w:val="20"/>
              </w:rPr>
              <w:t xml:space="preserve">0.571</w:t>
            </w:r>
          </w:p>
        </w:tc>
        <w:tc>
          <w:tcPr>
            <w:tcW w:type="dxa" w:w="835"/>
          </w:tcPr>
          <w:p>
            <w:pPr>
              <w:pStyle w:val="Compact"/>
              <w:spacing w:line="240" w:lineRule="auto" w:after="20"/>
            </w:pPr>
            <w:r>
              <w:rPr>
                <w:sz w:val="20"/>
              </w:rPr>
              <w:t xml:space="preserve">0.777</w:t>
            </w:r>
          </w:p>
        </w:tc>
        <w:tc>
          <w:tcPr>
            <w:tcW w:type="dxa" w:w="1909"/>
          </w:tcPr>
          <w:p>
            <w:pPr>
              <w:pStyle w:val="Compact"/>
              <w:spacing w:line="240" w:lineRule="auto" w:after="20"/>
            </w:pPr>
            <w:r>
              <w:rPr>
                <w:sz w:val="20"/>
              </w:rPr>
              <w:t xml:space="preserve">39 %</w:t>
            </w:r>
          </w:p>
        </w:tc>
      </w:tr>
      <w:tr>
        <w:trPr>
          <w:cantSplit/>
        </w:trPr>
        <w:tc>
          <w:tcPr>
            <w:tcW w:type="dxa" w:w="1909"/>
          </w:tcPr>
          <w:p>
            <w:pPr>
              <w:pStyle w:val="Compact"/>
              <w:spacing w:line="240" w:lineRule="auto" w:after="20"/>
            </w:pPr>
            <w:r>
              <w:rPr>
                <w:sz w:val="20"/>
              </w:rPr>
              <w:t xml:space="preserve">Bejís → Muğla</w:t>
            </w:r>
          </w:p>
        </w:tc>
        <w:tc>
          <w:tcPr>
            <w:tcW w:type="dxa" w:w="597"/>
          </w:tcPr>
          <w:p>
            <w:pPr>
              <w:pStyle w:val="Compact"/>
              <w:spacing w:line="240" w:lineRule="auto" w:after="20"/>
            </w:pPr>
            <w:r>
              <w:rPr>
                <w:sz w:val="20"/>
              </w:rPr>
              <w:t xml:space="preserve">0.618</w:t>
            </w:r>
          </w:p>
        </w:tc>
        <w:tc>
          <w:tcPr>
            <w:tcW w:type="dxa" w:w="597"/>
          </w:tcPr>
          <w:p>
            <w:pPr>
              <w:pStyle w:val="Compact"/>
              <w:spacing w:line="240" w:lineRule="auto" w:after="20"/>
            </w:pPr>
            <w:r>
              <w:rPr>
                <w:sz w:val="20"/>
              </w:rPr>
              <w:t xml:space="preserve">0.576</w:t>
            </w:r>
          </w:p>
        </w:tc>
        <w:tc>
          <w:tcPr>
            <w:tcW w:type="dxa" w:w="597"/>
          </w:tcPr>
          <w:p>
            <w:pPr>
              <w:pStyle w:val="Compact"/>
              <w:spacing w:line="240" w:lineRule="auto" w:after="20"/>
            </w:pPr>
            <w:r>
              <w:rPr>
                <w:sz w:val="20"/>
              </w:rPr>
              <w:t xml:space="preserve">0.577</w:t>
            </w:r>
          </w:p>
        </w:tc>
        <w:tc>
          <w:tcPr>
            <w:tcW w:type="dxa" w:w="597"/>
          </w:tcPr>
          <w:p>
            <w:pPr>
              <w:pStyle w:val="Compact"/>
              <w:spacing w:line="240" w:lineRule="auto" w:after="20"/>
            </w:pPr>
            <w:r>
              <w:rPr>
                <w:sz w:val="20"/>
              </w:rPr>
              <w:t xml:space="preserve">0.578</w:t>
            </w:r>
          </w:p>
        </w:tc>
        <w:tc>
          <w:tcPr>
            <w:tcW w:type="dxa" w:w="597"/>
          </w:tcPr>
          <w:p>
            <w:pPr>
              <w:pStyle w:val="Compact"/>
              <w:spacing w:line="240" w:lineRule="auto" w:after="20"/>
            </w:pPr>
            <w:r>
              <w:rPr>
                <w:sz w:val="20"/>
              </w:rPr>
              <w:t xml:space="preserve">0.598</w:t>
            </w:r>
          </w:p>
        </w:tc>
        <w:tc>
          <w:tcPr>
            <w:tcW w:type="dxa" w:w="716"/>
          </w:tcPr>
          <w:p>
            <w:pPr>
              <w:pStyle w:val="Compact"/>
              <w:spacing w:line="240" w:lineRule="auto" w:after="20"/>
            </w:pPr>
            <w:r>
              <w:rPr>
                <w:sz w:val="20"/>
              </w:rPr>
              <w:t xml:space="preserve">0.637</w:t>
            </w:r>
          </w:p>
        </w:tc>
        <w:tc>
          <w:tcPr>
            <w:tcW w:type="dxa" w:w="716"/>
          </w:tcPr>
          <w:p>
            <w:pPr>
              <w:pStyle w:val="Compact"/>
              <w:spacing w:line="240" w:lineRule="auto" w:after="20"/>
            </w:pPr>
            <w:r>
              <w:rPr>
                <w:sz w:val="20"/>
              </w:rPr>
              <w:t xml:space="preserve">0.666</w:t>
            </w:r>
          </w:p>
        </w:tc>
        <w:tc>
          <w:tcPr>
            <w:tcW w:type="dxa" w:w="835"/>
          </w:tcPr>
          <w:p>
            <w:pPr>
              <w:pStyle w:val="Compact"/>
              <w:spacing w:line="240" w:lineRule="auto" w:after="20"/>
            </w:pPr>
            <w:r>
              <w:rPr>
                <w:sz w:val="20"/>
              </w:rPr>
              <w:t xml:space="preserve">0.777</w:t>
            </w:r>
          </w:p>
        </w:tc>
        <w:tc>
          <w:tcPr>
            <w:tcW w:type="dxa" w:w="1909"/>
          </w:tcPr>
          <w:p>
            <w:pPr>
              <w:pStyle w:val="Compact"/>
              <w:spacing w:line="240" w:lineRule="auto" w:after="20"/>
            </w:pPr>
            <w:r>
              <w:rPr>
                <w:sz w:val="20"/>
              </w:rPr>
              <w:t xml:space="preserve">30 %</w:t>
            </w:r>
          </w:p>
        </w:tc>
      </w:tr>
    </w:tbl>
    <w:p>
      <w:pPr>
        <w:pStyle w:val="BodyText"/>
      </w:pPr>
      <w:r>
        <w:rPr>
          <w:b/>
          <w:bCs/>
        </w:rPr>
        <w:t xml:space="preserve">At 32 blocks, three of six directions close 83 to 89 % of the gap to the ceiling.</w:t>
      </w:r>
      <w:r>
        <w:t xml:space="preserve"> </w:t>
      </w:r>
      <w:r>
        <w:t xml:space="preserve">Two of these</w:t>
      </w:r>
      <w:r>
        <w:t xml:space="preserve"> </w:t>
      </w:r>
      <w:r>
        <w:t xml:space="preserve">three started below chance. The other three close 30 to 52 %. Thirty-two blocks contain 2,740 to</w:t>
      </w:r>
      <w:r>
        <w:t xml:space="preserve"> </w:t>
      </w:r>
      <w:r>
        <w:t xml:space="preserve">2,970 labelled cells, 7 to 20 % of the natural-vegetation population of the target. This is not a</w:t>
      </w:r>
      <w:r>
        <w:t xml:space="preserve"> </w:t>
      </w:r>
      <w:r>
        <w:t xml:space="preserve">small budget. For Bejís, the 32 labelled blocks contain on average 880 of its 1,100 burned cells, and</w:t>
      </w:r>
      <w:r>
        <w:t xml:space="preserve"> </w:t>
      </w:r>
      <w:r>
        <w:t xml:space="preserve">for Manavgat about 1,800 of 2,935.</w:t>
      </w:r>
    </w:p>
    <w:p>
      <w:pPr>
        <w:pStyle w:val="BodyText"/>
      </w:pPr>
      <w:r>
        <w:rPr>
          <w:b/>
          <w:bCs/>
        </w:rPr>
        <w:t xml:space="preserve">Recovery is slow where transfer is worst.</w:t>
      </w:r>
      <w:r>
        <w:t xml:space="preserve"> </w:t>
      </w:r>
      <w:r>
        <w:t xml:space="preserve">Muğla → Manavgat has the largest gap between raw</w:t>
      </w:r>
      <w:r>
        <w:t xml:space="preserve"> </w:t>
      </w:r>
      <w:r>
        <w:t xml:space="preserve">transfer and the ceiling. It is still below 0.5 after 8 labelled blocks and closes 52 % at 32.</w:t>
      </w:r>
    </w:p>
    <w:p>
      <w:pPr>
        <w:pStyle w:val="BodyText"/>
      </w:pPr>
      <w:r>
        <w:rPr>
          <w:b/>
          <w:bCs/>
        </w:rPr>
        <w:t xml:space="preserve">Small budgets harm the direction that already transfers.</w:t>
      </w:r>
      <w:r>
        <w:t xml:space="preserve"> </w:t>
      </w:r>
      <w:r>
        <w:t xml:space="preserve">Bejís → Muğla is above chance without</w:t>
      </w:r>
      <w:r>
        <w:t xml:space="preserve"> </w:t>
      </w:r>
      <w:r>
        <w:t xml:space="preserve">labels (0.618), and target labels help it least. The curve is below the raw value at 1, 2, 4 and 8</w:t>
      </w:r>
      <w:r>
        <w:t xml:space="preserve"> </w:t>
      </w:r>
      <w:r>
        <w:t xml:space="preserve">blocks (0.576 to 0.598), rises above it only at 16 blocks, and closes 30 % at 32.</w:t>
      </w:r>
    </w:p>
    <w:bookmarkEnd w:id="72"/>
    <w:bookmarkStart w:id="73" w:name="s4.4-limits"/>
    <w:p>
      <w:pPr>
        <w:pStyle w:val="Heading2"/>
      </w:pPr>
      <w:r>
        <w:t xml:space="preserve">S4.4 Limits</w:t>
      </w:r>
    </w:p>
    <w:p>
      <w:pPr>
        <w:pStyle w:val="Compact"/>
        <w:numPr>
          <w:ilvl w:val="0"/>
          <w:numId w:val="1005"/>
        </w:numPr>
      </w:pPr>
      <w:r>
        <w:rPr>
          <w:b/>
          <w:bCs/>
        </w:rPr>
        <w:t xml:space="preserve">Three regions, six directions.</w:t>
      </w:r>
      <w:r>
        <w:t xml:space="preserve"> </w:t>
      </w:r>
      <w:r>
        <w:t xml:space="preserve">Evia and Montiferru are not included, so this covers six of</w:t>
      </w:r>
      <w:r>
        <w:t xml:space="preserve"> </w:t>
      </w:r>
      <w:r>
        <w:t xml:space="preserve">the twenty directions and cannot cover all five regions. Six directions cannot support a general</w:t>
      </w:r>
      <w:r>
        <w:t xml:space="preserve"> </w:t>
      </w:r>
      <w:r>
        <w:t xml:space="preserve">label budget, so none is given.</w:t>
      </w:r>
    </w:p>
    <w:p>
      <w:pPr>
        <w:pStyle w:val="Compact"/>
        <w:numPr>
          <w:ilvl w:val="0"/>
          <w:numId w:val="1005"/>
        </w:numPr>
      </w:pPr>
      <w:r>
        <w:rPr>
          <w:b/>
          <w:bCs/>
        </w:rPr>
        <w:t xml:space="preserve">It needs labelled target cells</w:t>
      </w:r>
      <w:r>
        <w:t xml:space="preserve"> </w:t>
      </w:r>
      <w:r>
        <w:t xml:space="preserve">from the fire that is predicted. Nothing here is a label-free</w:t>
      </w:r>
      <w:r>
        <w:t xml:space="preserve"> </w:t>
      </w:r>
      <w:r>
        <w:t xml:space="preserve">method, and nothing here changes the negative result for label-free alignment. Labels from earlier</w:t>
      </w:r>
      <w:r>
        <w:t xml:space="preserve"> </w:t>
      </w:r>
      <w:r>
        <w:t xml:space="preserve">fires in the same region were not tested.</w:t>
      </w:r>
    </w:p>
    <w:p>
      <w:pPr>
        <w:pStyle w:val="Compact"/>
        <w:numPr>
          <w:ilvl w:val="0"/>
          <w:numId w:val="1005"/>
        </w:numPr>
      </w:pPr>
      <w:r>
        <w:rPr>
          <w:b/>
          <w:bCs/>
        </w:rPr>
        <w:t xml:space="preserve">The interval is a selection interval. At the largest budgets it becomes narrow because the pool</w:t>
      </w:r>
      <w:r>
        <w:rPr>
          <w:b/>
          <w:bCs/>
        </w:rPr>
        <w:t xml:space="preserve"> </w:t>
      </w:r>
      <w:r>
        <w:rPr>
          <w:b/>
          <w:bCs/>
        </w:rPr>
        <w:t xml:space="preserve">of blocks is used up, not because the value is well estimated.</w:t>
      </w:r>
      <w:r>
        <w:t xml:space="preserve"> </w:t>
      </w:r>
      <w:r>
        <w:t xml:space="preserve">Per outer fold, the target has on</w:t>
      </w:r>
      <w:r>
        <w:t xml:space="preserve"> </w:t>
      </w:r>
      <w:r>
        <w:t xml:space="preserve">average about 12 blocks with both classes in Bejís, 29 in Manavgat and 48 in Muğla. At 16 and 32</w:t>
      </w:r>
      <w:r>
        <w:t xml:space="preserve"> </w:t>
      </w:r>
      <w:r>
        <w:t xml:space="preserve">blocks, the draws therefore use almost all of these blocks and select almost the same set</w:t>
      </w:r>
      <w:r>
        <w:t xml:space="preserve"> </w:t>
      </w:r>
      <w:r>
        <w:t xml:space="preserve">(</w:t>
      </w:r>
      <w:r>
        <w:rPr>
          <w:rStyle w:val="VerbatimChar"/>
        </w:rPr>
        <w:t xml:space="preserve">direction_budget_feasibility.csv</w:t>
      </w:r>
      <w:r>
        <w:t xml:space="preserve">).</w:t>
      </w:r>
    </w:p>
    <w:p>
      <w:pPr>
        <w:pStyle w:val="Compact"/>
        <w:numPr>
          <w:ilvl w:val="0"/>
          <w:numId w:val="1005"/>
        </w:numPr>
      </w:pPr>
      <w:r>
        <w:rPr>
          <w:b/>
          <w:bCs/>
        </w:rPr>
        <w:t xml:space="preserve">The ceiling is the 10-cell target-only value</w:t>
      </w:r>
      <w:r>
        <w:t xml:space="preserve">, not the ≈1 km within-region value of Table 1,</w:t>
      </w:r>
      <w:r>
        <w:t xml:space="preserve"> </w:t>
      </w:r>
      <w:r>
        <w:t xml:space="preserve">so it is lower. The recovered fractions can only be read against this matched ceiling, and on the</w:t>
      </w:r>
      <w:r>
        <w:t xml:space="preserve"> </w:t>
      </w:r>
      <w:r>
        <w:t xml:space="preserve">original study areas, which are not comparable across regions (Section 4.4).</w:t>
      </w:r>
    </w:p>
    <w:bookmarkEnd w:id="73"/>
    <w:bookmarkEnd w:id="74"/>
    <w:bookmarkStart w:id="76" w:name="s5-code"/>
    <w:p>
      <w:pPr>
        <w:pStyle w:val="Heading1"/>
      </w:pPr>
      <w:r>
        <w:t xml:space="preserve">S5 Code</w:t>
      </w:r>
    </w:p>
    <w:p>
      <w:pPr>
        <w:pStyle w:val="FirstParagraph"/>
        <w:keepNext/>
      </w:pPr>
      <w:r>
        <w:t xml:space="preserve">The analysis code is public at</w:t>
      </w:r>
      <w:r>
        <w:t xml:space="preserve"> </w:t>
      </w:r>
      <w:hyperlink r:id="rId18">
        <w:r>
          <w:rPr>
            <w:rStyle w:val="Hyperlink"/>
          </w:rPr>
          <w:t xml:space="preserve">https://github.com/dryuemco/thermal-twin</w:t>
        </w:r>
      </w:hyperlink>
      <w:r>
        <w:t xml:space="preserve"> </w:t>
      </w:r>
      <w:r>
        <w:t xml:space="preserve">under the MIT licence,</w:t>
      </w:r>
      <w:r>
        <w:t xml:space="preserve"> </w:t>
      </w:r>
      <w:r>
        <w:t xml:space="preserve">and the version used for this paper is archived at Zenodo (https://doi.org/10.5281/zenodo.23038039).</w:t>
      </w:r>
      <w:r>
        <w:t xml:space="preserve"> </w:t>
      </w:r>
      <w:r>
        <w:t xml:space="preserve">This section is a guide to it; the README of the repository gives the same information. The satellite</w:t>
      </w:r>
      <w:r>
        <w:t xml:space="preserve"> </w:t>
      </w:r>
      <w:r>
        <w:t xml:space="preserve">processing pipeline is a separate public repository,</w:t>
      </w:r>
      <w:r>
        <w:t xml:space="preserve"> </w:t>
      </w:r>
      <w:hyperlink r:id="rId75">
        <w:r>
          <w:rPr>
            <w:rStyle w:val="Hyperlink"/>
          </w:rPr>
          <w:t xml:space="preserve">https://github.com/emrehann17/satellite-thermal-digital-twin</w:t>
        </w:r>
      </w:hyperlink>
      <w:r>
        <w:t xml:space="preserve"> </w:t>
      </w:r>
      <w:r>
        <w:t xml:space="preserve">(MIT licence). The re-frozen Manavgat</w:t>
      </w:r>
      <w:r>
        <w:t xml:space="preserve"> </w:t>
      </w:r>
      <w:r>
        <w:t xml:space="preserve">outputs were produced at its commit</w:t>
      </w:r>
      <w:r>
        <w:t xml:space="preserve"> </w:t>
      </w:r>
      <w:r>
        <w:rPr>
          <w:rStyle w:val="VerbatimChar"/>
        </w:rPr>
        <w:t xml:space="preserve">6381f4c</w:t>
      </w:r>
      <w:r>
        <w:t xml:space="preserve">. The outputs of the other regions were produced at</w:t>
      </w:r>
      <w:r>
        <w:t xml:space="preserve"> </w:t>
      </w:r>
      <w:r>
        <w:t xml:space="preserve">earlier commits and are reproduced by it (Section S3.6.2).</w:t>
      </w:r>
    </w:p>
    <w:tbl>
      <w:tblPr>
        <w:tblStyle w:val="Table"/>
        <w:tblW w:type="auto" w:w="0"/>
        <w:tblLook w:firstRow="1" w:lastRow="0" w:firstColumn="0" w:lastColumn="0" w:noHBand="0" w:noVBand="0" w:val="0020"/>
      </w:tblPr>
      <w:tblGrid>
        <w:gridCol w:w="674"/>
        <w:gridCol w:w="8396"/>
      </w:tblGrid>
      <w:tr>
        <w:trPr>
          <w:tblHeader w:val="on"/>
          <w:cantSplit/>
        </w:trPr>
        <w:tc>
          <w:tcPr>
            <w:tcW w:type="dxa" w:w="674"/>
          </w:tcPr>
          <w:p>
            <w:pPr>
              <w:pStyle w:val="Compact"/>
              <w:spacing w:line="240" w:lineRule="auto" w:after="20"/>
            </w:pPr>
            <w:r>
              <w:rPr>
                <w:sz w:val="20"/>
              </w:rPr>
              <w:t xml:space="preserve">Path</w:t>
            </w:r>
          </w:p>
        </w:tc>
        <w:tc>
          <w:tcPr>
            <w:tcW w:type="dxa" w:w="8396"/>
          </w:tcPr>
          <w:p>
            <w:pPr>
              <w:pStyle w:val="Compact"/>
              <w:spacing w:line="240" w:lineRule="auto" w:after="20"/>
            </w:pPr>
            <w:r>
              <w:rPr>
                <w:sz w:val="20"/>
              </w:rPr>
              <w:t xml:space="preserve">Role</w:t>
            </w:r>
          </w:p>
        </w:tc>
      </w:tr>
      <w:tr>
        <w:trPr>
          <w:cantSplit/>
        </w:trPr>
        <w:tc>
          <w:tcPr>
            <w:tcW w:type="dxa" w:w="674"/>
          </w:tcPr>
          <w:p>
            <w:pPr>
              <w:pStyle w:val="Compact"/>
              <w:spacing w:line="240" w:lineRule="auto" w:after="20"/>
            </w:pPr>
            <w:r>
              <w:rPr>
                <w:rStyle w:val="VerbatimChar"/>
                <w:sz w:val="20"/>
              </w:rPr>
              <w:t xml:space="preserve">paper/code/</w:t>
            </w:r>
          </w:p>
        </w:tc>
        <w:tc>
          <w:tcPr>
            <w:tcW w:type="dxa" w:w="8396"/>
          </w:tcPr>
          <w:p>
            <w:pPr>
              <w:pStyle w:val="Compact"/>
              <w:spacing w:line="240" w:lineRule="auto" w:after="20"/>
            </w:pPr>
            <w:r>
              <w:rPr>
                <w:sz w:val="20"/>
              </w:rPr>
              <w:t xml:space="preserve">Analysis and verification scripts.</w:t>
            </w:r>
            <w:r>
              <w:rPr>
                <w:sz w:val="20"/>
              </w:rPr>
              <w:t xml:space="preserve"> </w:t>
            </w:r>
            <w:r>
              <w:rPr>
                <w:rStyle w:val="VerbatimChar"/>
                <w:sz w:val="20"/>
              </w:rPr>
              <w:t xml:space="preserve">_canonical.py</w:t>
            </w:r>
            <w:r>
              <w:rPr>
                <w:sz w:val="20"/>
              </w:rPr>
              <w:t xml:space="preserve"> </w:t>
            </w:r>
            <w:r>
              <w:rPr>
                <w:sz w:val="20"/>
              </w:rPr>
              <w:t xml:space="preserve">loads every modelling dataset, verifies its SHA-256 and asserts the leakage exclusions of Section 3.13 at every fit.</w:t>
            </w:r>
          </w:p>
        </w:tc>
      </w:tr>
      <w:tr>
        <w:trPr>
          <w:cantSplit/>
        </w:trPr>
        <w:tc>
          <w:tcPr>
            <w:tcW w:type="dxa" w:w="674"/>
          </w:tcPr>
          <w:p>
            <w:pPr>
              <w:pStyle w:val="Compact"/>
              <w:spacing w:line="240" w:lineRule="auto" w:after="20"/>
            </w:pPr>
            <w:r>
              <w:rPr>
                <w:rStyle w:val="VerbatimChar"/>
                <w:sz w:val="20"/>
              </w:rPr>
              <w:t xml:space="preserve">paper/code/appendix_tables.py</w:t>
            </w:r>
          </w:p>
        </w:tc>
        <w:tc>
          <w:tcPr>
            <w:tcW w:type="dxa" w:w="8396"/>
          </w:tcPr>
          <w:p>
            <w:pPr>
              <w:pStyle w:val="Compact"/>
              <w:spacing w:line="240" w:lineRule="auto" w:after="20"/>
            </w:pPr>
            <w:r>
              <w:rPr>
                <w:sz w:val="20"/>
              </w:rPr>
              <w:t xml:space="preserve">Rebuilds Tables S2 to S7 and S9 to S18 row by row from source files whose SHA-256 values are pinned in</w:t>
            </w:r>
            <w:r>
              <w:rPr>
                <w:sz w:val="20"/>
              </w:rPr>
              <w:t xml:space="preserve"> </w:t>
            </w:r>
            <w:r>
              <w:rPr>
                <w:rStyle w:val="VerbatimChar"/>
                <w:sz w:val="20"/>
              </w:rPr>
              <w:t xml:space="preserve">paper/labelfix_rerun/round5/tables/SOURCES.sha256</w:t>
            </w:r>
            <w:r>
              <w:rPr>
                <w:sz w:val="20"/>
              </w:rPr>
              <w:t xml:space="preserve">, and compares them with this document.</w:t>
            </w:r>
          </w:p>
        </w:tc>
      </w:tr>
      <w:tr>
        <w:trPr>
          <w:cantSplit/>
        </w:trPr>
        <w:tc>
          <w:tcPr>
            <w:tcW w:type="dxa" w:w="674"/>
          </w:tcPr>
          <w:p>
            <w:pPr>
              <w:pStyle w:val="Compact"/>
              <w:spacing w:line="240" w:lineRule="auto" w:after="20"/>
            </w:pPr>
            <w:r>
              <w:rPr>
                <w:rStyle w:val="VerbatimChar"/>
                <w:sz w:val="20"/>
              </w:rPr>
              <w:t xml:space="preserve">paper/figures/</w:t>
            </w:r>
          </w:p>
        </w:tc>
        <w:tc>
          <w:tcPr>
            <w:tcW w:type="dxa" w:w="8396"/>
          </w:tcPr>
          <w:p>
            <w:pPr>
              <w:pStyle w:val="Compact"/>
              <w:spacing w:line="240" w:lineRule="auto" w:after="20"/>
            </w:pPr>
            <w:r>
              <w:rPr>
                <w:sz w:val="20"/>
              </w:rPr>
              <w:t xml:space="preserve">One script per figure. Each asserts every plotted value against the frozen outputs and the manuscript text, and checks its layout.</w:t>
            </w:r>
          </w:p>
        </w:tc>
      </w:tr>
      <w:tr>
        <w:trPr>
          <w:cantSplit/>
        </w:trPr>
        <w:tc>
          <w:tcPr>
            <w:tcW w:type="dxa" w:w="674"/>
          </w:tcPr>
          <w:p>
            <w:pPr>
              <w:pStyle w:val="Compact"/>
              <w:spacing w:line="240" w:lineRule="auto" w:after="20"/>
            </w:pPr>
            <w:r>
              <w:rPr>
                <w:rStyle w:val="VerbatimChar"/>
                <w:sz w:val="20"/>
              </w:rPr>
              <w:t xml:space="preserve">paper/figures/check_all.py</w:t>
            </w:r>
          </w:p>
        </w:tc>
        <w:tc>
          <w:tcPr>
            <w:tcW w:type="dxa" w:w="8396"/>
          </w:tcPr>
          <w:p>
            <w:pPr>
              <w:pStyle w:val="Compact"/>
              <w:spacing w:line="240" w:lineRule="auto" w:after="20"/>
            </w:pPr>
            <w:r>
              <w:rPr>
                <w:sz w:val="20"/>
              </w:rPr>
              <w:t xml:space="preserve">Runs all figure scripts and</w:t>
            </w:r>
            <w:r>
              <w:rPr>
                <w:sz w:val="20"/>
              </w:rPr>
              <w:t xml:space="preserve"> </w:t>
            </w:r>
            <w:r>
              <w:rPr>
                <w:rStyle w:val="VerbatimChar"/>
                <w:sz w:val="20"/>
              </w:rPr>
              <w:t xml:space="preserve">appendix_tables.py</w:t>
            </w:r>
            <w:r>
              <w:rPr>
                <w:sz w:val="20"/>
              </w:rPr>
              <w:t xml:space="preserve">, restores the committed outputs byte for byte, and exits 0 when everything passes.</w:t>
            </w:r>
          </w:p>
        </w:tc>
      </w:tr>
      <w:tr>
        <w:trPr>
          <w:cantSplit/>
        </w:trPr>
        <w:tc>
          <w:tcPr>
            <w:tcW w:type="dxa" w:w="674"/>
          </w:tcPr>
          <w:p>
            <w:pPr>
              <w:pStyle w:val="Compact"/>
              <w:spacing w:line="240" w:lineRule="auto" w:after="20"/>
            </w:pPr>
            <w:r>
              <w:rPr>
                <w:rStyle w:val="VerbatimChar"/>
                <w:sz w:val="20"/>
              </w:rPr>
              <w:t xml:space="preserve">paper/tex/</w:t>
            </w:r>
          </w:p>
        </w:tc>
        <w:tc>
          <w:tcPr>
            <w:tcW w:type="dxa" w:w="8396"/>
          </w:tcPr>
          <w:p>
            <w:pPr>
              <w:pStyle w:val="Compact"/>
              <w:spacing w:line="240" w:lineRule="auto" w:after="20"/>
            </w:pPr>
            <w:r>
              <w:rPr>
                <w:sz w:val="20"/>
              </w:rPr>
              <w:t xml:space="preserve">Builds the manuscript and this document from their Markdown sources and checks the port: every number survives, and every cross-reference, citation and supplementary reference resolves.</w:t>
            </w:r>
          </w:p>
        </w:tc>
      </w:tr>
      <w:tr>
        <w:trPr>
          <w:cantSplit/>
        </w:trPr>
        <w:tc>
          <w:tcPr>
            <w:tcW w:type="dxa" w:w="674"/>
          </w:tcPr>
          <w:p>
            <w:pPr>
              <w:pStyle w:val="Compact"/>
              <w:spacing w:line="240" w:lineRule="auto" w:after="20"/>
            </w:pPr>
            <w:r>
              <w:rPr>
                <w:rStyle w:val="VerbatimChar"/>
                <w:sz w:val="20"/>
              </w:rPr>
              <w:t xml:space="preserve">paper/labelfix_rerun/</w:t>
            </w:r>
          </w:p>
        </w:tc>
        <w:tc>
          <w:tcPr>
            <w:tcW w:type="dxa" w:w="8396"/>
          </w:tcPr>
          <w:p>
            <w:pPr>
              <w:pStyle w:val="Compact"/>
              <w:spacing w:line="240" w:lineRule="auto" w:after="20"/>
            </w:pPr>
            <w:r>
              <w:rPr>
                <w:sz w:val="20"/>
              </w:rPr>
              <w:t xml:space="preserve">The corrected-label outputs from which every corrected number is read:</w:t>
            </w:r>
            <w:r>
              <w:rPr>
                <w:sz w:val="20"/>
              </w:rPr>
              <w:t xml:space="preserve"> </w:t>
            </w:r>
            <w:r>
              <w:rPr>
                <w:rStyle w:val="VerbatimChar"/>
                <w:sz w:val="20"/>
              </w:rPr>
              <w:t xml:space="preserve">code/</w:t>
            </w:r>
            <w:r>
              <w:rPr>
                <w:sz w:val="20"/>
              </w:rPr>
              <w:t xml:space="preserve">,</w:t>
            </w:r>
            <w:r>
              <w:rPr>
                <w:sz w:val="20"/>
              </w:rPr>
              <w:t xml:space="preserve"> </w:t>
            </w:r>
            <w:r>
              <w:rPr>
                <w:rStyle w:val="VerbatimChar"/>
                <w:sz w:val="20"/>
              </w:rPr>
              <w:t xml:space="preserve">geometry/</w:t>
            </w:r>
            <w:r>
              <w:rPr>
                <w:sz w:val="20"/>
              </w:rPr>
              <w:t xml:space="preserve">,</w:t>
            </w:r>
            <w:r>
              <w:rPr>
                <w:sz w:val="20"/>
              </w:rPr>
              <w:t xml:space="preserve"> </w:t>
            </w:r>
            <w:r>
              <w:rPr>
                <w:rStyle w:val="VerbatimChar"/>
                <w:sz w:val="20"/>
              </w:rPr>
              <w:t xml:space="preserve">inference/</w:t>
            </w:r>
            <w:r>
              <w:rPr>
                <w:sz w:val="20"/>
              </w:rPr>
              <w:t xml:space="preserve">,</w:t>
            </w:r>
            <w:r>
              <w:rPr>
                <w:sz w:val="20"/>
              </w:rPr>
              <w:t xml:space="preserve"> </w:t>
            </w:r>
            <w:r>
              <w:rPr>
                <w:rStyle w:val="VerbatimChar"/>
                <w:sz w:val="20"/>
              </w:rPr>
              <w:t xml:space="preserve">labels/</w:t>
            </w:r>
            <w:r>
              <w:rPr>
                <w:sz w:val="20"/>
              </w:rPr>
              <w:t xml:space="preserve"> </w:t>
            </w:r>
            <w:r>
              <w:rPr>
                <w:sz w:val="20"/>
              </w:rPr>
              <w:t xml:space="preserve">and</w:t>
            </w:r>
            <w:r>
              <w:rPr>
                <w:sz w:val="20"/>
              </w:rPr>
              <w:t xml:space="preserve"> </w:t>
            </w:r>
            <w:r>
              <w:rPr>
                <w:rStyle w:val="VerbatimChar"/>
                <w:sz w:val="20"/>
              </w:rPr>
              <w:t xml:space="preserve">round3/</w:t>
            </w:r>
            <w:r>
              <w:rPr>
                <w:sz w:val="20"/>
              </w:rPr>
              <w:t xml:space="preserve"> </w:t>
            </w:r>
            <w:r>
              <w:rPr>
                <w:sz w:val="20"/>
              </w:rPr>
              <w:t xml:space="preserve">to</w:t>
            </w:r>
            <w:r>
              <w:rPr>
                <w:sz w:val="20"/>
              </w:rPr>
              <w:t xml:space="preserve"> </w:t>
            </w:r>
            <w:r>
              <w:rPr>
                <w:rStyle w:val="VerbatimChar"/>
                <w:sz w:val="20"/>
              </w:rPr>
              <w:t xml:space="preserve">round8/</w:t>
            </w:r>
            <w:r>
              <w:rPr>
                <w:sz w:val="20"/>
              </w:rPr>
              <w:t xml:space="preserve"> </w:t>
            </w:r>
            <w:r>
              <w:rPr>
                <w:sz w:val="20"/>
              </w:rPr>
              <w:t xml:space="preserve">hold the analysis outputs,</w:t>
            </w:r>
            <w:r>
              <w:rPr>
                <w:sz w:val="20"/>
              </w:rPr>
              <w:t xml:space="preserve"> </w:t>
            </w:r>
            <w:r>
              <w:rPr>
                <w:rStyle w:val="VerbatimChar"/>
                <w:sz w:val="20"/>
              </w:rPr>
              <w:t xml:space="preserve">pipeline/</w:t>
            </w:r>
            <w:r>
              <w:rPr>
                <w:sz w:val="20"/>
              </w:rPr>
              <w:t xml:space="preserve"> </w:t>
            </w:r>
            <w:r>
              <w:rPr>
                <w:sz w:val="20"/>
              </w:rPr>
              <w:t xml:space="preserve">the re-frozen pipeline outputs for Manavgat, and</w:t>
            </w:r>
            <w:r>
              <w:rPr>
                <w:sz w:val="20"/>
              </w:rPr>
              <w:t xml:space="preserve"> </w:t>
            </w:r>
            <w:r>
              <w:rPr>
                <w:rStyle w:val="VerbatimChar"/>
                <w:sz w:val="20"/>
              </w:rPr>
              <w:t xml:space="preserve">exports/</w:t>
            </w:r>
            <w:r>
              <w:rPr>
                <w:sz w:val="20"/>
              </w:rPr>
              <w:t xml:space="preserve"> </w:t>
            </w:r>
            <w:r>
              <w:rPr>
                <w:sz w:val="20"/>
              </w:rPr>
              <w:t xml:space="preserve">the released pipeline diagnostics (few-shot recovery, CORAL λ sweep, window closure), each with its SHA-256 in</w:t>
            </w:r>
            <w:r>
              <w:rPr>
                <w:sz w:val="20"/>
              </w:rPr>
              <w:t xml:space="preserve"> </w:t>
            </w:r>
            <w:r>
              <w:rPr>
                <w:rStyle w:val="VerbatimChar"/>
                <w:sz w:val="20"/>
              </w:rPr>
              <w:t xml:space="preserve">exports/SHA256SUMS.txt</w:t>
            </w:r>
            <w:r>
              <w:rPr>
                <w:sz w:val="20"/>
              </w:rPr>
              <w:t xml:space="preserve">.</w:t>
            </w:r>
          </w:p>
        </w:tc>
      </w:tr>
    </w:tbl>
    <w:p>
      <w:pPr>
        <w:pStyle w:val="BodyText"/>
      </w:pPr>
      <w:r>
        <w:t xml:space="preserve">All commands are run from the repository root. The environment is Python 3.12.10 with NumPy 2.4.4,</w:t>
      </w:r>
      <w:r>
        <w:t xml:space="preserve"> </w:t>
      </w:r>
      <w:r>
        <w:t xml:space="preserve">pandas 3.0.2 and scikit-learn 1.9.0, fixed in</w:t>
      </w:r>
      <w:r>
        <w:t xml:space="preserve"> </w:t>
      </w:r>
      <w:r>
        <w:rPr>
          <w:rStyle w:val="VerbatimChar"/>
        </w:rPr>
        <w:t xml:space="preserve">ENVIRONMENT.md</w:t>
      </w:r>
      <w:r>
        <w:t xml:space="preserve">. Point estimates depend on the</w:t>
      </w:r>
      <w:r>
        <w:t xml:space="preserve"> </w:t>
      </w:r>
      <w:r>
        <w:t xml:space="preserve">scikit-learn version (Section S3.5(vi)). Fig. 1 also needs cartopy; without it,</w:t>
      </w:r>
      <w:r>
        <w:t xml:space="preserve"> </w:t>
      </w:r>
      <w:r>
        <w:rPr>
          <w:rStyle w:val="VerbatimChar"/>
        </w:rPr>
        <w:t xml:space="preserve">check_all.py</w:t>
      </w:r>
      <w:r>
        <w:t xml:space="preserve"> </w:t>
      </w:r>
      <w:r>
        <w:t xml:space="preserve">reports this figure as skipped. Tables S1, S8, S19 to S36 and the values in the text are not checked by</w:t>
      </w:r>
      <w:r>
        <w:t xml:space="preserve"> </w:t>
      </w:r>
      <w:r>
        <w:rPr>
          <w:rStyle w:val="VerbatimChar"/>
        </w:rPr>
        <w:t xml:space="preserve">appendix_tables.py</w:t>
      </w:r>
      <w:r>
        <w:t xml:space="preserve">; they name their source files in their captions or text.</w:t>
      </w:r>
    </w:p>
    <w:bookmarkEnd w:id="76"/>
    <w:bookmarkStart w:id="77" w:name="s6-data"/>
    <w:p>
      <w:pPr>
        <w:pStyle w:val="Heading1"/>
      </w:pPr>
      <w:r>
        <w:t xml:space="preserve">S6 Data</w:t>
      </w:r>
    </w:p>
    <w:p>
      <w:pPr>
        <w:pStyle w:val="FirstParagraph"/>
      </w:pPr>
      <w:r>
        <w:t xml:space="preserve">All satellite inputs are public and were retrieved through Google Earth Engine (Table S20). No</w:t>
      </w:r>
      <w:r>
        <w:t xml:space="preserve"> </w:t>
      </w:r>
      <w:r>
        <w:t xml:space="preserve">proprietary or restricted data were used.</w:t>
      </w:r>
    </w:p>
    <w:p>
      <w:pPr>
        <w:pStyle w:val="BodyText"/>
      </w:pPr>
      <w:r>
        <w:t xml:space="preserve">The five modelling datasets are in the analysis repository, one per region, as</w:t>
      </w:r>
      <w:r>
        <w:t xml:space="preserve"> </w:t>
      </w:r>
      <w:r>
        <w:rPr>
          <w:rStyle w:val="VerbatimChar"/>
        </w:rPr>
        <w:t xml:space="preserve">paper/data/&lt;region&gt;/step8a_500m_modeling_dataset.parquet</w:t>
      </w:r>
      <w:r>
        <w:t xml:space="preserve">. Each is checked on load against the</w:t>
      </w:r>
      <w:r>
        <w:t xml:space="preserve"> </w:t>
      </w:r>
      <w:r>
        <w:t xml:space="preserve">SHA-256 recorded in</w:t>
      </w:r>
      <w:r>
        <w:t xml:space="preserve"> </w:t>
      </w:r>
      <w:r>
        <w:rPr>
          <w:rStyle w:val="VerbatimChar"/>
        </w:rPr>
        <w:t xml:space="preserve">paper/code/_canonical.py</w:t>
      </w:r>
      <w:r>
        <w:t xml:space="preserve">. For Bejís, Muğla, North Evia and Montiferru this hash</w:t>
      </w:r>
      <w:r>
        <w:t xml:space="preserve"> </w:t>
      </w:r>
      <w:r>
        <w:t xml:space="preserve">equals the pipeline’s own record. For Manavgat the file is the corrected-label re-freeze (SHA-256</w:t>
      </w:r>
      <w:r>
        <w:t xml:space="preserve"> </w:t>
      </w:r>
      <w:r>
        <w:rPr>
          <w:rStyle w:val="VerbatimChar"/>
        </w:rPr>
        <w:t xml:space="preserve">5a5e876c…</w:t>
      </w:r>
      <w:r>
        <w:t xml:space="preserve">; Section S3.1.2). The pipeline’s record still names the original-label table (SHA-256</w:t>
      </w:r>
      <w:r>
        <w:t xml:space="preserve"> </w:t>
      </w:r>
      <w:r>
        <w:rPr>
          <w:rStyle w:val="VerbatimChar"/>
        </w:rPr>
        <w:t xml:space="preserve">054a1961…</w:t>
      </w:r>
      <w:r>
        <w:t xml:space="preserve">), which is not in the repository and can be regenerated by the pipeline. The frozen</w:t>
      </w:r>
      <w:r>
        <w:t xml:space="preserve"> </w:t>
      </w:r>
      <w:r>
        <w:t xml:space="preserve">numeric outputs behind every table and figure are in the same repository, identified by the paths</w:t>
      </w:r>
      <w:r>
        <w:t xml:space="preserve"> </w:t>
      </w:r>
      <w:r>
        <w:t xml:space="preserve">and hashes given in the table captions and in</w:t>
      </w:r>
      <w:r>
        <w:t xml:space="preserve"> </w:t>
      </w:r>
      <w:r>
        <w:rPr>
          <w:rStyle w:val="VerbatimChar"/>
        </w:rPr>
        <w:t xml:space="preserve">SOURCES.sha256</w:t>
      </w:r>
      <w:r>
        <w:t xml:space="preserve">. The data derived from Landsat, MODIS,</w:t>
      </w:r>
      <w:r>
        <w:t xml:space="preserve"> </w:t>
      </w:r>
      <w:r>
        <w:t xml:space="preserve">the Copernicus DEM and ESA WorldCover remain subject to the terms of these products, which are given</w:t>
      </w:r>
      <w:r>
        <w:t xml:space="preserve"> </w:t>
      </w:r>
      <w:r>
        <w:t xml:space="preserve">in the Declarations.</w:t>
      </w:r>
    </w:p>
    <w:bookmarkEnd w:id="77"/>
    <w:bookmarkStart w:id="115" w:name="references"/>
    <w:p>
      <w:pPr>
        <w:pStyle w:val="Heading1"/>
      </w:pPr>
      <w:r>
        <w:t xml:space="preserve">References</w:t>
      </w:r>
    </w:p>
    <w:bookmarkStart w:id="114" w:name="refs"/>
    <w:bookmarkStart w:id="79" w:name="ref-Barve2011"/>
    <w:p>
      <w:pPr>
        <w:pStyle w:val="Bibliography"/>
      </w:pPr>
      <w:r>
        <w:t xml:space="preserve">Barve N, Barve V, Jiménez-Valverde A, et al (2011) The crucial role of the accessible area in ecological niche modeling and species distribution modeling. Ecological Modelling 222:1810–1819.</w:t>
      </w:r>
      <w:r>
        <w:t xml:space="preserve"> </w:t>
      </w:r>
      <w:hyperlink r:id="rId78">
        <w:r>
          <w:rPr>
            <w:rStyle w:val="Hyperlink"/>
          </w:rPr>
          <w:t xml:space="preserve">https://doi.org/10.1016/j.ecolmodel.2011.02.011</w:t>
        </w:r>
      </w:hyperlink>
    </w:p>
    <w:bookmarkEnd w:id="79"/>
    <w:bookmarkStart w:id="81" w:name="ref-Boschetti2019"/>
    <w:p>
      <w:pPr>
        <w:pStyle w:val="Bibliography"/>
      </w:pPr>
      <w:r>
        <w:t xml:space="preserve">Boschetti L, Roy DP, Giglio L, et al (2019) Global validation of the</w:t>
      </w:r>
      <w:r>
        <w:t xml:space="preserve"> </w:t>
      </w:r>
      <w:r>
        <w:t xml:space="preserve">Collection</w:t>
      </w:r>
      <w:r>
        <w:t xml:space="preserve"> </w:t>
      </w:r>
      <w:r>
        <w:t xml:space="preserve">6</w:t>
      </w:r>
      <w:r>
        <w:t xml:space="preserve"> </w:t>
      </w:r>
      <w:r>
        <w:t xml:space="preserve">MODIS</w:t>
      </w:r>
      <w:r>
        <w:t xml:space="preserve"> </w:t>
      </w:r>
      <w:r>
        <w:t xml:space="preserve">burned area product. Remote Sensing of Environment 235:111490.</w:t>
      </w:r>
      <w:r>
        <w:t xml:space="preserve"> </w:t>
      </w:r>
      <w:hyperlink r:id="rId80">
        <w:r>
          <w:rPr>
            <w:rStyle w:val="Hyperlink"/>
          </w:rPr>
          <w:t xml:space="preserve">https://doi.org/10.1016/j.rse.2019.111490</w:t>
        </w:r>
      </w:hyperlink>
    </w:p>
    <w:bookmarkEnd w:id="81"/>
    <w:bookmarkStart w:id="83" w:name="ref-CopernicusDEM"/>
    <w:p>
      <w:pPr>
        <w:pStyle w:val="Bibliography"/>
      </w:pPr>
      <w:r>
        <w:t xml:space="preserve">European Space Agency (2022) Copernicus</w:t>
      </w:r>
      <w:r>
        <w:t xml:space="preserve"> </w:t>
      </w:r>
      <w:r>
        <w:t xml:space="preserve">DEM</w:t>
      </w:r>
      <w:r>
        <w:t xml:space="preserve"> </w:t>
      </w:r>
      <w:r>
        <w:t xml:space="preserve">GLO-30</w:t>
      </w:r>
      <w:r>
        <w:t xml:space="preserve"> </w:t>
      </w:r>
      <w:r>
        <w:t xml:space="preserve">[dataset]. European Space Agency.</w:t>
      </w:r>
      <w:r>
        <w:t xml:space="preserve"> </w:t>
      </w:r>
      <w:hyperlink r:id="rId82">
        <w:r>
          <w:rPr>
            <w:rStyle w:val="Hyperlink"/>
          </w:rPr>
          <w:t xml:space="preserve">https://doi.org/10.5270/ESA-c5d3d65</w:t>
        </w:r>
      </w:hyperlink>
    </w:p>
    <w:bookmarkEnd w:id="83"/>
    <w:bookmarkStart w:id="85" w:name="ref-VNP64A1"/>
    <w:p>
      <w:pPr>
        <w:pStyle w:val="Bibliography"/>
      </w:pPr>
      <w:r>
        <w:t xml:space="preserve">Giglio L (2024)</w:t>
      </w:r>
      <w:r>
        <w:t xml:space="preserve"> </w:t>
      </w:r>
      <w:r>
        <w:t xml:space="preserve">VIIRS/NPP</w:t>
      </w:r>
      <w:r>
        <w:t xml:space="preserve"> </w:t>
      </w:r>
      <w:r>
        <w:t xml:space="preserve">burned area monthly</w:t>
      </w:r>
      <w:r>
        <w:t xml:space="preserve"> </w:t>
      </w:r>
      <w:r>
        <w:t xml:space="preserve">L4</w:t>
      </w:r>
      <w:r>
        <w:t xml:space="preserve"> </w:t>
      </w:r>
      <w:r>
        <w:t xml:space="preserve">global 500m</w:t>
      </w:r>
      <w:r>
        <w:t xml:space="preserve"> </w:t>
      </w:r>
      <w:r>
        <w:t xml:space="preserve">SIN</w:t>
      </w:r>
      <w:r>
        <w:t xml:space="preserve"> </w:t>
      </w:r>
      <w:r>
        <w:t xml:space="preserve">grid</w:t>
      </w:r>
      <w:r>
        <w:t xml:space="preserve"> </w:t>
      </w:r>
      <w:r>
        <w:t xml:space="preserve">V002</w:t>
      </w:r>
      <w:r>
        <w:t xml:space="preserve"> </w:t>
      </w:r>
      <w:r>
        <w:t xml:space="preserve">[dataset]. NASA Land Processes Distributed Active Archive Center.</w:t>
      </w:r>
      <w:r>
        <w:t xml:space="preserve"> </w:t>
      </w:r>
      <w:hyperlink r:id="rId84">
        <w:r>
          <w:rPr>
            <w:rStyle w:val="Hyperlink"/>
          </w:rPr>
          <w:t xml:space="preserve">https://doi.org/10.5067/VIIRS/VNP64A1.002</w:t>
        </w:r>
      </w:hyperlink>
    </w:p>
    <w:bookmarkEnd w:id="85"/>
    <w:bookmarkStart w:id="87" w:name="ref-Giglio2018"/>
    <w:p>
      <w:pPr>
        <w:pStyle w:val="Bibliography"/>
      </w:pPr>
      <w:r>
        <w:t xml:space="preserve">Giglio L, Boschetti L, Roy DP, et al (2018) The</w:t>
      </w:r>
      <w:r>
        <w:t xml:space="preserve"> </w:t>
      </w:r>
      <w:r>
        <w:t xml:space="preserve">Collection</w:t>
      </w:r>
      <w:r>
        <w:t xml:space="preserve"> </w:t>
      </w:r>
      <w:r>
        <w:t xml:space="preserve">6</w:t>
      </w:r>
      <w:r>
        <w:t xml:space="preserve"> </w:t>
      </w:r>
      <w:r>
        <w:t xml:space="preserve">MODIS</w:t>
      </w:r>
      <w:r>
        <w:t xml:space="preserve"> </w:t>
      </w:r>
      <w:r>
        <w:t xml:space="preserve">burned area mapping algorithm and product. Remote Sensing of Environment 217:72–85.</w:t>
      </w:r>
      <w:r>
        <w:t xml:space="preserve"> </w:t>
      </w:r>
      <w:hyperlink r:id="rId86">
        <w:r>
          <w:rPr>
            <w:rStyle w:val="Hyperlink"/>
          </w:rPr>
          <w:t xml:space="preserve">https://doi.org/10.1016/j.rse.2018.08.005</w:t>
        </w:r>
      </w:hyperlink>
    </w:p>
    <w:bookmarkEnd w:id="87"/>
    <w:bookmarkStart w:id="89" w:name="ref-MCD64A1"/>
    <w:p>
      <w:pPr>
        <w:pStyle w:val="Bibliography"/>
      </w:pPr>
      <w:r>
        <w:t xml:space="preserve">Giglio L, Justice C, Boschetti L, Roy D (2021)</w:t>
      </w:r>
      <w:r>
        <w:t xml:space="preserve"> </w:t>
      </w:r>
      <w:r>
        <w:t xml:space="preserve">MODIS/Terra+Aqua</w:t>
      </w:r>
      <w:r>
        <w:t xml:space="preserve"> </w:t>
      </w:r>
      <w:r>
        <w:t xml:space="preserve">burned area monthly</w:t>
      </w:r>
      <w:r>
        <w:t xml:space="preserve"> </w:t>
      </w:r>
      <w:r>
        <w:t xml:space="preserve">L3</w:t>
      </w:r>
      <w:r>
        <w:t xml:space="preserve"> </w:t>
      </w:r>
      <w:r>
        <w:t xml:space="preserve">global 500m</w:t>
      </w:r>
      <w:r>
        <w:t xml:space="preserve"> </w:t>
      </w:r>
      <w:r>
        <w:t xml:space="preserve">SIN</w:t>
      </w:r>
      <w:r>
        <w:t xml:space="preserve"> </w:t>
      </w:r>
      <w:r>
        <w:t xml:space="preserve">grid</w:t>
      </w:r>
      <w:r>
        <w:t xml:space="preserve"> </w:t>
      </w:r>
      <w:r>
        <w:t xml:space="preserve">V061</w:t>
      </w:r>
      <w:r>
        <w:t xml:space="preserve"> </w:t>
      </w:r>
      <w:r>
        <w:t xml:space="preserve">[dataset]. NASA Land Processes Distributed Active Archive Center.</w:t>
      </w:r>
      <w:r>
        <w:t xml:space="preserve"> </w:t>
      </w:r>
      <w:hyperlink r:id="rId88">
        <w:r>
          <w:rPr>
            <w:rStyle w:val="Hyperlink"/>
          </w:rPr>
          <w:t xml:space="preserve">https://doi.org/10.5067/MODIS/MCD64A1.061</w:t>
        </w:r>
      </w:hyperlink>
    </w:p>
    <w:bookmarkEnd w:id="89"/>
    <w:bookmarkStart w:id="91" w:name="ref-Gorelick2017"/>
    <w:p>
      <w:pPr>
        <w:pStyle w:val="Bibliography"/>
      </w:pPr>
      <w:r>
        <w:t xml:space="preserve">Gorelick N, Hancher M, Dixon M, et al (2017)</w:t>
      </w:r>
      <w:r>
        <w:t xml:space="preserve"> </w:t>
      </w:r>
      <w:r>
        <w:t xml:space="preserve">Google</w:t>
      </w:r>
      <w:r>
        <w:t xml:space="preserve"> </w:t>
      </w:r>
      <w:r>
        <w:t xml:space="preserve">Earth</w:t>
      </w:r>
      <w:r>
        <w:t xml:space="preserve"> </w:t>
      </w:r>
      <w:r>
        <w:t xml:space="preserve">Engine</w:t>
      </w:r>
      <w:r>
        <w:t xml:space="preserve">: Planetary-scale geospatial analysis for everyone. Remote Sensing of Environment 202:18–27.</w:t>
      </w:r>
      <w:r>
        <w:t xml:space="preserve"> </w:t>
      </w:r>
      <w:hyperlink r:id="rId90">
        <w:r>
          <w:rPr>
            <w:rStyle w:val="Hyperlink"/>
          </w:rPr>
          <w:t xml:space="preserve">https://doi.org/10.1016/j.rse.2017.06.031</w:t>
        </w:r>
      </w:hyperlink>
    </w:p>
    <w:bookmarkEnd w:id="91"/>
    <w:bookmarkStart w:id="93" w:name="ref-Katagis2022"/>
    <w:p>
      <w:pPr>
        <w:pStyle w:val="Bibliography"/>
      </w:pPr>
      <w:r>
        <w:t xml:space="preserve">Katagis T, Gitas IZ (2022) Assessing the accuracy of</w:t>
      </w:r>
      <w:r>
        <w:t xml:space="preserve"> </w:t>
      </w:r>
      <w:r>
        <w:t xml:space="preserve">MODIS</w:t>
      </w:r>
      <w:r>
        <w:t xml:space="preserve"> </w:t>
      </w:r>
      <w:r>
        <w:t xml:space="preserve">MCD64A1</w:t>
      </w:r>
      <w:r>
        <w:t xml:space="preserve"> </w:t>
      </w:r>
      <w:r>
        <w:t xml:space="preserve">C6</w:t>
      </w:r>
      <w:r>
        <w:t xml:space="preserve"> </w:t>
      </w:r>
      <w:r>
        <w:t xml:space="preserve">and</w:t>
      </w:r>
      <w:r>
        <w:t xml:space="preserve"> </w:t>
      </w:r>
      <w:r>
        <w:t xml:space="preserve">FireCCI51</w:t>
      </w:r>
      <w:r>
        <w:t xml:space="preserve"> </w:t>
      </w:r>
      <w:r>
        <w:t xml:space="preserve">burned area products in</w:t>
      </w:r>
      <w:r>
        <w:t xml:space="preserve"> </w:t>
      </w:r>
      <w:r>
        <w:t xml:space="preserve">Mediterranean</w:t>
      </w:r>
      <w:r>
        <w:t xml:space="preserve"> </w:t>
      </w:r>
      <w:r>
        <w:t xml:space="preserve">ecosystems. Remote Sensing 14:602.</w:t>
      </w:r>
      <w:r>
        <w:t xml:space="preserve"> </w:t>
      </w:r>
      <w:hyperlink r:id="rId92">
        <w:r>
          <w:rPr>
            <w:rStyle w:val="Hyperlink"/>
          </w:rPr>
          <w:t xml:space="preserve">https://doi.org/10.3390/rs14030602</w:t>
        </w:r>
      </w:hyperlink>
    </w:p>
    <w:bookmarkEnd w:id="93"/>
    <w:bookmarkStart w:id="95" w:name="ref-Ludwig2023"/>
    <w:p>
      <w:pPr>
        <w:pStyle w:val="Bibliography"/>
      </w:pPr>
      <w:r>
        <w:t xml:space="preserve">Ludwig M, Moreno-Martinez A, Hölzel N, et al (2023) Assessing and improving the transferability of current global spatial prediction models. Global Ecology and Biogeography 32:356–368.</w:t>
      </w:r>
      <w:r>
        <w:t xml:space="preserve"> </w:t>
      </w:r>
      <w:hyperlink r:id="rId94">
        <w:r>
          <w:rPr>
            <w:rStyle w:val="Hyperlink"/>
          </w:rPr>
          <w:t xml:space="preserve">https://doi.org/10.1111/geb.13635</w:t>
        </w:r>
      </w:hyperlink>
    </w:p>
    <w:bookmarkEnd w:id="95"/>
    <w:bookmarkStart w:id="97" w:name="ref-Meyer2021"/>
    <w:p>
      <w:pPr>
        <w:pStyle w:val="Bibliography"/>
      </w:pPr>
      <w:r>
        <w:t xml:space="preserve">Meyer H, Pebesma E (2021) Predicting into unknown space?</w:t>
      </w:r>
      <w:r>
        <w:t xml:space="preserve"> </w:t>
      </w:r>
      <w:r>
        <w:t xml:space="preserve">Estimating</w:t>
      </w:r>
      <w:r>
        <w:t xml:space="preserve"> </w:t>
      </w:r>
      <w:r>
        <w:t xml:space="preserve">the area of applicability of spatial prediction models. Methods in Ecology and Evolution 12:1620–1633.</w:t>
      </w:r>
      <w:r>
        <w:t xml:space="preserve"> </w:t>
      </w:r>
      <w:hyperlink r:id="rId96">
        <w:r>
          <w:rPr>
            <w:rStyle w:val="Hyperlink"/>
          </w:rPr>
          <w:t xml:space="preserve">https://doi.org/10.1111/2041-210X.13650</w:t>
        </w:r>
      </w:hyperlink>
    </w:p>
    <w:bookmarkEnd w:id="97"/>
    <w:bookmarkStart w:id="99" w:name="ref-Meyer2022"/>
    <w:p>
      <w:pPr>
        <w:pStyle w:val="Bibliography"/>
      </w:pPr>
      <w:r>
        <w:t xml:space="preserve">Meyer H, Pebesma E (2022) Machine learning-based global maps of ecological variables and the challenge of assessing them. Nature Communications 13:2208.</w:t>
      </w:r>
      <w:r>
        <w:t xml:space="preserve"> </w:t>
      </w:r>
      <w:hyperlink r:id="rId98">
        <w:r>
          <w:rPr>
            <w:rStyle w:val="Hyperlink"/>
          </w:rPr>
          <w:t xml:space="preserve">https://doi.org/10.1038/s41467-022-29838-9</w:t>
        </w:r>
      </w:hyperlink>
    </w:p>
    <w:bookmarkEnd w:id="99"/>
    <w:bookmarkStart w:id="101" w:name="ref-Sandholt2002"/>
    <w:p>
      <w:pPr>
        <w:pStyle w:val="Bibliography"/>
      </w:pPr>
      <w:r>
        <w:t xml:space="preserve">Sandholt I, Rasmussen K, Andersen J (2002) A simple interpretation of the surface temperature/vegetation index space for assessment of surface moisture status. Remote Sensing of Environment 79:213–224.</w:t>
      </w:r>
      <w:r>
        <w:t xml:space="preserve"> </w:t>
      </w:r>
      <w:hyperlink r:id="rId100">
        <w:r>
          <w:rPr>
            <w:rStyle w:val="Hyperlink"/>
          </w:rPr>
          <w:t xml:space="preserve">https://doi.org/10.1016/S0034-4257(01)00274-7</w:t>
        </w:r>
      </w:hyperlink>
    </w:p>
    <w:bookmarkEnd w:id="101"/>
    <w:bookmarkStart w:id="103" w:name="ref-Schoener1968"/>
    <w:p>
      <w:pPr>
        <w:pStyle w:val="Bibliography"/>
      </w:pPr>
      <w:r>
        <w:t xml:space="preserve">Schoener TW (1968) The</w:t>
      </w:r>
      <w:r>
        <w:t xml:space="preserve"> </w:t>
      </w:r>
      <w:r>
        <w:t xml:space="preserve">Anolis</w:t>
      </w:r>
      <w:r>
        <w:t xml:space="preserve"> </w:t>
      </w:r>
      <w:r>
        <w:t xml:space="preserve">lizards of</w:t>
      </w:r>
      <w:r>
        <w:t xml:space="preserve"> </w:t>
      </w:r>
      <w:r>
        <w:t xml:space="preserve">Bimini</w:t>
      </w:r>
      <w:r>
        <w:t xml:space="preserve">: Resource partitioning in a complex fauna. Ecology 49:704–726.</w:t>
      </w:r>
      <w:r>
        <w:t xml:space="preserve"> </w:t>
      </w:r>
      <w:hyperlink r:id="rId102">
        <w:r>
          <w:rPr>
            <w:rStyle w:val="Hyperlink"/>
          </w:rPr>
          <w:t xml:space="preserve">https://doi.org/10.2307/1935534</w:t>
        </w:r>
      </w:hyperlink>
    </w:p>
    <w:bookmarkEnd w:id="103"/>
    <w:bookmarkStart w:id="105" w:name="ref-Sun2016"/>
    <w:p>
      <w:pPr>
        <w:pStyle w:val="Bibliography"/>
      </w:pPr>
      <w:r>
        <w:t xml:space="preserve">Sun B, Feng J, Saenko K (2016)</w:t>
      </w:r>
      <w:r>
        <w:t xml:space="preserve"> </w:t>
      </w:r>
      <w:hyperlink r:id="rId104">
        <w:r>
          <w:rPr>
            <w:rStyle w:val="Hyperlink"/>
          </w:rPr>
          <w:t xml:space="preserve">Return of frustratingly easy domain adaptation</w:t>
        </w:r>
      </w:hyperlink>
      <w:r>
        <w:t xml:space="preserve">. In: Proceedings of the thirtieth</w:t>
      </w:r>
      <w:r>
        <w:t xml:space="preserve"> </w:t>
      </w:r>
      <w:r>
        <w:t xml:space="preserve">AAAI</w:t>
      </w:r>
      <w:r>
        <w:t xml:space="preserve"> </w:t>
      </w:r>
      <w:r>
        <w:t xml:space="preserve">conference on artificial intelligence (</w:t>
      </w:r>
      <w:r>
        <w:t xml:space="preserve">AAAI</w:t>
      </w:r>
      <w:r>
        <w:t xml:space="preserve">-16). AAAI Press, Phoenix, Arizona, USA, pp 2058–2065</w:t>
      </w:r>
    </w:p>
    <w:bookmarkEnd w:id="105"/>
    <w:bookmarkStart w:id="107" w:name="ref-LandsatC2L2"/>
    <w:p>
      <w:pPr>
        <w:pStyle w:val="Bibliography"/>
      </w:pPr>
      <w:r>
        <w:t xml:space="preserve">U.S. Geological Survey Earth Resources Observation and Science (EROS) Center (2020) Landsat 8-9 operational land imager / thermal infrared sensor level-2, collection 2 [dataset]. US Geological Survey.</w:t>
      </w:r>
      <w:r>
        <w:t xml:space="preserve"> </w:t>
      </w:r>
      <w:hyperlink r:id="rId106">
        <w:r>
          <w:rPr>
            <w:rStyle w:val="Hyperlink"/>
          </w:rPr>
          <w:t xml:space="preserve">https://doi.org/10.5066/P9OGBGM6</w:t>
        </w:r>
      </w:hyperlink>
    </w:p>
    <w:bookmarkEnd w:id="107"/>
    <w:bookmarkStart w:id="109" w:name="ref-MOD11A1"/>
    <w:p>
      <w:pPr>
        <w:pStyle w:val="Bibliography"/>
      </w:pPr>
      <w:r>
        <w:t xml:space="preserve">Wan Z, Hook S, Hulley G (2021)</w:t>
      </w:r>
      <w:r>
        <w:t xml:space="preserve"> </w:t>
      </w:r>
      <w:r>
        <w:t xml:space="preserve">MODIS/Terra</w:t>
      </w:r>
      <w:r>
        <w:t xml:space="preserve"> </w:t>
      </w:r>
      <w:r>
        <w:t xml:space="preserve">land surface temperature/emissivity daily</w:t>
      </w:r>
      <w:r>
        <w:t xml:space="preserve"> </w:t>
      </w:r>
      <w:r>
        <w:t xml:space="preserve">L3</w:t>
      </w:r>
      <w:r>
        <w:t xml:space="preserve"> </w:t>
      </w:r>
      <w:r>
        <w:t xml:space="preserve">global 1km</w:t>
      </w:r>
      <w:r>
        <w:t xml:space="preserve"> </w:t>
      </w:r>
      <w:r>
        <w:t xml:space="preserve">SIN</w:t>
      </w:r>
      <w:r>
        <w:t xml:space="preserve"> </w:t>
      </w:r>
      <w:r>
        <w:t xml:space="preserve">grid</w:t>
      </w:r>
      <w:r>
        <w:t xml:space="preserve"> </w:t>
      </w:r>
      <w:r>
        <w:t xml:space="preserve">V061</w:t>
      </w:r>
      <w:r>
        <w:t xml:space="preserve"> </w:t>
      </w:r>
      <w:r>
        <w:t xml:space="preserve">[dataset]. NASA Land Processes Distributed Active Archive Center.</w:t>
      </w:r>
      <w:r>
        <w:t xml:space="preserve"> </w:t>
      </w:r>
      <w:hyperlink r:id="rId108">
        <w:r>
          <w:rPr>
            <w:rStyle w:val="Hyperlink"/>
          </w:rPr>
          <w:t xml:space="preserve">https://doi.org/10.5067/MODIS/MOD11A1.061</w:t>
        </w:r>
      </w:hyperlink>
    </w:p>
    <w:bookmarkEnd w:id="109"/>
    <w:bookmarkStart w:id="111" w:name="ref-Warren2008"/>
    <w:p>
      <w:pPr>
        <w:pStyle w:val="Bibliography"/>
      </w:pPr>
      <w:r>
        <w:t xml:space="preserve">Warren DL, Glor RE, Turelli M (2008) Environmental niche equivalency versus conservatism: Quantitative approaches to niche evolution. Evolution 62:2868–2883.</w:t>
      </w:r>
      <w:r>
        <w:t xml:space="preserve"> </w:t>
      </w:r>
      <w:hyperlink r:id="rId110">
        <w:r>
          <w:rPr>
            <w:rStyle w:val="Hyperlink"/>
          </w:rPr>
          <w:t xml:space="preserve">https://doi.org/10.1111/j.1558-5646.2008.00482.x</w:t>
        </w:r>
      </w:hyperlink>
    </w:p>
    <w:bookmarkEnd w:id="111"/>
    <w:bookmarkStart w:id="113" w:name="ref-Zanaga2022"/>
    <w:p>
      <w:pPr>
        <w:pStyle w:val="Bibliography"/>
      </w:pPr>
      <w:r>
        <w:t xml:space="preserve">Zanaga D, Van De Kerchove R, Daems D, et al (2022)</w:t>
      </w:r>
      <w:r>
        <w:t xml:space="preserve"> </w:t>
      </w:r>
      <w:r>
        <w:t xml:space="preserve">ESA</w:t>
      </w:r>
      <w:r>
        <w:t xml:space="preserve"> </w:t>
      </w:r>
      <w:r>
        <w:t xml:space="preserve">WorldCover</w:t>
      </w:r>
      <w:r>
        <w:t xml:space="preserve"> </w:t>
      </w:r>
      <w:r>
        <w:t xml:space="preserve">10 m 2021 v200. Zenodo.</w:t>
      </w:r>
      <w:r>
        <w:t xml:space="preserve"> </w:t>
      </w:r>
      <w:hyperlink r:id="rId112">
        <w:r>
          <w:rPr>
            <w:rStyle w:val="Hyperlink"/>
          </w:rPr>
          <w:t xml:space="preserve">https://doi.org/10.5281/zenodo.7254221</w:t>
        </w:r>
      </w:hyperlink>
    </w:p>
    <w:bookmarkEnd w:id="113"/>
    <w:bookmarkEnd w:id="114"/>
    <w:bookmarkEnd w:id="115"/>
    <w:sectPr>
      <w:footerReference r:id="rId9" w:type="default"/>
      <w:footnotePr>
        <w:numRestart w:val="eachSect"/>
      </w:footnotePr>
      <w:pgSz w:h="16838" w:w="11906"/>
      <w:pgMar w:bottom="1417" w:left="1417" w:right="1417" w:top="1417"/>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cs="Times New Roman" w:eastAsia="Times New Roman" w:hAnsi="Times New Roman"/>
      <w:sz w:val="24"/>
    </w:rPr>
  </w:style>
  <w:style w:styleId="BodyText" w:type="paragraph">
    <w:name w:val="Body Text"/>
    <w:basedOn w:val="Normal"/>
    <w:link w:val="BodyTextChar"/>
    <w:qFormat/>
    <w:pPr>
      <w:spacing w:after="180" w:before="180" w:line="480" w:lineRule="auto"/>
    </w:pPr>
    <w:rPr>
      <w:rFonts w:ascii="Times New Roman" w:cs="Times New Roman" w:eastAsia="Times New Roman" w:hAnsi="Times New Roman"/>
      <w:sz w:val="24"/>
    </w:rPr>
  </w:style>
  <w:style w:customStyle="1" w:styleId="FirstParagraph" w:type="paragraph">
    <w:name w:val="First Paragraph"/>
    <w:basedOn w:val="BodyText"/>
    <w:next w:val="BodyText"/>
    <w:qFormat/>
    <w:pPr>
      <w:spacing w:line="48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line="480" w:lineRule="auto"/>
    </w:pPr>
    <w:rPr>
      <w:rFonts w:ascii="Times New Roman" w:cs="Times New Roman" w:eastAsia="Times New Roman" w:hAnsi="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b/>
      <w:sz w:val="32"/>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b/>
      <w:spacing w:val="15"/>
      <w:sz w:val="26"/>
      <w:szCs w:val="28"/>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cs="Times New Roman" w:eastAsia="Times New Roman" w:hAnsi="Times New Roman"/>
      <w:sz w:val="24"/>
      <w:szCs w:val="24"/>
    </w:rPr>
  </w:style>
  <w:style w:styleId="Date" w:type="paragraph">
    <w:name w:val="Date"/>
    <w:basedOn w:val="Title"/>
    <w:next w:val="BodyText"/>
    <w:qFormat/>
    <w:pPr>
      <w:keepNext/>
      <w:keepLines/>
    </w:pPr>
    <w:rPr>
      <w:rFonts w:ascii="Times New Roman" w:cs="Times New Roman" w:eastAsia="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cs="Times New Roman" w:eastAsia="Times New Roman" w:hAnsi="Times New Roman"/>
      <w:b/>
      <w:sz w:val="20"/>
      <w:szCs w:val="20"/>
    </w:rPr>
  </w:style>
  <w:style w:customStyle="1" w:styleId="Abstract" w:type="paragraph">
    <w:name w:val="Abstract"/>
    <w:basedOn w:val="Normal"/>
    <w:next w:val="BodyText"/>
    <w:qFormat/>
    <w:pPr>
      <w:keepNext/>
      <w:keepLines/>
      <w:spacing w:after="300" w:before="100" w:line="480" w:lineRule="auto"/>
    </w:pPr>
    <w:rPr>
      <w:rFonts w:ascii="Times New Roman" w:cs="Times New Roman" w:eastAsia="Times New Roman" w:hAnsi="Times New Roman"/>
      <w:sz w:val="24"/>
      <w:szCs w:val="20"/>
    </w:rPr>
  </w:style>
  <w:style w:styleId="Bibliography" w:type="paragraph">
    <w:name w:val="Bibliography"/>
    <w:basedOn w:val="Normal"/>
    <w:next w:val="Bibliography"/>
    <w:qFormat/>
    <w:pPr>
      <w:spacing w:line="480" w:lineRule="auto"/>
    </w:pPr>
    <w:rPr>
      <w:rFonts w:ascii="Times New Roman" w:cs="Times New Roman" w:eastAsia="Times New Roman" w:hAnsi="Times New Roman"/>
      <w:sz w:val="24"/>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b/>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b/>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b/>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Consolas" w:cs="Consolas" w:eastAsia="Consolas" w:hAnsi="Consolas"/>
      <w:sz w:val="21"/>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49" Type="http://schemas.openxmlformats.org/officeDocument/2006/relationships/image" Target="media/rId49.png"/><Relationship Id="rId100" Type="http://schemas.openxmlformats.org/officeDocument/2006/relationships/hyperlink" Target="https://doi.org/10.1016/S0034-4257(01)00274-7" TargetMode="External"/><Relationship Id="rId78" Type="http://schemas.openxmlformats.org/officeDocument/2006/relationships/hyperlink" Target="https://doi.org/10.1016/j.ecolmodel.2011.02.011" TargetMode="External"/><Relationship Id="rId90" Type="http://schemas.openxmlformats.org/officeDocument/2006/relationships/hyperlink" Target="https://doi.org/10.1016/j.rse.2017.06.031" TargetMode="External"/><Relationship Id="rId86" Type="http://schemas.openxmlformats.org/officeDocument/2006/relationships/hyperlink" Target="https://doi.org/10.1016/j.rse.2018.08.005" TargetMode="External"/><Relationship Id="rId80" Type="http://schemas.openxmlformats.org/officeDocument/2006/relationships/hyperlink" Target="https://doi.org/10.1016/j.rse.2019.111490" TargetMode="External"/><Relationship Id="rId98" Type="http://schemas.openxmlformats.org/officeDocument/2006/relationships/hyperlink" Target="https://doi.org/10.1038/s41467-022-29838-9" TargetMode="External"/><Relationship Id="rId96" Type="http://schemas.openxmlformats.org/officeDocument/2006/relationships/hyperlink" Target="https://doi.org/10.1111/2041-210X.13650" TargetMode="External"/><Relationship Id="rId94" Type="http://schemas.openxmlformats.org/officeDocument/2006/relationships/hyperlink" Target="https://doi.org/10.1111/geb.13635" TargetMode="External"/><Relationship Id="rId110" Type="http://schemas.openxmlformats.org/officeDocument/2006/relationships/hyperlink" Target="https://doi.org/10.1111/j.1558-5646.2008.00482.x" TargetMode="External"/><Relationship Id="rId104" Type="http://schemas.openxmlformats.org/officeDocument/2006/relationships/hyperlink" Target="https://doi.org/10.1609/aaai.v30i1.10306" TargetMode="External"/><Relationship Id="rId102" Type="http://schemas.openxmlformats.org/officeDocument/2006/relationships/hyperlink" Target="https://doi.org/10.2307/1935534" TargetMode="External"/><Relationship Id="rId92" Type="http://schemas.openxmlformats.org/officeDocument/2006/relationships/hyperlink" Target="https://doi.org/10.3390/rs14030602" TargetMode="External"/><Relationship Id="rId106" Type="http://schemas.openxmlformats.org/officeDocument/2006/relationships/hyperlink" Target="https://doi.org/10.5066/P9OGBGM6" TargetMode="External"/><Relationship Id="rId88" Type="http://schemas.openxmlformats.org/officeDocument/2006/relationships/hyperlink" Target="https://doi.org/10.5067/MODIS/MCD64A1.061" TargetMode="External"/><Relationship Id="rId108" Type="http://schemas.openxmlformats.org/officeDocument/2006/relationships/hyperlink" Target="https://doi.org/10.5067/MODIS/MOD11A1.061" TargetMode="External"/><Relationship Id="rId84" Type="http://schemas.openxmlformats.org/officeDocument/2006/relationships/hyperlink" Target="https://doi.org/10.5067/VIIRS/VNP64A1.002" TargetMode="External"/><Relationship Id="rId82" Type="http://schemas.openxmlformats.org/officeDocument/2006/relationships/hyperlink" Target="https://doi.org/10.5270/ESA-c5d3d65" TargetMode="External"/><Relationship Id="rId112" Type="http://schemas.openxmlformats.org/officeDocument/2006/relationships/hyperlink" Target="https://doi.org/10.5281/zenodo.7254221" TargetMode="External"/><Relationship Id="rId18" Type="http://schemas.openxmlformats.org/officeDocument/2006/relationships/hyperlink" Target="https://github.com/dryuemco/thermal-twin" TargetMode="External"/><Relationship Id="rId75" Type="http://schemas.openxmlformats.org/officeDocument/2006/relationships/hyperlink" Target="https://github.com/emrehann17/satellite-thermal-digital-twin" TargetMode="External"/></Relationships>
</file>

<file path=word/_rels/footnotes.xml.rels><?xml version='1.0' encoding='UTF-8' standalone='yes'?>
<Relationships xmlns="http://schemas.openxmlformats.org/package/2006/relationships"><Relationship Id="rId100" Type="http://schemas.openxmlformats.org/officeDocument/2006/relationships/hyperlink" Target="https://doi.org/10.1016/S0034-4257(01)00274-7" TargetMode="External"/><Relationship Id="rId78" Type="http://schemas.openxmlformats.org/officeDocument/2006/relationships/hyperlink" Target="https://doi.org/10.1016/j.ecolmodel.2011.02.011" TargetMode="External"/><Relationship Id="rId90" Type="http://schemas.openxmlformats.org/officeDocument/2006/relationships/hyperlink" Target="https://doi.org/10.1016/j.rse.2017.06.031" TargetMode="External"/><Relationship Id="rId86" Type="http://schemas.openxmlformats.org/officeDocument/2006/relationships/hyperlink" Target="https://doi.org/10.1016/j.rse.2018.08.005" TargetMode="External"/><Relationship Id="rId80" Type="http://schemas.openxmlformats.org/officeDocument/2006/relationships/hyperlink" Target="https://doi.org/10.1016/j.rse.2019.111490" TargetMode="External"/><Relationship Id="rId98" Type="http://schemas.openxmlformats.org/officeDocument/2006/relationships/hyperlink" Target="https://doi.org/10.1038/s41467-022-29838-9" TargetMode="External"/><Relationship Id="rId96" Type="http://schemas.openxmlformats.org/officeDocument/2006/relationships/hyperlink" Target="https://doi.org/10.1111/2041-210X.13650" TargetMode="External"/><Relationship Id="rId94" Type="http://schemas.openxmlformats.org/officeDocument/2006/relationships/hyperlink" Target="https://doi.org/10.1111/geb.13635" TargetMode="External"/><Relationship Id="rId110" Type="http://schemas.openxmlformats.org/officeDocument/2006/relationships/hyperlink" Target="https://doi.org/10.1111/j.1558-5646.2008.00482.x" TargetMode="External"/><Relationship Id="rId104" Type="http://schemas.openxmlformats.org/officeDocument/2006/relationships/hyperlink" Target="https://doi.org/10.1609/aaai.v30i1.10306" TargetMode="External"/><Relationship Id="rId102" Type="http://schemas.openxmlformats.org/officeDocument/2006/relationships/hyperlink" Target="https://doi.org/10.2307/1935534" TargetMode="External"/><Relationship Id="rId92" Type="http://schemas.openxmlformats.org/officeDocument/2006/relationships/hyperlink" Target="https://doi.org/10.3390/rs14030602" TargetMode="External"/><Relationship Id="rId106" Type="http://schemas.openxmlformats.org/officeDocument/2006/relationships/hyperlink" Target="https://doi.org/10.5066/P9OGBGM6" TargetMode="External"/><Relationship Id="rId88" Type="http://schemas.openxmlformats.org/officeDocument/2006/relationships/hyperlink" Target="https://doi.org/10.5067/MODIS/MCD64A1.061" TargetMode="External"/><Relationship Id="rId108" Type="http://schemas.openxmlformats.org/officeDocument/2006/relationships/hyperlink" Target="https://doi.org/10.5067/MODIS/MOD11A1.061" TargetMode="External"/><Relationship Id="rId84" Type="http://schemas.openxmlformats.org/officeDocument/2006/relationships/hyperlink" Target="https://doi.org/10.5067/VIIRS/VNP64A1.002" TargetMode="External"/><Relationship Id="rId82" Type="http://schemas.openxmlformats.org/officeDocument/2006/relationships/hyperlink" Target="https://doi.org/10.5270/ESA-c5d3d65" TargetMode="External"/><Relationship Id="rId112" Type="http://schemas.openxmlformats.org/officeDocument/2006/relationships/hyperlink" Target="https://doi.org/10.5281/zenodo.7254221" TargetMode="External"/><Relationship Id="rId18" Type="http://schemas.openxmlformats.org/officeDocument/2006/relationships/hyperlink" Target="https://github.com/dryuemco/thermal-twin" TargetMode="External"/><Relationship Id="rId75" Type="http://schemas.openxmlformats.org/officeDocument/2006/relationships/hyperlink" Target="https://github.com/emrehann17/satellite-thermal-digital-tw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Evaluation area and the limits of cross-region transfer of pre-fire thermal wildfire models: five large Mediterranean fires</dc:title>
  <dc:creator>Emrehan Metin; Yunus Emre Cogurcu</dc:creator>
  <dc:language>en-GB</dc:language>
  <cp:keywords/>
  <dcterms:created xsi:type="dcterms:W3CDTF">2026-09-29T11:59:45Z</dcterms:created>
  <dcterms:modified xsi:type="dcterms:W3CDTF">2026-09-29T11:59:45Z</dcterms:modified>
  <cp:lastModifiedBy/>
  <dc:description/>
  <dc:subject/>
  <cp:category/>
  <dc:identifier/>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C:\Users\CORSAIR\projects\thermal-twin-main\paper\REFERENCES.bib</vt:lpwstr>
  </property>
  <property fmtid="{D5CDD505-2E9C-101B-9397-08002B2CF9AE}" pid="3" name="csl">
    <vt:lpwstr>C:\Users\CORSAIR\projects\thermal-twin-main\paper\tex\springer-basic-author-date.csl</vt:lpwstr>
  </property>
  <property fmtid="{D5CDD505-2E9C-101B-9397-08002B2CF9AE}" pid="4" name="subtitle">
    <vt:lpwstr>Evaluation area and the limits of cross-region transfer of pre-fire thermal wildfire models: five large Mediterranean fires</vt:lpwstr>
  </property>
</Properties>
</file>