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 Material</w:t>
      </w:r>
    </w:p>
    <w:p>
      <w:pPr>
        <w:pStyle w:val="Subtitle"/>
      </w:pPr>
      <w:r>
        <w:t xml:space="preserve">Evaluation geometry and the limits of cross-region transfer in pre-fire thermal wildfire prediction</w:t>
      </w:r>
    </w:p>
    <w:p>
      <w:pPr>
        <w:pStyle w:val="FirstParagraph"/>
      </w:pPr>
      <w:r>
        <w:t xml:space="preserve">Supplementary material for</w:t>
      </w:r>
      <w:r>
        <w:t xml:space="preserve"> </w:t>
      </w:r>
      <w:r>
        <w:rPr>
          <w:i/>
          <w:iCs/>
        </w:rPr>
        <w:t xml:space="preserve">Evaluation geometry and the limits of cross-region transfer in pre-fire thermal wildfire prediction</w:t>
      </w:r>
      <w:r>
        <w:t xml:space="preserve">.</w:t>
      </w:r>
    </w:p>
    <w:p>
      <w:pPr>
        <w:pStyle w:val="BodyText"/>
      </w:pPr>
      <w:r>
        <w:t xml:space="preserve">Section S1 reports the sensitivity analyses and the elaborations of the Results; Section S2 the</w:t>
      </w:r>
      <w:r>
        <w:t xml:space="preserve"> </w:t>
      </w:r>
      <w:r>
        <w:t xml:space="preserve">supporting tables; Section S3 the protocol detail and the thirteen limitations; Section S4 the</w:t>
      </w:r>
      <w:r>
        <w:t xml:space="preserve"> </w:t>
      </w:r>
      <w:r>
        <w:t xml:space="preserve">record of the transferability diagnostics; Section S5 the target-label recovery curve; Section S6</w:t>
      </w:r>
      <w:r>
        <w:t xml:space="preserve"> </w:t>
      </w:r>
      <w:r>
        <w:t xml:space="preserve">the code and how to run it; Section S7 the data. References close the document. Tables are numbered</w:t>
      </w:r>
      <w:r>
        <w:t xml:space="preserve"> </w:t>
      </w:r>
      <w:r>
        <w:t xml:space="preserve">in order of appearance (Tables S1–S22), independently of the sections.</w:t>
      </w:r>
    </w:p>
    <w:p>
      <w:pPr>
        <w:pStyle w:val="BodyText"/>
      </w:pPr>
      <w:r>
        <w:rPr>
          <w:b/>
          <w:bCs/>
        </w:rPr>
        <w:t xml:space="preserve">Status.</w:t>
      </w:r>
      <w:r>
        <w:t xml:space="preserve"> </w:t>
      </w:r>
      <w:r>
        <w:t xml:space="preserve">Nothing in this document is evidence the paper’s claims depend on that is unavailable</w:t>
      </w:r>
      <w:r>
        <w:t xml:space="preserve"> </w:t>
      </w:r>
      <w:r>
        <w:t xml:space="preserve">elsewhere; every number here also appears in a frozen artefact named in the text. It is released so</w:t>
      </w:r>
      <w:r>
        <w:t xml:space="preserve"> </w:t>
      </w:r>
      <w:r>
        <w:t xml:space="preserve">that a reader who wants the fuller argument, the per-scar and per-direction detail, or the exact</w:t>
      </w:r>
      <w:r>
        <w:t xml:space="preserve"> </w:t>
      </w:r>
      <w:r>
        <w:t xml:space="preserve">protocol can have it without the paper carrying twenty thousand words of it.</w:t>
      </w:r>
    </w:p>
    <w:bookmarkStart w:id="18" w:name="contents"/>
    <w:p>
      <w:pPr>
        <w:pStyle w:val="Heading2"/>
      </w:pPr>
      <w:r>
        <w:t xml:space="preserve">Contents</w:t>
      </w:r>
    </w:p>
    <w:p>
      <w:pPr>
        <w:pStyle w:val="Compact"/>
        <w:numPr>
          <w:ilvl w:val="0"/>
          <w:numId w:val="1001"/>
        </w:numPr>
      </w:pPr>
      <w:r>
        <w:t xml:space="preserve">S1 Sensitivity analyses</w:t>
      </w:r>
    </w:p>
    <w:p>
      <w:pPr>
        <w:pStyle w:val="Compact"/>
        <w:numPr>
          <w:ilvl w:val="1"/>
          <w:numId w:val="1002"/>
        </w:numPr>
      </w:pPr>
      <w:r>
        <w:t xml:space="preserve">S1.1 Evia AOI and prevalence</w:t>
      </w:r>
    </w:p>
    <w:p>
      <w:pPr>
        <w:pStyle w:val="Compact"/>
        <w:numPr>
          <w:ilvl w:val="1"/>
          <w:numId w:val="1002"/>
        </w:numPr>
      </w:pPr>
      <w:r>
        <w:t xml:space="preserve">S1.2 CORAL regularisation, including the canonical λ = 1</w:t>
      </w:r>
    </w:p>
    <w:p>
      <w:pPr>
        <w:pStyle w:val="Compact"/>
        <w:numPr>
          <w:ilvl w:val="1"/>
          <w:numId w:val="1002"/>
        </w:numPr>
      </w:pPr>
      <w:r>
        <w:t xml:space="preserve">S1.3 Blocking scale</w:t>
      </w:r>
    </w:p>
    <w:p>
      <w:pPr>
        <w:pStyle w:val="Compact"/>
        <w:numPr>
          <w:ilvl w:val="1"/>
          <w:numId w:val="1002"/>
        </w:numPr>
      </w:pPr>
      <w:r>
        <w:t xml:space="preserve">S1.4 Predictor-window closure</w:t>
      </w:r>
    </w:p>
    <w:p>
      <w:pPr>
        <w:pStyle w:val="Compact"/>
        <w:numPr>
          <w:ilvl w:val="1"/>
          <w:numId w:val="1002"/>
        </w:numPr>
      </w:pPr>
      <w:r>
        <w:t xml:space="preserve">S1.5 Quality screening of the coarse thermal input</w:t>
      </w:r>
    </w:p>
    <w:p>
      <w:pPr>
        <w:pStyle w:val="Compact"/>
        <w:numPr>
          <w:ilvl w:val="1"/>
          <w:numId w:val="1002"/>
        </w:numPr>
      </w:pPr>
      <w:r>
        <w:t xml:space="preserve">S1.6 Normalised against absolute dryness channels</w:t>
      </w:r>
    </w:p>
    <w:p>
      <w:pPr>
        <w:pStyle w:val="Compact"/>
        <w:numPr>
          <w:ilvl w:val="1"/>
          <w:numId w:val="1002"/>
        </w:numPr>
      </w:pPr>
      <w:r>
        <w:t xml:space="preserve">S1.7 The coordinate-informed channels</w:t>
      </w:r>
    </w:p>
    <w:p>
      <w:pPr>
        <w:pStyle w:val="Compact"/>
        <w:numPr>
          <w:ilvl w:val="1"/>
          <w:numId w:val="1002"/>
        </w:numPr>
      </w:pPr>
      <w:r>
        <w:t xml:space="preserve">S1.8 Model capacity</w:t>
      </w:r>
    </w:p>
    <w:p>
      <w:pPr>
        <w:pStyle w:val="Compact"/>
        <w:numPr>
          <w:ilvl w:val="1"/>
          <w:numId w:val="1002"/>
        </w:numPr>
      </w:pPr>
      <w:r>
        <w:t xml:space="preserve">S1.9 The four evaluations of Section 4.3, in full</w:t>
      </w:r>
    </w:p>
    <w:p>
      <w:pPr>
        <w:pStyle w:val="Compact"/>
        <w:numPr>
          <w:ilvl w:val="1"/>
          <w:numId w:val="1002"/>
        </w:numPr>
      </w:pPr>
      <w:r>
        <w:t xml:space="preserve">S1.10 The transfer-gap decomposition, in full</w:t>
      </w:r>
    </w:p>
    <w:p>
      <w:pPr>
        <w:pStyle w:val="Compact"/>
        <w:numPr>
          <w:ilvl w:val="1"/>
          <w:numId w:val="1002"/>
        </w:numPr>
      </w:pPr>
      <w:r>
        <w:t xml:space="preserve">S1.11 The thermal sign, stratified</w:t>
      </w:r>
    </w:p>
    <w:p>
      <w:pPr>
        <w:pStyle w:val="Compact"/>
        <w:numPr>
          <w:ilvl w:val="1"/>
          <w:numId w:val="1002"/>
        </w:numPr>
      </w:pPr>
      <w:r>
        <w:t xml:space="preserve">S1.12 The LST anomaly under the difference instrument</w:t>
      </w:r>
    </w:p>
    <w:p>
      <w:pPr>
        <w:pStyle w:val="Compact"/>
        <w:numPr>
          <w:ilvl w:val="1"/>
          <w:numId w:val="1002"/>
        </w:numPr>
      </w:pPr>
      <w:r>
        <w:t xml:space="preserve">S1.13 The same-geography event pair</w:t>
      </w:r>
    </w:p>
    <w:p>
      <w:pPr>
        <w:pStyle w:val="Compact"/>
        <w:numPr>
          <w:ilvl w:val="1"/>
          <w:numId w:val="1002"/>
        </w:numPr>
      </w:pPr>
      <w:r>
        <w:t xml:space="preserve">S1.14 The two interventions, in full</w:t>
      </w:r>
    </w:p>
    <w:p>
      <w:pPr>
        <w:pStyle w:val="Compact"/>
        <w:numPr>
          <w:ilvl w:val="1"/>
          <w:numId w:val="1002"/>
        </w:numPr>
      </w:pPr>
      <w:r>
        <w:t xml:space="preserve">S1.15 The thermal sign and the anomaly difference, in full</w:t>
      </w:r>
    </w:p>
    <w:p>
      <w:pPr>
        <w:pStyle w:val="Compact"/>
        <w:numPr>
          <w:ilvl w:val="1"/>
          <w:numId w:val="1002"/>
        </w:numPr>
      </w:pPr>
      <w:r>
        <w:t xml:space="preserve">S1.16 The contrast pair, in full</w:t>
      </w:r>
    </w:p>
    <w:p>
      <w:pPr>
        <w:pStyle w:val="Compact"/>
        <w:numPr>
          <w:ilvl w:val="1"/>
          <w:numId w:val="1002"/>
        </w:numPr>
      </w:pPr>
      <w:r>
        <w:t xml:space="preserve">S1.17 The sensitivity arms, summarised</w:t>
      </w:r>
    </w:p>
    <w:p>
      <w:pPr>
        <w:pStyle w:val="Compact"/>
        <w:numPr>
          <w:ilvl w:val="1"/>
          <w:numId w:val="1002"/>
        </w:numPr>
      </w:pPr>
      <w:r>
        <w:t xml:space="preserve">S1.18 Distance within a region</w:t>
      </w:r>
    </w:p>
    <w:p>
      <w:pPr>
        <w:pStyle w:val="Compact"/>
        <w:numPr>
          <w:ilvl w:val="1"/>
          <w:numId w:val="1002"/>
        </w:numPr>
      </w:pPr>
      <w:r>
        <w:t xml:space="preserve">S1.19 What target labels cost</w:t>
      </w:r>
    </w:p>
    <w:p>
      <w:pPr>
        <w:pStyle w:val="Compact"/>
        <w:numPr>
          <w:ilvl w:val="1"/>
          <w:numId w:val="1002"/>
        </w:numPr>
      </w:pPr>
      <w:r>
        <w:t xml:space="preserve">S1.20 The frame test, elaborated</w:t>
      </w:r>
    </w:p>
    <w:p>
      <w:pPr>
        <w:pStyle w:val="Compact"/>
        <w:numPr>
          <w:ilvl w:val="1"/>
          <w:numId w:val="1002"/>
        </w:numPr>
      </w:pPr>
      <w:r>
        <w:t xml:space="preserve">S1.21 The transfer matrix and adaptation, elaborated</w:t>
      </w:r>
    </w:p>
    <w:p>
      <w:pPr>
        <w:pStyle w:val="Compact"/>
        <w:numPr>
          <w:ilvl w:val="1"/>
          <w:numId w:val="1002"/>
        </w:numPr>
      </w:pPr>
      <w:r>
        <w:t xml:space="preserve">S1.22 The diagnostics, elaborated</w:t>
      </w:r>
    </w:p>
    <w:p>
      <w:pPr>
        <w:pStyle w:val="Compact"/>
        <w:numPr>
          <w:ilvl w:val="1"/>
          <w:numId w:val="1002"/>
        </w:numPr>
      </w:pPr>
      <w:r>
        <w:t xml:space="preserve">S1.23 The four evaluations, elaborated</w:t>
      </w:r>
    </w:p>
    <w:p>
      <w:pPr>
        <w:pStyle w:val="Compact"/>
        <w:numPr>
          <w:ilvl w:val="1"/>
          <w:numId w:val="1002"/>
        </w:numPr>
      </w:pPr>
      <w:r>
        <w:t xml:space="preserve">S1.24 The six further arms, summarised</w:t>
      </w:r>
    </w:p>
    <w:p>
      <w:pPr>
        <w:pStyle w:val="Compact"/>
        <w:numPr>
          <w:ilvl w:val="0"/>
          <w:numId w:val="1001"/>
        </w:numPr>
      </w:pPr>
      <w:r>
        <w:t xml:space="preserve">S2 Supporting tables</w:t>
      </w:r>
    </w:p>
    <w:p>
      <w:pPr>
        <w:pStyle w:val="Compact"/>
        <w:numPr>
          <w:ilvl w:val="1"/>
          <w:numId w:val="1003"/>
        </w:numPr>
      </w:pPr>
      <w:r>
        <w:t xml:space="preserve">S2.1 The transfer matrix in precision-recall terms</w:t>
      </w:r>
    </w:p>
    <w:p>
      <w:pPr>
        <w:pStyle w:val="Compact"/>
        <w:numPr>
          <w:ilvl w:val="1"/>
          <w:numId w:val="1003"/>
        </w:numPr>
      </w:pPr>
      <w:r>
        <w:t xml:space="preserve">S2.2 The same-geography event pair, in full</w:t>
      </w:r>
    </w:p>
    <w:p>
      <w:pPr>
        <w:pStyle w:val="Compact"/>
        <w:numPr>
          <w:ilvl w:val="1"/>
          <w:numId w:val="1003"/>
        </w:numPr>
      </w:pPr>
      <w:r>
        <w:t xml:space="preserve">S2.3 The evaluation frames, and the signed associations they produce</w:t>
      </w:r>
    </w:p>
    <w:p>
      <w:pPr>
        <w:pStyle w:val="Compact"/>
        <w:numPr>
          <w:ilvl w:val="1"/>
          <w:numId w:val="1003"/>
        </w:numPr>
      </w:pPr>
      <w:r>
        <w:t xml:space="preserve">S2.4 The transferability-diagnostics tables</w:t>
      </w:r>
    </w:p>
    <w:p>
      <w:pPr>
        <w:pStyle w:val="Compact"/>
        <w:numPr>
          <w:ilvl w:val="0"/>
          <w:numId w:val="1001"/>
        </w:numPr>
      </w:pPr>
      <w:r>
        <w:t xml:space="preserve">S3 Protocol detail and limitations</w:t>
      </w:r>
    </w:p>
    <w:p>
      <w:pPr>
        <w:pStyle w:val="Compact"/>
        <w:numPr>
          <w:ilvl w:val="1"/>
          <w:numId w:val="1004"/>
        </w:numPr>
      </w:pPr>
      <w:r>
        <w:t xml:space="preserve">S3.1 Burned-area label, the reconstructed analysis grid, and the admissibility gate</w:t>
      </w:r>
    </w:p>
    <w:p>
      <w:pPr>
        <w:pStyle w:val="Compact"/>
        <w:numPr>
          <w:ilvl w:val="1"/>
          <w:numId w:val="1004"/>
        </w:numPr>
      </w:pPr>
      <w:r>
        <w:t xml:space="preserve">S3.2 Transferability diagnostics versus transfer</w:t>
      </w:r>
    </w:p>
    <w:p>
      <w:pPr>
        <w:pStyle w:val="Compact"/>
        <w:numPr>
          <w:ilvl w:val="1"/>
          <w:numId w:val="1004"/>
        </w:numPr>
      </w:pPr>
      <w:r>
        <w:t xml:space="preserve">S3.3 Same-geography event-to-event comparison (Muğla 2021 versus 2022)</w:t>
      </w:r>
    </w:p>
    <w:p>
      <w:pPr>
        <w:pStyle w:val="Compact"/>
        <w:numPr>
          <w:ilvl w:val="1"/>
          <w:numId w:val="1004"/>
        </w:numPr>
      </w:pPr>
      <w:r>
        <w:t xml:space="preserve">S3.4 Predictor provenance, compositing and the downscaler</w:t>
      </w:r>
    </w:p>
    <w:p>
      <w:pPr>
        <w:pStyle w:val="Compact"/>
        <w:numPr>
          <w:ilvl w:val="1"/>
          <w:numId w:val="1004"/>
        </w:numPr>
      </w:pPr>
      <w:r>
        <w:t xml:space="preserve">S3.5 Limitations, in full</w:t>
      </w:r>
    </w:p>
    <w:p>
      <w:pPr>
        <w:pStyle w:val="Compact"/>
        <w:numPr>
          <w:ilvl w:val="1"/>
          <w:numId w:val="1004"/>
        </w:numPr>
      </w:pPr>
      <w:r>
        <w:t xml:space="preserve">S3.6 Leakage control and reproducibility, in full</w:t>
      </w:r>
    </w:p>
    <w:p>
      <w:pPr>
        <w:pStyle w:val="Compact"/>
        <w:numPr>
          <w:ilvl w:val="1"/>
          <w:numId w:val="1004"/>
        </w:numPr>
      </w:pPr>
      <w:r>
        <w:t xml:space="preserve">S3.7 Transfer-gap decomposition and the concept-shift diagnostic, in full</w:t>
      </w:r>
    </w:p>
    <w:p>
      <w:pPr>
        <w:pStyle w:val="Compact"/>
        <w:numPr>
          <w:ilvl w:val="1"/>
          <w:numId w:val="1004"/>
        </w:numPr>
      </w:pPr>
      <w:r>
        <w:t xml:space="preserve">S3.8 Label-blind adaptation, full specification</w:t>
      </w:r>
    </w:p>
    <w:p>
      <w:pPr>
        <w:pStyle w:val="Compact"/>
        <w:numPr>
          <w:ilvl w:val="0"/>
          <w:numId w:val="1001"/>
        </w:numPr>
      </w:pPr>
      <w:r>
        <w:t xml:space="preserve">S4 Transferability diagnostics: the record behind Contribution 3</w:t>
      </w:r>
    </w:p>
    <w:p>
      <w:pPr>
        <w:pStyle w:val="Compact"/>
        <w:numPr>
          <w:ilvl w:val="1"/>
          <w:numId w:val="1005"/>
        </w:numPr>
      </w:pPr>
      <w:r>
        <w:t xml:space="preserve">S4.1 Why the loss is invisible to the diagnostics in use (former Section 1.3)</w:t>
      </w:r>
    </w:p>
    <w:p>
      <w:pPr>
        <w:pStyle w:val="Compact"/>
        <w:numPr>
          <w:ilvl w:val="1"/>
          <w:numId w:val="1005"/>
        </w:numPr>
      </w:pPr>
      <w:r>
        <w:t xml:space="preserve">S4.2 Transferability diagnostics versus transfer (former Section 3.11)</w:t>
      </w:r>
    </w:p>
    <w:p>
      <w:pPr>
        <w:pStyle w:val="Compact"/>
        <w:numPr>
          <w:ilvl w:val="1"/>
          <w:numId w:val="1005"/>
        </w:numPr>
      </w:pPr>
      <w:r>
        <w:t xml:space="preserve">S4.3 Transferability diagnostics: what appears to order transfer, and why it does not (former Section 4.6)</w:t>
      </w:r>
    </w:p>
    <w:p>
      <w:pPr>
        <w:pStyle w:val="Compact"/>
        <w:numPr>
          <w:ilvl w:val="1"/>
          <w:numId w:val="1005"/>
        </w:numPr>
      </w:pPr>
      <w:r>
        <w:t xml:space="preserve">S4.4 Why the diagnostics fail, and what the conditional one is not (former Section 5.3)</w:t>
      </w:r>
    </w:p>
    <w:p>
      <w:pPr>
        <w:pStyle w:val="Compact"/>
        <w:numPr>
          <w:ilvl w:val="1"/>
          <w:numId w:val="1005"/>
        </w:numPr>
      </w:pPr>
      <w:r>
        <w:t xml:space="preserve">S4.5 The signed univariate associations the reversal claim rests on (former note to Table S9)</w:t>
      </w:r>
    </w:p>
    <w:p>
      <w:pPr>
        <w:pStyle w:val="Compact"/>
        <w:numPr>
          <w:ilvl w:val="1"/>
          <w:numId w:val="1005"/>
        </w:numPr>
      </w:pPr>
      <w:r>
        <w:t xml:space="preserve">S4.6 The contrast-pair figure</w:t>
      </w:r>
    </w:p>
    <w:p>
      <w:pPr>
        <w:pStyle w:val="Compact"/>
        <w:numPr>
          <w:ilvl w:val="0"/>
          <w:numId w:val="1001"/>
        </w:numPr>
      </w:pPr>
      <w:r>
        <w:t xml:space="preserve">S5 Target-label recovery curve: what a small labelled budget buys</w:t>
      </w:r>
    </w:p>
    <w:p>
      <w:pPr>
        <w:pStyle w:val="Compact"/>
        <w:numPr>
          <w:ilvl w:val="1"/>
          <w:numId w:val="1006"/>
        </w:numPr>
      </w:pPr>
      <w:r>
        <w:t xml:space="preserve">S5.1 Purpose and status</w:t>
      </w:r>
    </w:p>
    <w:p>
      <w:pPr>
        <w:pStyle w:val="Compact"/>
        <w:numPr>
          <w:ilvl w:val="1"/>
          <w:numId w:val="1006"/>
        </w:numPr>
      </w:pPr>
      <w:r>
        <w:t xml:space="preserve">S5.2 Design</w:t>
      </w:r>
    </w:p>
    <w:p>
      <w:pPr>
        <w:pStyle w:val="Compact"/>
        <w:numPr>
          <w:ilvl w:val="1"/>
          <w:numId w:val="1006"/>
        </w:numPr>
      </w:pPr>
      <w:r>
        <w:t xml:space="preserve">S5.3 Result</w:t>
      </w:r>
    </w:p>
    <w:p>
      <w:pPr>
        <w:pStyle w:val="Compact"/>
        <w:numPr>
          <w:ilvl w:val="1"/>
          <w:numId w:val="1006"/>
        </w:numPr>
      </w:pPr>
      <w:r>
        <w:t xml:space="preserve">S5.4 Methodological limits</w:t>
      </w:r>
    </w:p>
    <w:p>
      <w:pPr>
        <w:pStyle w:val="Compact"/>
        <w:numPr>
          <w:ilvl w:val="2"/>
          <w:numId w:val="1007"/>
        </w:numPr>
      </w:pPr>
      <w:r>
        <w:t xml:space="preserve">S5.5 Figure</w:t>
      </w:r>
    </w:p>
    <w:p>
      <w:pPr>
        <w:pStyle w:val="Compact"/>
        <w:numPr>
          <w:ilvl w:val="0"/>
          <w:numId w:val="1001"/>
        </w:numPr>
      </w:pPr>
      <w:r>
        <w:t xml:space="preserve">S6 Code</w:t>
      </w:r>
    </w:p>
    <w:p>
      <w:pPr>
        <w:pStyle w:val="Compact"/>
        <w:numPr>
          <w:ilvl w:val="0"/>
          <w:numId w:val="1001"/>
        </w:numPr>
      </w:pPr>
      <w:r>
        <w:t xml:space="preserve">S7 Data</w:t>
      </w:r>
    </w:p>
    <w:bookmarkEnd w:id="18"/>
    <w:bookmarkStart w:id="50" w:name="s1-sensitivity-analyses"/>
    <w:p>
      <w:pPr>
        <w:pStyle w:val="Heading1"/>
      </w:pPr>
      <w:r>
        <w:t xml:space="preserve">S1 Sensitivity analyses</w:t>
      </w:r>
    </w:p>
    <w:p>
      <w:pPr>
        <w:pStyle w:val="FirstParagraph"/>
      </w:pPr>
      <w:r>
        <w:t xml:space="preserve">Each arm below varies one design choice and leaves everything else fixed. None changes a conclusion</w:t>
      </w:r>
      <w:r>
        <w:t xml:space="preserve"> </w:t>
      </w:r>
      <w:r>
        <w:t xml:space="preserve">in the main text. They are reported so that a reader can see which choices were tested, and what</w:t>
      </w:r>
      <w:r>
        <w:t xml:space="preserve"> </w:t>
      </w:r>
      <w:r>
        <w:t xml:space="preserve">each was worth. Arm (f) is the exception in one respect: it is not a robustness check but a test of</w:t>
      </w:r>
      <w:r>
        <w:t xml:space="preserve"> </w:t>
      </w:r>
      <w:r>
        <w:t xml:space="preserve">a claim the introduction makes, and the claim is not upheld.</w:t>
      </w:r>
    </w:p>
    <w:p>
      <w:pPr>
        <w:pStyle w:val="BodyText"/>
      </w:pPr>
      <w:r>
        <w:t xml:space="preserve">Each arm is labelled by its letter below, and is cited elsewhere in the paper as Section S1.1</w:t>
      </w:r>
      <w:r>
        <w:t xml:space="preserve"> </w:t>
      </w:r>
      <w:r>
        <w:t xml:space="preserve">through S1.8.</w:t>
      </w:r>
    </w:p>
    <w:bookmarkStart w:id="19" w:name="s1.1-evia-aoi-and-prevalence"/>
    <w:p>
      <w:pPr>
        <w:pStyle w:val="Heading2"/>
      </w:pPr>
      <w:r>
        <w:t xml:space="preserve">S1.1 Evia AOI and prevalence</w:t>
      </w:r>
    </w:p>
    <w:p>
      <w:pPr>
        <w:pStyle w:val="FirstParagraph"/>
      </w:pPr>
      <w:r>
        <w:t xml:space="preserve">The raw transfer arms were repeated with the legacy,</w:t>
      </w:r>
      <w:r>
        <w:t xml:space="preserve"> </w:t>
      </w:r>
      <w:r>
        <w:t xml:space="preserve">high-prevalence Evia box. Every qualitative conclusion is unchanged. Thermal raw transfer AUCs move</w:t>
      </w:r>
      <w:r>
        <w:t xml:space="preserve"> </w:t>
      </w:r>
      <w:r>
        <w:t xml:space="preserve">by up to 0.07, the largest being Evia to Bejís at 0.378 to 0.448, and no direction changes side of</w:t>
      </w:r>
      <w:r>
        <w:t xml:space="preserve"> </w:t>
      </w:r>
      <w:r>
        <w:t xml:space="preserve">the chance line.</w:t>
      </w:r>
    </w:p>
    <w:bookmarkEnd w:id="19"/>
    <w:bookmarkStart w:id="20" w:name="X858c18b049bb6bbf5dc10251d4574f13d0354a9"/>
    <w:p>
      <w:pPr>
        <w:pStyle w:val="Heading2"/>
      </w:pPr>
      <w:r>
        <w:t xml:space="preserve">S1.2 CORAL regularisation, including the canonical λ = 1</w:t>
      </w:r>
    </w:p>
    <w:p>
      <w:pPr>
        <w:pStyle w:val="FirstParagraph"/>
      </w:pPr>
      <w:r>
        <w:t xml:space="preserve">Over nine λ values from 0 to 10⁻¹ on</w:t>
      </w:r>
      <w:r>
        <w:t xml:space="preserve"> </w:t>
      </w:r>
      <w:r>
        <w:t xml:space="preserve">four directions, CORAL transfer AUC moves by at most 0.014 within any direction and 0.008 within the</w:t>
      </w:r>
      <w:r>
        <w:t xml:space="preserve"> </w:t>
      </w:r>
      <w:r>
        <w:t xml:space="preserve">thermal family. The canonical λ = 1 of the cited method lies outside that sweep and was computed</w:t>
      </w:r>
      <w:r>
        <w:t xml:space="preserve"> </w:t>
      </w:r>
      <w:r>
        <w:t xml:space="preserve">separately on the same four directions. It changes the thermal mean from 0.519 to 0.522, a shift of</w:t>
      </w:r>
      <w:r>
        <w:t xml:space="preserve"> </w:t>
      </w:r>
      <w:r>
        <w:t xml:space="preserve">+0.003 with a per-direction range of −0.005 to +0.016, and none of those four directions crosses the</w:t>
      </w:r>
      <w:r>
        <w:t xml:space="preserve"> </w:t>
      </w:r>
      <w:r>
        <w:t xml:space="preserve">chance line. The λ = 1 values are 0.510, 0.444, 0.559 and 0.575 against 0.508, 0.445, 0.564 and</w:t>
      </w:r>
      <w:r>
        <w:t xml:space="preserve"> </w:t>
      </w:r>
      <w:r>
        <w:t xml:space="preserve">0.559 at λ = 0.1.</w:t>
      </w:r>
    </w:p>
    <w:p>
      <w:pPr>
        <w:pStyle w:val="BodyText"/>
      </w:pPr>
      <w:r>
        <w:rPr>
          <w:b/>
          <w:bCs/>
        </w:rPr>
        <w:t xml:space="preserve">Those four directions are Bejís–Muğla and Manavgat–Muğla, and they exclude the pair that moves.</w:t>
      </w:r>
      <w:r>
        <w:t xml:space="preserve"> </w:t>
      </w:r>
      <w:r>
        <w:t xml:space="preserve">An earlier version of this section generalised from them to the whole matrix, which was an error:</w:t>
      </w:r>
      <w:r>
        <w:t xml:space="preserve"> </w:t>
      </w:r>
      <w:r>
        <w:t xml:space="preserve">the Manavgat–Bejís pair is not in the sweep and it is the pair whose CORAL result is λ-dependent. A</w:t>
      </w:r>
      <w:r>
        <w:t xml:space="preserve"> </w:t>
      </w:r>
      <w:r>
        <w:t xml:space="preserve">separate frozen artefact,</w:t>
      </w:r>
      <w:r>
        <w:t xml:space="preserve"> </w:t>
      </w:r>
      <w:r>
        <w:rPr>
          <w:rStyle w:val="VerbatimChar"/>
        </w:rPr>
        <w:t xml:space="preserve">experiments/cross_region/step10/coral_lambda_sensitivity.csv</w:t>
      </w:r>
      <w:r>
        <w:t xml:space="preserve">, carries it.</w:t>
      </w:r>
      <w:r>
        <w:t xml:space="preserve"> </w:t>
      </w:r>
      <w:r>
        <w:t xml:space="preserve">Bejís to Manavgat gives 0.5571 [0.5292, 0.5857] at λ = 10⁻⁵, 0.5644 at λ = 10⁻³ and 0.5473 at</w:t>
      </w:r>
      <w:r>
        <w:t xml:space="preserve"> </w:t>
      </w:r>
      <w:r>
        <w:t xml:space="preserve">λ = 0.1, all with intervals entirely above 0.5, but</w:t>
      </w:r>
      <w:r>
        <w:t xml:space="preserve"> </w:t>
      </w:r>
      <w:r>
        <w:rPr>
          <w:b/>
          <w:bCs/>
        </w:rPr>
        <w:t xml:space="preserve">0.4850 [0.4496, 0.5197] at λ = 1</w:t>
      </w:r>
      <w:r>
        <w:t xml:space="preserve">, which</w:t>
      </w:r>
      <w:r>
        <w:t xml:space="preserve"> </w:t>
      </w:r>
      <w:r>
        <w:t xml:space="preserve">crosses the chance line and loses its interval support. Manavgat to Bejís falls likewise, from</w:t>
      </w:r>
      <w:r>
        <w:t xml:space="preserve"> </w:t>
      </w:r>
      <w:r>
        <w:t xml:space="preserve">0.5108 to 0.4776 [0.4501, 0.5013].</w:t>
      </w:r>
    </w:p>
    <w:p>
      <w:pPr>
        <w:pStyle w:val="BodyText"/>
      </w:pPr>
      <w:r>
        <w:t xml:space="preserve">The correct statement is therefore narrower. CORAL-dependent conclusions are insensitive to λ over</w:t>
      </w:r>
      <w:r>
        <w:t xml:space="preserve"> </w:t>
      </w:r>
      <w:r>
        <w:t xml:space="preserve">three orders of magnitude below 0.1; at the cited method’s canonical λ = 1 the one direction whose</w:t>
      </w:r>
      <w:r>
        <w:t xml:space="preserve"> </w:t>
      </w:r>
      <w:r>
        <w:t xml:space="preserve">adapted interval sits entirely above chance loses that status. λ = 10⁻⁵ is the minimally regularised</w:t>
      </w:r>
      <w:r>
        <w:t xml:space="preserve"> </w:t>
      </w:r>
      <w:r>
        <w:t xml:space="preserve">choice and matches the reference implementation, but the dependence is real and is reported rather</w:t>
      </w:r>
      <w:r>
        <w:t xml:space="preserve"> </w:t>
      </w:r>
      <w:r>
        <w:t xml:space="preserve">than absorbed.</w:t>
      </w:r>
    </w:p>
    <w:bookmarkEnd w:id="20"/>
    <w:bookmarkStart w:id="21" w:name="s1.3-blocking-scale"/>
    <w:p>
      <w:pPr>
        <w:pStyle w:val="Heading2"/>
      </w:pPr>
      <w:r>
        <w:t xml:space="preserve">S1.3 Blocking scale</w:t>
      </w:r>
    </w:p>
    <w:p>
      <w:pPr>
        <w:pStyle w:val="FirstParagraph"/>
      </w:pPr>
      <w:r>
        <w:t xml:space="preserve">Recomputing the transfer quantities at 10-cell (≈ 5 km) blocking from the</w:t>
      </w:r>
      <w:r>
        <w:t xml:space="preserve"> </w:t>
      </w:r>
      <w:r>
        <w:t xml:space="preserve">re-frozen per-cell predictions (corrected Manavgat label) widens the intervals and moves the</w:t>
      </w:r>
      <w:r>
        <w:t xml:space="preserve"> </w:t>
      </w:r>
      <w:r>
        <w:t xml:space="preserve">paired-delta verdict counts, from twelve positive, seven negative and one uncertain at 1 km to six,</w:t>
      </w:r>
      <w:r>
        <w:t xml:space="preserve"> </w:t>
      </w:r>
      <w:r>
        <w:t xml:space="preserve">five and nine at 5 km. Coarser blocking therefore removes support from eight verdicts and adds none.</w:t>
      </w:r>
      <w:r>
        <w:t xml:space="preserve"> </w:t>
      </w:r>
      <w:r>
        <w:t xml:space="preserve">Across five seeds the 5 km counts run 5 to 6 positive, 4 to 5 negative and 9 to 11 uncertain, so</w:t>
      </w:r>
      <w:r>
        <w:t xml:space="preserve"> </w:t>
      </w:r>
      <w:r>
        <w:t xml:space="preserve">they are not exact (</w:t>
      </w:r>
      <w:r>
        <w:rPr>
          <w:rStyle w:val="VerbatimChar"/>
        </w:rPr>
        <w:t xml:space="preserve">paper/labelfix_rerun/round5/out_official/transfer_ci_blocksize.csv</w:t>
      </w:r>
      <w:r>
        <w:t xml:space="preserve">,</w:t>
      </w:r>
      <w:r>
        <w:t xml:space="preserve"> </w:t>
      </w:r>
      <w:r>
        <w:rPr>
          <w:rStyle w:val="VerbatimChar"/>
        </w:rPr>
        <w:t xml:space="preserve">paper/labelfix_rerun/round6/seed_stability.json</w:t>
      </w:r>
      <w:r>
        <w:t xml:space="preserve">).</w:t>
      </w:r>
    </w:p>
    <w:p>
      <w:pPr>
        <w:pStyle w:val="BodyText"/>
      </w:pPr>
      <w:r>
        <w:t xml:space="preserve">The point estimates are unchanged. That is an identity rather than a result, and it should not be</w:t>
      </w:r>
      <w:r>
        <w:t xml:space="preserve"> </w:t>
      </w:r>
      <w:r>
        <w:t xml:space="preserve">offered as robustness. The blocking scale is the bootstrap</w:t>
      </w:r>
      <w:r>
        <w:t xml:space="preserve"> </w:t>
      </w:r>
      <w:r>
        <w:rPr>
          <w:i/>
          <w:iCs/>
        </w:rPr>
        <w:t xml:space="preserve">resampling unit</w:t>
      </w:r>
      <w:r>
        <w:t xml:space="preserve">, and each point</w:t>
      </w:r>
      <w:r>
        <w:t xml:space="preserve"> </w:t>
      </w:r>
      <w:r>
        <w:t xml:space="preserve">estimate is computed once over all target cells, so no choice of block size could have moved one.</w:t>
      </w:r>
      <w:r>
        <w:t xml:space="preserve"> </w:t>
      </w:r>
      <w:r>
        <w:t xml:space="preserve">The comparison does establish two things. Every verdict that changes, changes towards</w:t>
      </w:r>
      <w:r>
        <w:t xml:space="preserve"> </w:t>
      </w:r>
      <w:r>
        <w:t xml:space="preserve">“no verdict”</w:t>
      </w:r>
      <w:r>
        <w:t xml:space="preserve">.</w:t>
      </w:r>
      <w:r>
        <w:t xml:space="preserve"> </w:t>
      </w:r>
      <w:r>
        <w:t xml:space="preserve">And no direction crosses the chance line under the widened intervals. The counts are the fragile</w:t>
      </w:r>
      <w:r>
        <w:t xml:space="preserve"> </w:t>
      </w:r>
      <w:r>
        <w:t xml:space="preserve">part of this paper. The sign pattern is not thereby shown to be robust. It is simply not tested by</w:t>
      </w:r>
      <w:r>
        <w:t xml:space="preserve"> </w:t>
      </w:r>
      <w:r>
        <w:t xml:space="preserve">this variation.</w:t>
      </w:r>
    </w:p>
    <w:p>
      <w:pPr>
        <w:pStyle w:val="BodyText"/>
      </w:pPr>
      <w:r>
        <w:rPr>
          <w:b/>
          <w:bCs/>
        </w:rPr>
        <w:t xml:space="preserve">Table 1 note (resampling units), moved from Section 4.2.</w:t>
      </w:r>
      <w:r>
        <w:t xml:space="preserve"> </w:t>
      </w:r>
      <w:r>
        <w:t xml:space="preserve">The bootstrap resamples spatial blocks. An interval’s reliability</w:t>
      </w:r>
      <w:r>
        <w:t xml:space="preserve"> </w:t>
      </w:r>
      <w:r>
        <w:t xml:space="preserve">is therefore bounded by the number of blocks carrying at least one burned cell. Those counts fall</w:t>
      </w:r>
      <w:r>
        <w:t xml:space="preserve"> </w:t>
      </w:r>
      <w:r>
        <w:t xml:space="preserve">from 192 to 843 at 2 cells to</w:t>
      </w:r>
      <w:r>
        <w:t xml:space="preserve"> </w:t>
      </w:r>
      <w:r>
        <w:rPr>
          <w:b/>
          <w:bCs/>
        </w:rPr>
        <w:t xml:space="preserve">6 to 33</w:t>
      </w:r>
      <w:r>
        <w:t xml:space="preserve"> </w:t>
      </w:r>
      <w:r>
        <w:t xml:space="preserve">at 20 cells. An interval built on six such blocks has no</w:t>
      </w:r>
      <w:r>
        <w:t xml:space="preserve"> </w:t>
      </w:r>
      <w:r>
        <w:t xml:space="preserve">meaningful coverage, so</w:t>
      </w:r>
      <w:r>
        <w:t xml:space="preserve"> </w:t>
      </w:r>
      <w:r>
        <w:rPr>
          <w:b/>
          <w:bCs/>
        </w:rPr>
        <w:t xml:space="preserve">the 20-cell row should be read as indicative rather than as an</w:t>
      </w:r>
      <w:r>
        <w:rPr>
          <w:b/>
          <w:bCs/>
        </w:rPr>
        <w:t xml:space="preserve"> </w:t>
      </w:r>
      <w:r>
        <w:rPr>
          <w:b/>
          <w:bCs/>
        </w:rPr>
        <w:t xml:space="preserve">interval</w:t>
      </w:r>
      <w:r>
        <w:t xml:space="preserve">. The 10-cell row is the coarsest blocking this design supports properly. Every region</w:t>
      </w:r>
      <w:r>
        <w:t xml:space="preserve"> </w:t>
      </w:r>
      <w:r>
        <w:t xml:space="preserve">there has 16 to 70 positive-carrying blocks, and the increment holds at that scale in all five</w:t>
      </w:r>
      <w:r>
        <w:t xml:space="preserve"> </w:t>
      </w:r>
      <w:r>
        <w:t xml:space="preserve">regions (above).</w:t>
      </w:r>
    </w:p>
    <w:bookmarkEnd w:id="21"/>
    <w:bookmarkStart w:id="22" w:name="s1.4-predictor-window-closure"/>
    <w:p>
      <w:pPr>
        <w:pStyle w:val="Heading2"/>
      </w:pPr>
      <w:r>
        <w:t xml:space="preserve">S1.4 Predictor-window closure</w:t>
      </w:r>
    </w:p>
    <w:p>
      <w:pPr>
        <w:pStyle w:val="FirstParagraph"/>
      </w:pPr>
      <w:r>
        <w:t xml:space="preserve">The predictor window was closed 7 and 14 days earlier in all five</w:t>
      </w:r>
      <w:r>
        <w:t xml:space="preserve"> </w:t>
      </w:r>
      <w:r>
        <w:t xml:space="preserve">regions. The thermal contribution stays positive and bootstrap-supported everywhere. The direction</w:t>
      </w:r>
      <w:r>
        <w:t xml:space="preserve"> </w:t>
      </w:r>
      <w:r>
        <w:t xml:space="preserve">of the change is region-specific. It strengthens in Bejís, from 0.058 to 0.079 at 14 days, and in</w:t>
      </w:r>
      <w:r>
        <w:t xml:space="preserve"> </w:t>
      </w:r>
      <w:r>
        <w:t xml:space="preserve">Muğla, from 0.115 to 0.128. It is flat in Montiferru. It weakens monotonically in Evia, from 0.156</w:t>
      </w:r>
      <w:r>
        <w:t xml:space="preserve"> </w:t>
      </w:r>
      <w:r>
        <w:t xml:space="preserve">to 0.149 to 0.135. What holds in every region is survival, not improvement. That is the claim carried</w:t>
      </w:r>
      <w:r>
        <w:t xml:space="preserve"> </w:t>
      </w:r>
      <w:r>
        <w:t xml:space="preserve">in Section 5.2.</w:t>
      </w:r>
    </w:p>
    <w:bookmarkEnd w:id="22"/>
    <w:bookmarkStart w:id="23" w:name="Xb31371a0e73746980f1ed2a04bbe2b0db31837c"/>
    <w:p>
      <w:pPr>
        <w:pStyle w:val="Heading2"/>
      </w:pPr>
      <w:r>
        <w:t xml:space="preserve">S1.5 Quality screening of the coarse thermal input</w:t>
      </w:r>
    </w:p>
    <w:p>
      <w:pPr>
        <w:pStyle w:val="FirstParagraph"/>
      </w:pPr>
      <w:r>
        <w:t xml:space="preserve">Two of the five regions’ MODIS inputs are</w:t>
      </w:r>
      <w:r>
        <w:t xml:space="preserve"> </w:t>
      </w:r>
      <w:r>
        <w:t xml:space="preserve">quality-screened and three are not. The split follows export date rather than design, and it induces</w:t>
      </w:r>
      <w:r>
        <w:t xml:space="preserve"> </w:t>
      </w:r>
      <w:r>
        <w:t xml:space="preserve">an elevation-correlated change at the input, at r = +0.615 in Manavgat. On 14 August 2026, under</w:t>
      </w:r>
      <w:r>
        <w:t xml:space="preserve"> </w:t>
      </w:r>
      <w:r>
        <w:t xml:space="preserve">the frozen label, Manavgat’s downstream chain was rebuilt from a quality-screened input. That changes</w:t>
      </w:r>
      <w:r>
        <w:t xml:space="preserve"> </w:t>
      </w:r>
      <w:r>
        <w:t xml:space="preserve">the downscaled surface on 22,304 of 24,150 cells, by up to 10.9 °C. No signed univariate association</w:t>
      </w:r>
      <w:r>
        <w:t xml:space="preserve"> </w:t>
      </w:r>
      <w:r>
        <w:t xml:space="preserve">moved by more than +0.0003. Elevation was identical in both arms, at 0.374, the population was</w:t>
      </w:r>
      <w:r>
        <w:t xml:space="preserve"> </w:t>
      </w:r>
      <w:r>
        <w:t xml:space="preserve">unchanged, and the within-region increment moved from [+0.055, +0.079] to [+0.054, +0.077]. The</w:t>
      </w:r>
      <w:r>
        <w:t xml:space="preserve"> </w:t>
      </w:r>
      <w:r>
        <w:t xml:space="preserve">description of that run as rebuilding both arms with the same code was almost certainly inaccurate:</w:t>
      </w:r>
      <w:r>
        <w:t xml:space="preserve"> </w:t>
      </w:r>
      <w:r>
        <w:t xml:space="preserve">the current step7 refuses the unscreened raster, so the unscreened arm ran the step7 of export time</w:t>
      </w:r>
      <w:r>
        <w:t xml:space="preserve"> </w:t>
      </w:r>
      <w:r>
        <w:t xml:space="preserve">and the two arms differed in code version as well as in screening (Section 3.4). Its Muğla arm was</w:t>
      </w:r>
      <w:r>
        <w:t xml:space="preserve"> </w:t>
      </w:r>
      <w:r>
        <w:t xml:space="preserve">not re-examined. On the corrected label the comparison is reported in Section 3.4. The reason is structural.</w:t>
      </w:r>
      <w:r>
        <w:t xml:space="preserve"> </w:t>
      </w:r>
      <w:r>
        <w:t xml:space="preserve">Elevation is a DEM variable the screening cannot touch, and fusion falls back on the MODIS-derived</w:t>
      </w:r>
      <w:r>
        <w:t xml:space="preserve"> </w:t>
      </w:r>
      <w:r>
        <w:t xml:space="preserve">surface across only 2.14 percentage points of coverage. Details are in</w:t>
      </w:r>
      <w:r>
        <w:t xml:space="preserve"> </w:t>
      </w:r>
      <w:r>
        <w:rPr>
          <w:rStyle w:val="VerbatimChar"/>
        </w:rPr>
        <w:t xml:space="preserve">paper/modis_qc_downstream_propagation.md</w:t>
      </w:r>
      <w:r>
        <w:t xml:space="preserve">.</w:t>
      </w:r>
    </w:p>
    <w:p>
      <w:pPr>
        <w:pStyle w:val="BodyText"/>
      </w:pPr>
      <w:r>
        <w:rPr>
          <w:b/>
          <w:bCs/>
        </w:rPr>
        <w:t xml:space="preserve">Quality screening, and a correction (moved from Methods 3.4).</w:t>
      </w:r>
      <w:r>
        <w:t xml:space="preserve"> </w:t>
      </w:r>
      <w:r>
        <w:t xml:space="preserve">The MODIS surface temperature</w:t>
      </w:r>
      <w:r>
        <w:t xml:space="preserve"> </w:t>
      </w:r>
      <w:r>
        <w:t xml:space="preserve">behind the downscaled and fused channels entered Manavgat’s frozen export unscreened. Section S1.5</w:t>
      </w:r>
      <w:r>
        <w:t xml:space="preserve"> </w:t>
      </w:r>
      <w:r>
        <w:t xml:space="preserve">compares that arm with a screened one on the corrected label. The current pipeline’s step7 refuses</w:t>
      </w:r>
      <w:r>
        <w:t xml:space="preserve"> </w:t>
      </w:r>
      <w:r>
        <w:t xml:space="preserve">the unscreened raster, because it carries no nodata tag and 8.1 % exact zeros. The unscreened arm</w:t>
      </w:r>
      <w:r>
        <w:t xml:space="preserve"> </w:t>
      </w:r>
      <w:r>
        <w:t xml:space="preserve">therefore runs the step7 of export time and the screened arm the current one, so the two differ in</w:t>
      </w:r>
      <w:r>
        <w:t xml:space="preserve"> </w:t>
      </w:r>
      <w:r>
        <w:t xml:space="preserve">code version as well as in screening. The earlier version of this comparison, run on 14 August</w:t>
      </w:r>
      <w:r>
        <w:t xml:space="preserve"> </w:t>
      </w:r>
      <w:r>
        <w:t xml:space="preserve">2026, described both arms as rebuilt with the same code. That was almost certainly inaccurate: its</w:t>
      </w:r>
      <w:r>
        <w:t xml:space="preserve"> </w:t>
      </w:r>
      <w:r>
        <w:t xml:space="preserve">unscreened arm would have met the same refusal, and its signed AUCs equal the frozen ones. Its Muğla</w:t>
      </w:r>
      <w:r>
        <w:t xml:space="preserve"> </w:t>
      </w:r>
      <w:r>
        <w:t xml:space="preserve">arm was not re-examined. The result does not change. Elevation stays at 0.232, no other signed AUC</w:t>
      </w:r>
      <w:r>
        <w:t xml:space="preserve"> </w:t>
      </w:r>
      <w:r>
        <w:t xml:space="preserve">moves by more than 0.005 (downscaled LST, −0.0044), and the within-region increment moves from</w:t>
      </w:r>
      <w:r>
        <w:t xml:space="preserve"> </w:t>
      </w:r>
      <w:r>
        <w:t xml:space="preserve">+0.067 to +0.068 (Section S3.5(xii)).</w:t>
      </w:r>
    </w:p>
    <w:bookmarkEnd w:id="23"/>
    <w:bookmarkStart w:id="24" w:name="Xc4eb51a8c31e4bfcde187f0d8fda56fadb377ed"/>
    <w:p>
      <w:pPr>
        <w:pStyle w:val="Heading2"/>
      </w:pPr>
      <w:r>
        <w:t xml:space="preserve">S1.6 Normalised against absolute dryness channels</w:t>
      </w:r>
    </w:p>
    <w:p>
      <w:pPr>
        <w:pStyle w:val="FirstParagraph"/>
      </w:pPr>
      <w:r>
        <w:t xml:space="preserve">Section 1.2 argues that an internally</w:t>
      </w:r>
      <w:r>
        <w:t xml:space="preserve"> </w:t>
      </w:r>
      <w:r>
        <w:t xml:space="preserve">normalised index should be less exposed to absolute-temperature offsets between regions than raw</w:t>
      </w:r>
      <w:r>
        <w:t xml:space="preserve"> </w:t>
      </w:r>
      <w:r>
        <w:t xml:space="preserve">land surface temperature. The thermal block contains both kinds, so the argument can be tested</w:t>
      </w:r>
      <w:r>
        <w:t xml:space="preserve"> </w:t>
      </w:r>
      <w:r>
        <w:t xml:space="preserve">directly as a feature-set contrast.</w:t>
      </w:r>
    </w:p>
    <w:p>
      <w:pPr>
        <w:pStyle w:val="BodyText"/>
      </w:pPr>
      <w:r>
        <w:t xml:space="preserve">One thing should be said before the result, because it makes the outcome less surprising than it</w:t>
      </w:r>
      <w:r>
        <w:t xml:space="preserve"> </w:t>
      </w:r>
      <w:r>
        <w:t xml:space="preserve">might otherwise appear. The normalised channels are the two that hold their direction in the</w:t>
      </w:r>
      <w:r>
        <w:t xml:space="preserve"> </w:t>
      </w:r>
      <w:r>
        <w:t xml:space="preserve">same-geography two-event comparison of Section S1.13, where the absolute channels move. That is a</w:t>
      </w:r>
      <w:r>
        <w:t xml:space="preserve"> </w:t>
      </w:r>
      <w:r>
        <w:t xml:space="preserve">statement about one region across two fires.</w:t>
      </w:r>
      <w:r>
        <w:t xml:space="preserve"> </w:t>
      </w:r>
      <w:r>
        <w:rPr>
          <w:b/>
          <w:bCs/>
        </w:rPr>
        <w:t xml:space="preserve">Across regions it does not hold</w:t>
      </w:r>
      <w:r>
        <w:t xml:space="preserve">:</w:t>
      </w:r>
      <w:r>
        <w:t xml:space="preserve"> </w:t>
      </w:r>
      <w:r>
        <w:rPr>
          <w:rStyle w:val="VerbatimChar"/>
        </w:rPr>
        <w:t xml:space="preserve">lst_anomaly_mean</w:t>
      </w:r>
      <w:r>
        <w:t xml:space="preserve"> </w:t>
      </w:r>
      <w:r>
        <w:t xml:space="preserve">is itself one of the seven predictors whose reversal is bootstrap-supported on the frames as drawn</w:t>
      </w:r>
      <w:r>
        <w:t xml:space="preserve"> </w:t>
      </w:r>
      <w:r>
        <w:t xml:space="preserve">(Table S10),</w:t>
      </w:r>
      <w:r>
        <w:t xml:space="preserve"> </w:t>
      </w:r>
      <w:r>
        <w:t xml:space="preserve">reversing between Bejís and Evia (Section 4.4 withdraws that support under an equalised frame),</w:t>
      </w:r>
      <w:r>
        <w:t xml:space="preserve"> </w:t>
      </w:r>
      <w:r>
        <w:t xml:space="preserve">which is why Section S1.14 drops it alongside elevation. Being internally normalised protects a</w:t>
      </w:r>
      <w:r>
        <w:t xml:space="preserve"> </w:t>
      </w:r>
      <w:r>
        <w:t xml:space="preserve">channel against the offset between two seasons in one place. It does not, on this evidence, protect</w:t>
      </w:r>
      <w:r>
        <w:t xml:space="preserve"> </w:t>
      </w:r>
      <w:r>
        <w:t xml:space="preserve">it against a change of place.</w:t>
      </w:r>
    </w:p>
    <w:p>
      <w:pPr>
        <w:pStyle w:val="BodyText"/>
      </w:pPr>
      <w:r>
        <w:t xml:space="preserve">Three feature sets were run over all twenty directions and all five within-region folds, with the</w:t>
      </w:r>
      <w:r>
        <w:t xml:space="preserve"> </w:t>
      </w:r>
      <w:r>
        <w:t xml:space="preserve">classifier, population, folds and bootstrap held fixed. The harness aborts unless its reference</w:t>
      </w:r>
      <w:r>
        <w:t xml:space="preserve"> </w:t>
      </w:r>
      <w:r>
        <w:t xml:space="preserve">configuration lands on the re-frozen exports (corrected Manavgat label). It did exactly: the maximum</w:t>
      </w:r>
      <w:r>
        <w:t xml:space="preserve"> </w:t>
      </w:r>
      <w:r>
        <w:t xml:space="preserve">absolute difference between the reference arm and the step9b transfer AUCs is 0.000000 across all</w:t>
      </w:r>
      <w:r>
        <w:t xml:space="preserve"> </w:t>
      </w:r>
      <w:r>
        <w:t xml:space="preserve">twenty directions (</w:t>
      </w:r>
      <w:r>
        <w:rPr>
          <w:rStyle w:val="VerbatimChar"/>
        </w:rPr>
        <w:t xml:space="preserve">paper/labelfix_rerun/round3/no_coord_channels.json</w:t>
      </w:r>
      <w:r>
        <w:t xml:space="preserve">).</w:t>
      </w:r>
    </w:p>
    <w:tbl>
      <w:tblPr>
        <w:tblStyle w:val="Table"/>
        <w:tblW w:type="auto" w:w="0"/>
        <w:tblLook w:firstRow="1" w:lastRow="0" w:firstColumn="0" w:lastColumn="0" w:noHBand="0" w:noVBand="0" w:val="0020"/>
      </w:tblPr>
      <w:tblGrid>
        <w:gridCol w:w="3401"/>
        <w:gridCol w:w="1752"/>
        <w:gridCol w:w="1649"/>
        <w:gridCol w:w="2268"/>
      </w:tblGrid>
      <w:tr>
        <w:trPr>
          <w:tblHeader w:val="on"/>
        </w:trPr>
        <w:tc>
          <w:tcPr>
            <w:tcW w:type="dxa" w:w="3401"/>
          </w:tcPr>
          <w:p>
            <w:pPr>
              <w:pStyle w:val="Compact"/>
            </w:pPr>
            <w:r>
              <w:t xml:space="preserve">Feature set</w:t>
            </w:r>
          </w:p>
        </w:tc>
        <w:tc>
          <w:tcPr>
            <w:tcW w:type="dxa" w:w="1752"/>
          </w:tcPr>
          <w:p>
            <w:pPr>
              <w:pStyle w:val="Compact"/>
              <w:jc w:val="right"/>
            </w:pPr>
            <w:r>
              <w:t xml:space="preserve">Mean transfer AUC</w:t>
            </w:r>
          </w:p>
        </w:tc>
        <w:tc>
          <w:tcPr>
            <w:tcW w:type="dxa" w:w="1649"/>
          </w:tcPr>
          <w:p>
            <w:pPr>
              <w:pStyle w:val="Compact"/>
              <w:jc w:val="right"/>
            </w:pPr>
            <w:r>
              <w:t xml:space="preserve">Directions &gt; 0.5</w:t>
            </w:r>
          </w:p>
        </w:tc>
        <w:tc>
          <w:tcPr>
            <w:tcW w:type="dxa" w:w="2268"/>
          </w:tcPr>
          <w:p>
            <w:pPr>
              <w:pStyle w:val="Compact"/>
              <w:jc w:val="right"/>
            </w:pPr>
            <w:r>
              <w:t xml:space="preserve">Mean within-region AUC</w:t>
            </w:r>
          </w:p>
        </w:tc>
      </w:tr>
      <w:tr>
        <w:tc>
          <w:tcPr>
            <w:tcW w:type="dxa" w:w="3401"/>
          </w:tcPr>
          <w:p>
            <w:pPr>
              <w:pStyle w:val="Compact"/>
            </w:pPr>
            <w:r>
              <w:t xml:space="preserve">baseline only</w:t>
            </w:r>
          </w:p>
        </w:tc>
        <w:tc>
          <w:tcPr>
            <w:tcW w:type="dxa" w:w="1752"/>
          </w:tcPr>
          <w:p>
            <w:pPr>
              <w:pStyle w:val="Compact"/>
              <w:jc w:val="right"/>
            </w:pPr>
            <w:r>
              <w:t xml:space="preserve">0.5194</w:t>
            </w:r>
          </w:p>
        </w:tc>
        <w:tc>
          <w:tcPr>
            <w:tcW w:type="dxa" w:w="1649"/>
          </w:tcPr>
          <w:p>
            <w:pPr>
              <w:pStyle w:val="Compact"/>
              <w:jc w:val="right"/>
            </w:pPr>
            <w:r>
              <w:t xml:space="preserve">13</w:t>
            </w:r>
          </w:p>
        </w:tc>
        <w:tc>
          <w:tcPr>
            <w:tcW w:type="dxa" w:w="2268"/>
          </w:tcPr>
          <w:p>
            <w:pPr>
              <w:pStyle w:val="Compact"/>
              <w:jc w:val="right"/>
            </w:pPr>
            <w:r>
              <w:t xml:space="preserve">0.7973</w:t>
            </w:r>
          </w:p>
        </w:tc>
      </w:tr>
      <w:tr>
        <w:tc>
          <w:tcPr>
            <w:tcW w:type="dxa" w:w="3401"/>
          </w:tcPr>
          <w:p>
            <w:pPr>
              <w:pStyle w:val="Compact"/>
            </w:pPr>
            <w:r>
              <w:t xml:space="preserve">baseline + normalised anomalies</w:t>
            </w:r>
          </w:p>
        </w:tc>
        <w:tc>
          <w:tcPr>
            <w:tcW w:type="dxa" w:w="1752"/>
          </w:tcPr>
          <w:p>
            <w:pPr>
              <w:pStyle w:val="Compact"/>
              <w:jc w:val="right"/>
            </w:pPr>
            <w:r>
              <w:t xml:space="preserve">0.5245</w:t>
            </w:r>
          </w:p>
        </w:tc>
        <w:tc>
          <w:tcPr>
            <w:tcW w:type="dxa" w:w="1649"/>
          </w:tcPr>
          <w:p>
            <w:pPr>
              <w:pStyle w:val="Compact"/>
              <w:jc w:val="right"/>
            </w:pPr>
            <w:r>
              <w:t xml:space="preserve">14</w:t>
            </w:r>
          </w:p>
        </w:tc>
        <w:tc>
          <w:tcPr>
            <w:tcW w:type="dxa" w:w="2268"/>
          </w:tcPr>
          <w:p>
            <w:pPr>
              <w:pStyle w:val="Compact"/>
              <w:jc w:val="right"/>
            </w:pPr>
            <w:r>
              <w:t xml:space="preserve">0.8621</w:t>
            </w:r>
          </w:p>
        </w:tc>
      </w:tr>
      <w:tr>
        <w:tc>
          <w:tcPr>
            <w:tcW w:type="dxa" w:w="3401"/>
          </w:tcPr>
          <w:p>
            <w:pPr>
              <w:pStyle w:val="Compact"/>
            </w:pPr>
            <w:r>
              <w:t xml:space="preserve">baseline + absolute surface state</w:t>
            </w:r>
          </w:p>
        </w:tc>
        <w:tc>
          <w:tcPr>
            <w:tcW w:type="dxa" w:w="1752"/>
          </w:tcPr>
          <w:p>
            <w:pPr>
              <w:pStyle w:val="Compact"/>
              <w:jc w:val="right"/>
            </w:pPr>
            <w:r>
              <w:t xml:space="preserve">0.5308</w:t>
            </w:r>
          </w:p>
        </w:tc>
        <w:tc>
          <w:tcPr>
            <w:tcW w:type="dxa" w:w="1649"/>
          </w:tcPr>
          <w:p>
            <w:pPr>
              <w:pStyle w:val="Compact"/>
              <w:jc w:val="right"/>
            </w:pPr>
            <w:r>
              <w:t xml:space="preserve">13</w:t>
            </w:r>
          </w:p>
        </w:tc>
        <w:tc>
          <w:tcPr>
            <w:tcW w:type="dxa" w:w="2268"/>
          </w:tcPr>
          <w:p>
            <w:pPr>
              <w:pStyle w:val="Compact"/>
              <w:jc w:val="right"/>
            </w:pPr>
            <w:r>
              <w:t xml:space="preserve">0.8641</w:t>
            </w:r>
          </w:p>
        </w:tc>
      </w:tr>
      <w:tr>
        <w:tc>
          <w:tcPr>
            <w:tcW w:type="dxa" w:w="3401"/>
          </w:tcPr>
          <w:p>
            <w:pPr>
              <w:pStyle w:val="Compact"/>
            </w:pPr>
            <w:r>
              <w:t xml:space="preserve">all ten features (reference)</w:t>
            </w:r>
          </w:p>
        </w:tc>
        <w:tc>
          <w:tcPr>
            <w:tcW w:type="dxa" w:w="1752"/>
          </w:tcPr>
          <w:p>
            <w:pPr>
              <w:pStyle w:val="Compact"/>
              <w:jc w:val="right"/>
            </w:pPr>
            <w:r>
              <w:t xml:space="preserve">0.5267</w:t>
            </w:r>
          </w:p>
        </w:tc>
        <w:tc>
          <w:tcPr>
            <w:tcW w:type="dxa" w:w="1649"/>
          </w:tcPr>
          <w:p>
            <w:pPr>
              <w:pStyle w:val="Compact"/>
              <w:jc w:val="right"/>
            </w:pPr>
            <w:r>
              <w:t xml:space="preserve">13</w:t>
            </w:r>
          </w:p>
        </w:tc>
        <w:tc>
          <w:tcPr>
            <w:tcW w:type="dxa" w:w="2268"/>
          </w:tcPr>
          <w:p>
            <w:pPr>
              <w:pStyle w:val="Compact"/>
              <w:jc w:val="right"/>
            </w:pPr>
            <w:r>
              <w:t xml:space="preserve">0.8959</w:t>
            </w:r>
          </w:p>
        </w:tc>
      </w:tr>
    </w:tbl>
    <w:p>
      <w:pPr>
        <w:pStyle w:val="BodyText"/>
      </w:pPr>
      <w:r>
        <w:rPr>
          <w:b/>
          <w:bCs/>
        </w:rPr>
        <w:t xml:space="preserve">The advantage is not found.</w:t>
      </w:r>
      <w:r>
        <w:t xml:space="preserve"> </w:t>
      </w:r>
      <w:r>
        <w:t xml:space="preserve">Per direction, the normalised set minus the absolute set has a mean</w:t>
      </w:r>
      <w:r>
        <w:t xml:space="preserve"> </w:t>
      </w:r>
      <w:r>
        <w:t xml:space="preserve">of −0.0063. It is positive in 11 of 20 directions and runs from −0.099 to +0.087, so the spread is an</w:t>
      </w:r>
      <w:r>
        <w:t xml:space="preserve"> </w:t>
      </w:r>
      <w:r>
        <w:t xml:space="preserve">order of magnitude larger than the difference. The normalised channels transfer very slightly worse</w:t>
      </w:r>
      <w:r>
        <w:t xml:space="preserve"> </w:t>
      </w:r>
      <w:r>
        <w:t xml:space="preserve">at the mean, and nothing here supports a design rule favouring anomaly-referenced dryness for</w:t>
      </w:r>
      <w:r>
        <w:t xml:space="preserve"> </w:t>
      </w:r>
      <w:r>
        <w:t xml:space="preserve">portability.</w:t>
      </w:r>
    </w:p>
    <w:p>
      <w:pPr>
        <w:pStyle w:val="BodyText"/>
      </w:pPr>
      <w:r>
        <w:t xml:space="preserve">Within region the two sub-blocks are indistinguishable, at 0.8621 and 0.8641, and each recovers most</w:t>
      </w:r>
      <w:r>
        <w:t xml:space="preserve"> </w:t>
      </w:r>
      <w:r>
        <w:t xml:space="preserve">of the gap between the baseline’s 0.7973 and the full model’s 0.8959. What separates them in sign</w:t>
      </w:r>
      <w:r>
        <w:t xml:space="preserve"> </w:t>
      </w:r>
      <w:r>
        <w:t xml:space="preserve">stability does not become transferable skill.</w:t>
      </w:r>
    </w:p>
    <w:p>
      <w:pPr>
        <w:pStyle w:val="BodyText"/>
      </w:pPr>
      <w:r>
        <w:t xml:space="preserve">This arm strengthens the negative finding rather than softening it. Four differently constituted</w:t>
      </w:r>
      <w:r>
        <w:t xml:space="preserve"> </w:t>
      </w:r>
      <w:r>
        <w:t xml:space="preserve">feature sets were tried. None clears a mean of 0.531 across regions, and all differ sharply within</w:t>
      </w:r>
      <w:r>
        <w:t xml:space="preserve"> </w:t>
      </w:r>
      <w:r>
        <w:t xml:space="preserve">them. The baseline arm also gives an independent confirmation of the control reported in</w:t>
      </w:r>
      <w:r>
        <w:t xml:space="preserve"> </w:t>
      </w:r>
      <w:r>
        <w:t xml:space="preserve">Section 4.5: its mean transfer of 0.5194 was recomputed here from the modelling datasets and matches</w:t>
      </w:r>
      <w:r>
        <w:t xml:space="preserve"> </w:t>
      </w:r>
      <w:r>
        <w:t xml:space="preserve">the 0.519 of the re-frozen per-direction export. Details are in</w:t>
      </w:r>
      <w:r>
        <w:t xml:space="preserve"> </w:t>
      </w:r>
      <w:r>
        <w:rPr>
          <w:rStyle w:val="VerbatimChar"/>
        </w:rPr>
        <w:t xml:space="preserve">paper/anomaly_only_transfer.md</w:t>
      </w:r>
      <w:r>
        <w:t xml:space="preserve">.</w:t>
      </w:r>
    </w:p>
    <w:p>
      <w:pPr>
        <w:pStyle w:val="BodyText"/>
      </w:pPr>
      <w:r>
        <w:t xml:space="preserve">The comparison is between two sub-blocks of one thermal set on one cohort. It does not test</w:t>
      </w:r>
      <w:r>
        <w:t xml:space="preserve"> </w:t>
      </w:r>
      <w:r>
        <w:t xml:space="preserve">normalised dryness indices in general, and it does not test a normalisation fitted against a pooled</w:t>
      </w:r>
      <w:r>
        <w:t xml:space="preserve"> </w:t>
      </w:r>
      <w:r>
        <w:t xml:space="preserve">multi-region reference rather than each region’s own baseline years.</w:t>
      </w:r>
    </w:p>
    <w:bookmarkEnd w:id="24"/>
    <w:bookmarkStart w:id="25" w:name="s1.7-the-coordinate-informed-channels"/>
    <w:p>
      <w:pPr>
        <w:pStyle w:val="Heading2"/>
      </w:pPr>
      <w:r>
        <w:t xml:space="preserve">S1.7 The coordinate-informed channels</w:t>
      </w:r>
    </w:p>
    <w:p>
      <w:pPr>
        <w:pStyle w:val="FirstParagraph"/>
      </w:pPr>
      <w:r>
        <w:rPr>
          <w:rStyle w:val="VerbatimChar"/>
        </w:rPr>
        <w:t xml:space="preserve">downscaled_lst_mean</w:t>
      </w:r>
      <w:r>
        <w:t xml:space="preserve"> </w:t>
      </w:r>
      <w:r>
        <w:t xml:space="preserve">and</w:t>
      </w:r>
      <w:r>
        <w:t xml:space="preserve"> </w:t>
      </w:r>
      <w:r>
        <w:rPr>
          <w:rStyle w:val="VerbatimChar"/>
        </w:rPr>
        <w:t xml:space="preserve">fused_lst_mean</w:t>
      </w:r>
      <w:r>
        <w:t xml:space="preserve"> </w:t>
      </w:r>
      <w:r>
        <w:t xml:space="preserve">come from a</w:t>
      </w:r>
      <w:r>
        <w:t xml:space="preserve"> </w:t>
      </w:r>
      <w:r>
        <w:t xml:space="preserve">per-region downscaling model whose own inputs include coordinates, which Section 3.13 names as the</w:t>
      </w:r>
      <w:r>
        <w:t xml:space="preserve"> </w:t>
      </w:r>
      <w:r>
        <w:t xml:space="preserve">one route by which a coordinate-derived surface re-enters a feature set that excludes coordinates. A</w:t>
      </w:r>
      <w:r>
        <w:t xml:space="preserve"> </w:t>
      </w:r>
      <w:r>
        <w:t xml:space="preserve">coordinate-smoothed surface is by construction locally informative and non-portable, so if the</w:t>
      </w:r>
      <w:r>
        <w:t xml:space="preserve"> </w:t>
      </w:r>
      <w:r>
        <w:t xml:space="preserve">within-region increment depended on it, that increment would be this paper’s own result in</w:t>
      </w:r>
      <w:r>
        <w:t xml:space="preserve"> </w:t>
      </w:r>
      <w:r>
        <w:t xml:space="preserve">miniature rather than a finding about thermal dryness. The arm was therefore run here rather than</w:t>
      </w:r>
      <w:r>
        <w:t xml:space="preserve"> </w:t>
      </w:r>
      <w:r>
        <w:t xml:space="preserve">deferred.</w:t>
      </w:r>
    </w:p>
    <w:p>
      <w:pPr>
        <w:pStyle w:val="BodyText"/>
      </w:pPr>
      <w:r>
        <w:t xml:space="preserve">Both channels were dropped and everything refitted, over all twenty directions and all five</w:t>
      </w:r>
      <w:r>
        <w:t xml:space="preserve"> </w:t>
      </w:r>
      <w:r>
        <w:t xml:space="preserve">within-region folds. The reference configuration reproduces the frozen exports exactly, at</w:t>
      </w:r>
      <w:r>
        <w:t xml:space="preserve"> </w:t>
      </w:r>
      <w:r>
        <w:t xml:space="preserve">0.000000 against both the transfer and the within-region references.</w:t>
      </w:r>
    </w:p>
    <w:tbl>
      <w:tblPr>
        <w:tblStyle w:val="Table"/>
        <w:tblW w:type="auto" w:w="0"/>
        <w:tblLook w:firstRow="1" w:lastRow="0" w:firstColumn="0" w:lastColumn="0" w:noHBand="0" w:noVBand="0" w:val="0020"/>
      </w:tblPr>
      <w:tblGrid>
        <w:gridCol w:w="1790"/>
        <w:gridCol w:w="2268"/>
        <w:gridCol w:w="4058"/>
        <w:gridCol w:w="955"/>
      </w:tblGrid>
      <w:tr>
        <w:trPr>
          <w:tblHeader w:val="on"/>
        </w:trPr>
        <w:tc>
          <w:tcPr>
            <w:tcW w:type="dxa" w:w="1790"/>
          </w:tcPr>
          <w:p>
            <w:pPr>
              <w:pStyle w:val="Compact"/>
            </w:pPr>
            <w:r>
              <w:t xml:space="preserve">Region</w:t>
            </w:r>
          </w:p>
        </w:tc>
        <w:tc>
          <w:tcPr>
            <w:tcW w:type="dxa" w:w="2268"/>
          </w:tcPr>
          <w:p>
            <w:pPr>
              <w:pStyle w:val="Compact"/>
              <w:jc w:val="right"/>
            </w:pPr>
            <w:r>
              <w:t xml:space="preserve">Increment, full set</w:t>
            </w:r>
          </w:p>
        </w:tc>
        <w:tc>
          <w:tcPr>
            <w:tcW w:type="dxa" w:w="4058"/>
          </w:tcPr>
          <w:p>
            <w:pPr>
              <w:pStyle w:val="Compact"/>
              <w:jc w:val="right"/>
            </w:pPr>
            <w:r>
              <w:t xml:space="preserve">Increment without the two channels</w:t>
            </w:r>
          </w:p>
        </w:tc>
        <w:tc>
          <w:tcPr>
            <w:tcW w:type="dxa" w:w="955"/>
          </w:tcPr>
          <w:p>
            <w:pPr>
              <w:pStyle w:val="Compact"/>
              <w:jc w:val="right"/>
            </w:pPr>
            <w:r>
              <w:t xml:space="preserve">Retained</w:t>
            </w:r>
          </w:p>
        </w:tc>
      </w:tr>
      <w:tr>
        <w:tc>
          <w:tcPr>
            <w:tcW w:type="dxa" w:w="1790"/>
          </w:tcPr>
          <w:p>
            <w:pPr>
              <w:pStyle w:val="Compact"/>
            </w:pPr>
            <w:r>
              <w:t xml:space="preserve">Manavgat 2021</w:t>
            </w:r>
          </w:p>
        </w:tc>
        <w:tc>
          <w:tcPr>
            <w:tcW w:type="dxa" w:w="2268"/>
          </w:tcPr>
          <w:p>
            <w:pPr>
              <w:pStyle w:val="Compact"/>
              <w:jc w:val="right"/>
            </w:pPr>
            <w:r>
              <w:t xml:space="preserve">+0.067</w:t>
            </w:r>
          </w:p>
        </w:tc>
        <w:tc>
          <w:tcPr>
            <w:tcW w:type="dxa" w:w="4058"/>
          </w:tcPr>
          <w:p>
            <w:pPr>
              <w:pStyle w:val="Compact"/>
              <w:jc w:val="right"/>
            </w:pPr>
            <w:r>
              <w:t xml:space="preserve">+0.063</w:t>
            </w:r>
          </w:p>
        </w:tc>
        <w:tc>
          <w:tcPr>
            <w:tcW w:type="dxa" w:w="955"/>
          </w:tcPr>
          <w:p>
            <w:pPr>
              <w:pStyle w:val="Compact"/>
              <w:jc w:val="right"/>
            </w:pPr>
            <w:r>
              <w:t xml:space="preserve">94 %</w:t>
            </w:r>
          </w:p>
        </w:tc>
      </w:tr>
      <w:tr>
        <w:tc>
          <w:tcPr>
            <w:tcW w:type="dxa" w:w="1790"/>
          </w:tcPr>
          <w:p>
            <w:pPr>
              <w:pStyle w:val="Compact"/>
            </w:pPr>
            <w:r>
              <w:t xml:space="preserve">Bejís 2022</w:t>
            </w:r>
          </w:p>
        </w:tc>
        <w:tc>
          <w:tcPr>
            <w:tcW w:type="dxa" w:w="2268"/>
          </w:tcPr>
          <w:p>
            <w:pPr>
              <w:pStyle w:val="Compact"/>
              <w:jc w:val="right"/>
            </w:pPr>
            <w:r>
              <w:t xml:space="preserve">+0.056</w:t>
            </w:r>
          </w:p>
        </w:tc>
        <w:tc>
          <w:tcPr>
            <w:tcW w:type="dxa" w:w="4058"/>
          </w:tcPr>
          <w:p>
            <w:pPr>
              <w:pStyle w:val="Compact"/>
              <w:jc w:val="right"/>
            </w:pPr>
            <w:r>
              <w:t xml:space="preserve">+0.046</w:t>
            </w:r>
          </w:p>
        </w:tc>
        <w:tc>
          <w:tcPr>
            <w:tcW w:type="dxa" w:w="955"/>
          </w:tcPr>
          <w:p>
            <w:pPr>
              <w:pStyle w:val="Compact"/>
              <w:jc w:val="right"/>
            </w:pPr>
            <w:r>
              <w:t xml:space="preserve">82 %</w:t>
            </w:r>
          </w:p>
        </w:tc>
      </w:tr>
      <w:tr>
        <w:tc>
          <w:tcPr>
            <w:tcW w:type="dxa" w:w="1790"/>
          </w:tcPr>
          <w:p>
            <w:pPr>
              <w:pStyle w:val="Compact"/>
            </w:pPr>
            <w:r>
              <w:t xml:space="preserve">Muğla 2021</w:t>
            </w:r>
          </w:p>
        </w:tc>
        <w:tc>
          <w:tcPr>
            <w:tcW w:type="dxa" w:w="2268"/>
          </w:tcPr>
          <w:p>
            <w:pPr>
              <w:pStyle w:val="Compact"/>
              <w:jc w:val="right"/>
            </w:pPr>
            <w:r>
              <w:t xml:space="preserve">+0.116</w:t>
            </w:r>
          </w:p>
        </w:tc>
        <w:tc>
          <w:tcPr>
            <w:tcW w:type="dxa" w:w="4058"/>
          </w:tcPr>
          <w:p>
            <w:pPr>
              <w:pStyle w:val="Compact"/>
              <w:jc w:val="right"/>
            </w:pPr>
            <w:r>
              <w:t xml:space="preserve">+0.097</w:t>
            </w:r>
          </w:p>
        </w:tc>
        <w:tc>
          <w:tcPr>
            <w:tcW w:type="dxa" w:w="955"/>
          </w:tcPr>
          <w:p>
            <w:pPr>
              <w:pStyle w:val="Compact"/>
              <w:jc w:val="right"/>
            </w:pPr>
            <w:r>
              <w:t xml:space="preserve">84 %</w:t>
            </w:r>
          </w:p>
        </w:tc>
      </w:tr>
      <w:tr>
        <w:tc>
          <w:tcPr>
            <w:tcW w:type="dxa" w:w="1790"/>
          </w:tcPr>
          <w:p>
            <w:pPr>
              <w:pStyle w:val="Compact"/>
            </w:pPr>
            <w:r>
              <w:t xml:space="preserve">North Evia 2021</w:t>
            </w:r>
          </w:p>
        </w:tc>
        <w:tc>
          <w:tcPr>
            <w:tcW w:type="dxa" w:w="2268"/>
          </w:tcPr>
          <w:p>
            <w:pPr>
              <w:pStyle w:val="Compact"/>
              <w:jc w:val="right"/>
            </w:pPr>
            <w:r>
              <w:t xml:space="preserve">+0.153</w:t>
            </w:r>
          </w:p>
        </w:tc>
        <w:tc>
          <w:tcPr>
            <w:tcW w:type="dxa" w:w="4058"/>
          </w:tcPr>
          <w:p>
            <w:pPr>
              <w:pStyle w:val="Compact"/>
              <w:jc w:val="right"/>
            </w:pPr>
            <w:r>
              <w:t xml:space="preserve">+0.145</w:t>
            </w:r>
          </w:p>
        </w:tc>
        <w:tc>
          <w:tcPr>
            <w:tcW w:type="dxa" w:w="955"/>
          </w:tcPr>
          <w:p>
            <w:pPr>
              <w:pStyle w:val="Compact"/>
              <w:jc w:val="right"/>
            </w:pPr>
            <w:r>
              <w:t xml:space="preserve">94 %</w:t>
            </w:r>
          </w:p>
        </w:tc>
      </w:tr>
      <w:tr>
        <w:tc>
          <w:tcPr>
            <w:tcW w:type="dxa" w:w="1790"/>
          </w:tcPr>
          <w:p>
            <w:pPr>
              <w:pStyle w:val="Compact"/>
            </w:pPr>
            <w:r>
              <w:t xml:space="preserve">Montiferru 2021</w:t>
            </w:r>
          </w:p>
        </w:tc>
        <w:tc>
          <w:tcPr>
            <w:tcW w:type="dxa" w:w="2268"/>
          </w:tcPr>
          <w:p>
            <w:pPr>
              <w:pStyle w:val="Compact"/>
              <w:jc w:val="right"/>
            </w:pPr>
            <w:r>
              <w:t xml:space="preserve">+0.101</w:t>
            </w:r>
          </w:p>
        </w:tc>
        <w:tc>
          <w:tcPr>
            <w:tcW w:type="dxa" w:w="4058"/>
          </w:tcPr>
          <w:p>
            <w:pPr>
              <w:pStyle w:val="Compact"/>
              <w:jc w:val="right"/>
            </w:pPr>
            <w:r>
              <w:t xml:space="preserve">+0.105</w:t>
            </w:r>
          </w:p>
        </w:tc>
        <w:tc>
          <w:tcPr>
            <w:tcW w:type="dxa" w:w="955"/>
          </w:tcPr>
          <w:p>
            <w:pPr>
              <w:pStyle w:val="Compact"/>
              <w:jc w:val="right"/>
            </w:pPr>
            <w:r>
              <w:t xml:space="preserve">103 %</w:t>
            </w:r>
          </w:p>
        </w:tc>
      </w:tr>
      <w:tr>
        <w:tc>
          <w:tcPr>
            <w:tcW w:type="dxa" w:w="1790"/>
          </w:tcPr>
          <w:p>
            <w:pPr>
              <w:pStyle w:val="Compact"/>
            </w:pPr>
            <w:r>
              <w:rPr>
                <w:b/>
                <w:bCs/>
              </w:rPr>
              <w:t xml:space="preserve">Mean</w:t>
            </w:r>
          </w:p>
        </w:tc>
        <w:tc>
          <w:tcPr>
            <w:tcW w:type="dxa" w:w="2268"/>
          </w:tcPr>
          <w:p>
            <w:pPr>
              <w:pStyle w:val="Compact"/>
              <w:jc w:val="right"/>
            </w:pPr>
            <w:r>
              <w:rPr>
                <w:b/>
                <w:bCs/>
              </w:rPr>
              <w:t xml:space="preserve">+0.099</w:t>
            </w:r>
          </w:p>
        </w:tc>
        <w:tc>
          <w:tcPr>
            <w:tcW w:type="dxa" w:w="4058"/>
          </w:tcPr>
          <w:p>
            <w:pPr>
              <w:pStyle w:val="Compact"/>
              <w:jc w:val="right"/>
            </w:pPr>
            <w:r>
              <w:rPr>
                <w:b/>
                <w:bCs/>
              </w:rPr>
              <w:t xml:space="preserve">+0.091</w:t>
            </w:r>
          </w:p>
        </w:tc>
        <w:tc>
          <w:tcPr>
            <w:tcW w:type="dxa" w:w="955"/>
          </w:tcPr>
          <w:p>
            <w:pPr>
              <w:pStyle w:val="Compact"/>
              <w:jc w:val="right"/>
            </w:pPr>
            <w:r>
              <w:rPr>
                <w:b/>
                <w:bCs/>
              </w:rPr>
              <w:t xml:space="preserve">92 %</w:t>
            </w:r>
          </w:p>
        </w:tc>
      </w:tr>
    </w:tbl>
    <w:p>
      <w:pPr>
        <w:pStyle w:val="BodyText"/>
      </w:pPr>
      <w:r>
        <w:rPr>
          <w:b/>
          <w:bCs/>
        </w:rPr>
        <w:t xml:space="preserve">The increment does not depend on them.</w:t>
      </w:r>
      <w:r>
        <w:t xml:space="preserve"> </w:t>
      </w:r>
      <w:r>
        <w:t xml:space="preserve">It stays positive in every region and retains 82 % to</w:t>
      </w:r>
      <w:r>
        <w:t xml:space="preserve"> </w:t>
      </w:r>
      <w:r>
        <w:t xml:space="preserve">103 % of its size, rising slightly in one region. Mean transfer is likewise unchanged, at 0.545</w:t>
      </w:r>
      <w:r>
        <w:t xml:space="preserve"> </w:t>
      </w:r>
      <w:r>
        <w:t xml:space="preserve">without the two channels against 0.541 with them and 0.537 for the baseline alone. The local skill</w:t>
      </w:r>
      <w:r>
        <w:t xml:space="preserve"> </w:t>
      </w:r>
      <w:r>
        <w:t xml:space="preserve">this paper reports is therefore not an artefact of a coordinate-smoothed surface.</w:t>
      </w:r>
    </w:p>
    <w:p>
      <w:pPr>
        <w:pStyle w:val="BodyText"/>
      </w:pPr>
      <w:r>
        <w:t xml:space="preserve">This arm was computed independently here and reproduces the companion paper’s figure for the same</w:t>
      </w:r>
      <w:r>
        <w:t xml:space="preserve"> </w:t>
      </w:r>
      <w:r>
        <w:t xml:space="preserve">quantity, 82 % to 103 %, from a separately written harness.</w:t>
      </w:r>
    </w:p>
    <w:bookmarkEnd w:id="25"/>
    <w:bookmarkStart w:id="26" w:name="s1.8-model-capacity"/>
    <w:p>
      <w:pPr>
        <w:pStyle w:val="Heading2"/>
      </w:pPr>
      <w:r>
        <w:t xml:space="preserve">S1.8 Model capacity</w:t>
      </w:r>
    </w:p>
    <w:p>
      <w:pPr>
        <w:pStyle w:val="FirstParagraph"/>
      </w:pPr>
      <w:r>
        <w:t xml:space="preserve">Every number in this paper comes from one random forest with unlimited</w:t>
      </w:r>
      <w:r>
        <w:t xml:space="preserve"> </w:t>
      </w:r>
      <w:r>
        <w:t xml:space="preserve">depth and</w:t>
      </w:r>
      <w:r>
        <w:t xml:space="preserve"> </w:t>
      </w:r>
      <w:r>
        <w:rPr>
          <w:rStyle w:val="VerbatimChar"/>
        </w:rPr>
        <w:t xml:space="preserve">min_samples_leaf = 3</w:t>
      </w:r>
      <w:r>
        <w:t xml:space="preserve">. That is the configuration most able to encode local structure and</w:t>
      </w:r>
      <w:r>
        <w:t xml:space="preserve"> </w:t>
      </w:r>
      <w:r>
        <w:t xml:space="preserve">least able to extrapolate, so a reader may reasonably ask whether the transfer failure is a property</w:t>
      </w:r>
      <w:r>
        <w:t xml:space="preserve"> </w:t>
      </w:r>
      <w:r>
        <w:t xml:space="preserve">of the predictors or of the estimator. Holding the model fixed is right for the internal comparisons</w:t>
      </w:r>
      <w:r>
        <w:t xml:space="preserve"> </w:t>
      </w:r>
      <w:r>
        <w:t xml:space="preserve">and does not license the external claim, so three further estimators were run over the same twenty</w:t>
      </w:r>
      <w:r>
        <w:t xml:space="preserve"> </w:t>
      </w:r>
      <w:r>
        <w:t xml:space="preserve">directions and the same five within-region folds.</w:t>
      </w:r>
    </w:p>
    <w:tbl>
      <w:tblPr>
        <w:tblStyle w:val="Table"/>
        <w:tblW w:type="auto" w:w="0"/>
        <w:tblLook w:firstRow="1" w:lastRow="0" w:firstColumn="0" w:lastColumn="0" w:noHBand="0" w:noVBand="0" w:val="0020"/>
      </w:tblPr>
      <w:tblGrid>
        <w:gridCol w:w="3050"/>
        <w:gridCol w:w="1365"/>
        <w:gridCol w:w="1284"/>
        <w:gridCol w:w="963"/>
        <w:gridCol w:w="1445"/>
        <w:gridCol w:w="963"/>
      </w:tblGrid>
      <w:tr>
        <w:trPr>
          <w:tblHeader w:val="on"/>
        </w:trPr>
        <w:tc>
          <w:tcPr>
            <w:tcW w:type="dxa" w:w="3050"/>
          </w:tcPr>
          <w:p>
            <w:pPr>
              <w:pStyle w:val="Compact"/>
            </w:pPr>
            <w:r>
              <w:t xml:space="preserve">Estimator</w:t>
            </w:r>
          </w:p>
        </w:tc>
        <w:tc>
          <w:tcPr>
            <w:tcW w:type="dxa" w:w="1365"/>
          </w:tcPr>
          <w:p>
            <w:pPr>
              <w:pStyle w:val="Compact"/>
              <w:jc w:val="right"/>
            </w:pPr>
            <w:r>
              <w:t xml:space="preserve">Within-region AUC</w:t>
            </w:r>
          </w:p>
        </w:tc>
        <w:tc>
          <w:tcPr>
            <w:tcW w:type="dxa" w:w="1284"/>
          </w:tcPr>
          <w:p>
            <w:pPr>
              <w:pStyle w:val="Compact"/>
              <w:jc w:val="right"/>
            </w:pPr>
            <w:r>
              <w:t xml:space="preserve">Within increment</w:t>
            </w:r>
          </w:p>
        </w:tc>
        <w:tc>
          <w:tcPr>
            <w:tcW w:type="dxa" w:w="963"/>
          </w:tcPr>
          <w:p>
            <w:pPr>
              <w:pStyle w:val="Compact"/>
              <w:jc w:val="right"/>
            </w:pPr>
            <w:r>
              <w:t xml:space="preserve">Transfer AUC</w:t>
            </w:r>
          </w:p>
        </w:tc>
        <w:tc>
          <w:tcPr>
            <w:tcW w:type="dxa" w:w="1445"/>
          </w:tcPr>
          <w:p>
            <w:pPr>
              <w:pStyle w:val="Compact"/>
              <w:jc w:val="right"/>
            </w:pPr>
            <w:r>
              <w:t xml:space="preserve">Transfer increment</w:t>
            </w:r>
          </w:p>
        </w:tc>
        <w:tc>
          <w:tcPr>
            <w:tcW w:type="dxa" w:w="963"/>
          </w:tcPr>
          <w:p>
            <w:pPr>
              <w:pStyle w:val="Compact"/>
              <w:jc w:val="right"/>
            </w:pPr>
            <w:r>
              <w:t xml:space="preserve">Above chance</w:t>
            </w:r>
          </w:p>
        </w:tc>
      </w:tr>
      <w:tr>
        <w:tc>
          <w:tcPr>
            <w:tcW w:type="dxa" w:w="3050"/>
          </w:tcPr>
          <w:p>
            <w:pPr>
              <w:pStyle w:val="Compact"/>
            </w:pPr>
            <w:r>
              <w:t xml:space="preserve">Random forest, depth unlimited, leaf 3</w:t>
            </w:r>
          </w:p>
        </w:tc>
        <w:tc>
          <w:tcPr>
            <w:tcW w:type="dxa" w:w="1365"/>
          </w:tcPr>
          <w:p>
            <w:pPr>
              <w:pStyle w:val="Compact"/>
              <w:jc w:val="right"/>
            </w:pPr>
            <w:r>
              <w:t xml:space="preserve">0.888</w:t>
            </w:r>
          </w:p>
        </w:tc>
        <w:tc>
          <w:tcPr>
            <w:tcW w:type="dxa" w:w="1284"/>
          </w:tcPr>
          <w:p>
            <w:pPr>
              <w:pStyle w:val="Compact"/>
              <w:jc w:val="right"/>
            </w:pPr>
            <w:r>
              <w:t xml:space="preserve">+0.099</w:t>
            </w:r>
          </w:p>
        </w:tc>
        <w:tc>
          <w:tcPr>
            <w:tcW w:type="dxa" w:w="963"/>
          </w:tcPr>
          <w:p>
            <w:pPr>
              <w:pStyle w:val="Compact"/>
              <w:jc w:val="right"/>
            </w:pPr>
            <w:r>
              <w:t xml:space="preserve">0.541</w:t>
            </w:r>
          </w:p>
        </w:tc>
        <w:tc>
          <w:tcPr>
            <w:tcW w:type="dxa" w:w="1445"/>
          </w:tcPr>
          <w:p>
            <w:pPr>
              <w:pStyle w:val="Compact"/>
              <w:jc w:val="right"/>
            </w:pPr>
            <w:r>
              <w:t xml:space="preserve">+0.004</w:t>
            </w:r>
          </w:p>
        </w:tc>
        <w:tc>
          <w:tcPr>
            <w:tcW w:type="dxa" w:w="963"/>
          </w:tcPr>
          <w:p>
            <w:pPr>
              <w:pStyle w:val="Compact"/>
              <w:jc w:val="right"/>
            </w:pPr>
            <w:r>
              <w:t xml:space="preserve">14 of 20</w:t>
            </w:r>
          </w:p>
        </w:tc>
      </w:tr>
      <w:tr>
        <w:tc>
          <w:tcPr>
            <w:tcW w:type="dxa" w:w="3050"/>
          </w:tcPr>
          <w:p>
            <w:pPr>
              <w:pStyle w:val="Compact"/>
            </w:pPr>
            <w:r>
              <w:t xml:space="preserve">Random forest, depth 6, leaf 50</w:t>
            </w:r>
          </w:p>
        </w:tc>
        <w:tc>
          <w:tcPr>
            <w:tcW w:type="dxa" w:w="1365"/>
          </w:tcPr>
          <w:p>
            <w:pPr>
              <w:pStyle w:val="Compact"/>
              <w:jc w:val="right"/>
            </w:pPr>
            <w:r>
              <w:t xml:space="preserve">0.829</w:t>
            </w:r>
          </w:p>
        </w:tc>
        <w:tc>
          <w:tcPr>
            <w:tcW w:type="dxa" w:w="1284"/>
          </w:tcPr>
          <w:p>
            <w:pPr>
              <w:pStyle w:val="Compact"/>
              <w:jc w:val="right"/>
            </w:pPr>
            <w:r>
              <w:t xml:space="preserve">+0.055</w:t>
            </w:r>
          </w:p>
        </w:tc>
        <w:tc>
          <w:tcPr>
            <w:tcW w:type="dxa" w:w="963"/>
          </w:tcPr>
          <w:p>
            <w:pPr>
              <w:pStyle w:val="Compact"/>
              <w:jc w:val="right"/>
            </w:pPr>
            <w:r>
              <w:rPr>
                <w:b/>
                <w:bCs/>
              </w:rPr>
              <w:t xml:space="preserve">0.556</w:t>
            </w:r>
          </w:p>
        </w:tc>
        <w:tc>
          <w:tcPr>
            <w:tcW w:type="dxa" w:w="1445"/>
          </w:tcPr>
          <w:p>
            <w:pPr>
              <w:pStyle w:val="Compact"/>
              <w:jc w:val="right"/>
            </w:pPr>
            <w:r>
              <w:t xml:space="preserve">−0.007</w:t>
            </w:r>
          </w:p>
        </w:tc>
        <w:tc>
          <w:tcPr>
            <w:tcW w:type="dxa" w:w="963"/>
          </w:tcPr>
          <w:p>
            <w:pPr>
              <w:pStyle w:val="Compact"/>
              <w:jc w:val="right"/>
            </w:pPr>
            <w:r>
              <w:t xml:space="preserve">14 of 20</w:t>
            </w:r>
          </w:p>
        </w:tc>
      </w:tr>
      <w:tr>
        <w:tc>
          <w:tcPr>
            <w:tcW w:type="dxa" w:w="3050"/>
          </w:tcPr>
          <w:p>
            <w:pPr>
              <w:pStyle w:val="Compact"/>
            </w:pPr>
            <w:r>
              <w:t xml:space="preserve">Random forest, leaf 200</w:t>
            </w:r>
          </w:p>
        </w:tc>
        <w:tc>
          <w:tcPr>
            <w:tcW w:type="dxa" w:w="1365"/>
          </w:tcPr>
          <w:p>
            <w:pPr>
              <w:pStyle w:val="Compact"/>
              <w:jc w:val="right"/>
            </w:pPr>
            <w:r>
              <w:t xml:space="preserve">0.805</w:t>
            </w:r>
          </w:p>
        </w:tc>
        <w:tc>
          <w:tcPr>
            <w:tcW w:type="dxa" w:w="1284"/>
          </w:tcPr>
          <w:p>
            <w:pPr>
              <w:pStyle w:val="Compact"/>
              <w:jc w:val="right"/>
            </w:pPr>
            <w:r>
              <w:t xml:space="preserve">+0.047</w:t>
            </w:r>
          </w:p>
        </w:tc>
        <w:tc>
          <w:tcPr>
            <w:tcW w:type="dxa" w:w="963"/>
          </w:tcPr>
          <w:p>
            <w:pPr>
              <w:pStyle w:val="Compact"/>
              <w:jc w:val="right"/>
            </w:pPr>
            <w:r>
              <w:rPr>
                <w:b/>
                <w:bCs/>
              </w:rPr>
              <w:t xml:space="preserve">0.550</w:t>
            </w:r>
          </w:p>
        </w:tc>
        <w:tc>
          <w:tcPr>
            <w:tcW w:type="dxa" w:w="1445"/>
          </w:tcPr>
          <w:p>
            <w:pPr>
              <w:pStyle w:val="Compact"/>
              <w:jc w:val="right"/>
            </w:pPr>
            <w:r>
              <w:t xml:space="preserve">−0.021</w:t>
            </w:r>
          </w:p>
        </w:tc>
        <w:tc>
          <w:tcPr>
            <w:tcW w:type="dxa" w:w="963"/>
          </w:tcPr>
          <w:p>
            <w:pPr>
              <w:pStyle w:val="Compact"/>
              <w:jc w:val="right"/>
            </w:pPr>
            <w:r>
              <w:t xml:space="preserve">14 of 20</w:t>
            </w:r>
          </w:p>
        </w:tc>
      </w:tr>
      <w:tr>
        <w:tc>
          <w:tcPr>
            <w:tcW w:type="dxa" w:w="3050"/>
          </w:tcPr>
          <w:p>
            <w:pPr>
              <w:pStyle w:val="Compact"/>
            </w:pPr>
            <w:r>
              <w:t xml:space="preserve">Penalised logistic regression</w:t>
            </w:r>
          </w:p>
        </w:tc>
        <w:tc>
          <w:tcPr>
            <w:tcW w:type="dxa" w:w="1365"/>
          </w:tcPr>
          <w:p>
            <w:pPr>
              <w:pStyle w:val="Compact"/>
              <w:jc w:val="right"/>
            </w:pPr>
            <w:r>
              <w:t xml:space="preserve">0.741</w:t>
            </w:r>
          </w:p>
        </w:tc>
        <w:tc>
          <w:tcPr>
            <w:tcW w:type="dxa" w:w="1284"/>
          </w:tcPr>
          <w:p>
            <w:pPr>
              <w:pStyle w:val="Compact"/>
              <w:jc w:val="right"/>
            </w:pPr>
            <w:r>
              <w:t xml:space="preserve">+0.045</w:t>
            </w:r>
          </w:p>
        </w:tc>
        <w:tc>
          <w:tcPr>
            <w:tcW w:type="dxa" w:w="963"/>
          </w:tcPr>
          <w:p>
            <w:pPr>
              <w:pStyle w:val="Compact"/>
              <w:jc w:val="right"/>
            </w:pPr>
            <w:r>
              <w:rPr>
                <w:b/>
                <w:bCs/>
              </w:rPr>
              <w:t xml:space="preserve">0.510</w:t>
            </w:r>
          </w:p>
        </w:tc>
        <w:tc>
          <w:tcPr>
            <w:tcW w:type="dxa" w:w="1445"/>
          </w:tcPr>
          <w:p>
            <w:pPr>
              <w:pStyle w:val="Compact"/>
              <w:jc w:val="right"/>
            </w:pPr>
            <w:r>
              <w:t xml:space="preserve">−0.024</w:t>
            </w:r>
          </w:p>
        </w:tc>
        <w:tc>
          <w:tcPr>
            <w:tcW w:type="dxa" w:w="963"/>
          </w:tcPr>
          <w:p>
            <w:pPr>
              <w:pStyle w:val="Compact"/>
              <w:jc w:val="right"/>
            </w:pPr>
            <w:r>
              <w:t xml:space="preserve">14 of 20</w:t>
            </w:r>
          </w:p>
        </w:tc>
      </w:tr>
    </w:tbl>
    <w:p>
      <w:pPr>
        <w:pStyle w:val="BodyText"/>
      </w:pPr>
      <w:r>
        <w:rPr>
          <w:b/>
          <w:bCs/>
        </w:rPr>
        <w:t xml:space="preserve">Regularisation does not rescue transfer.</w:t>
      </w:r>
      <w:r>
        <w:t xml:space="preserve"> </w:t>
      </w:r>
      <w:r>
        <w:t xml:space="preserve">All four estimators land between 0.510 and 0.556, all</w:t>
      </w:r>
      <w:r>
        <w:t xml:space="preserve"> </w:t>
      </w:r>
      <w:r>
        <w:t xml:space="preserve">four put exactly fourteen of twenty directions above chance, and the linear model, the one built to</w:t>
      </w:r>
      <w:r>
        <w:t xml:space="preserve"> </w:t>
      </w:r>
      <w:r>
        <w:t xml:space="preserve">extrapolate, transfers worst. Within-region skill falls as capacity is reduced, from 0.888 to 0.741,</w:t>
      </w:r>
      <w:r>
        <w:t xml:space="preserve"> </w:t>
      </w:r>
      <w:r>
        <w:t xml:space="preserve">which is what regularisation is expected to cost; transfer does not rise to meet it. The thermal</w:t>
      </w:r>
      <w:r>
        <w:t xml:space="preserve"> </w:t>
      </w:r>
      <w:r>
        <w:t xml:space="preserve">block’s contribution to transfer is +0.004 under the canonical forest and</w:t>
      </w:r>
      <w:r>
        <w:t xml:space="preserve"> </w:t>
      </w:r>
      <w:r>
        <w:rPr>
          <w:b/>
          <w:bCs/>
        </w:rPr>
        <w:t xml:space="preserve">negative</w:t>
      </w:r>
      <w:r>
        <w:t xml:space="preserve"> </w:t>
      </w:r>
      <w:r>
        <w:t xml:space="preserve">under all</w:t>
      </w:r>
      <w:r>
        <w:t xml:space="preserve"> </w:t>
      </w:r>
      <w:r>
        <w:t xml:space="preserve">three regularised alternatives, so the block does not become portable when the model is made simpler.</w:t>
      </w:r>
    </w:p>
    <w:p>
      <w:pPr>
        <w:pStyle w:val="BodyText"/>
      </w:pPr>
      <w:r>
        <w:t xml:space="preserve">The transfer failure is therefore a property of the predictors on this cohort, not of an</w:t>
      </w:r>
      <w:r>
        <w:t xml:space="preserve"> </w:t>
      </w:r>
      <w:r>
        <w:t xml:space="preserve">unregularised forest. Detail in</w:t>
      </w:r>
      <w:r>
        <w:t xml:space="preserve"> </w:t>
      </w:r>
      <w:r>
        <w:rPr>
          <w:rStyle w:val="VerbatimChar"/>
        </w:rPr>
        <w:t xml:space="preserve">paper/model_capacity.json</w:t>
      </w:r>
      <w:r>
        <w:t xml:space="preserve">.</w:t>
      </w:r>
    </w:p>
    <w:bookmarkEnd w:id="26"/>
    <w:bookmarkStart w:id="30" w:name="Xb07524784b18e548480ba9b26ee778c2e20ec9a"/>
    <w:p>
      <w:pPr>
        <w:pStyle w:val="Heading2"/>
      </w:pPr>
      <w:r>
        <w:t xml:space="preserve">S1.9 The four evaluations of Section 4.3, in full</w:t>
      </w:r>
    </w:p>
    <w:p>
      <w:pPr>
        <w:pStyle w:val="FirstParagraph"/>
      </w:pPr>
      <w:r>
        <w:t xml:space="preserve">Section 4.3 reports four evaluations of the same models as a ladder. The per-split and per-scar</w:t>
      </w:r>
      <w:r>
        <w:t xml:space="preserve"> </w:t>
      </w:r>
      <w:r>
        <w:t xml:space="preserve">detail is here, so that the ladder can be checked without leaving the manuscript.</w:t>
      </w:r>
    </w:p>
    <w:p>
      <w:pPr>
        <w:pStyle w:val="BodyText"/>
      </w:pPr>
      <w:r>
        <w:rPr>
          <w:b/>
          <w:bCs/>
        </w:rPr>
        <w:t xml:space="preserve">Table S1. The four evaluations, scored on identical cells.</w:t>
      </w:r>
      <w:r>
        <w:t xml:space="preserve"> </w:t>
      </w:r>
      <w:r>
        <w:t xml:space="preserve">Primary natural-vegetation population.</w:t>
      </w:r>
      <w:r>
        <w:t xml:space="preserve"> </w:t>
      </w:r>
      <w:r>
        <w:t xml:space="preserve">Rows B, C and D are scored on the held-out scar area; row A is the whole region and is shown to make</w:t>
      </w:r>
      <w:r>
        <w:t xml:space="preserve"> </w:t>
      </w:r>
      <w:r>
        <w:t xml:space="preserve">the mismatch visible. Means and Student</w:t>
      </w:r>
      <w:r>
        <w:t xml:space="preserve"> </w:t>
      </w:r>
      <w:r>
        <w:rPr>
          <w:i/>
          <w:iCs/>
        </w:rPr>
        <w:t xml:space="preserve">t</w:t>
      </w:r>
      <w:r>
        <w:t xml:space="preserve"> </w:t>
      </w:r>
      <w:r>
        <w:t xml:space="preserve">intervals are over the seven held-out scars.</w:t>
      </w:r>
    </w:p>
    <w:tbl>
      <w:tblPr>
        <w:tblStyle w:val="Table"/>
        <w:tblW w:type="auto" w:w="0"/>
        <w:tblLook w:firstRow="1" w:lastRow="0" w:firstColumn="0" w:lastColumn="0" w:noHBand="0" w:noVBand="0" w:val="0020"/>
      </w:tblPr>
      <w:tblGrid>
        <w:gridCol w:w="2934"/>
        <w:gridCol w:w="2757"/>
        <w:gridCol w:w="1423"/>
        <w:gridCol w:w="711"/>
        <w:gridCol w:w="1245"/>
      </w:tblGrid>
      <w:tr>
        <w:trPr>
          <w:tblHeader w:val="on"/>
        </w:trPr>
        <w:tc>
          <w:tcPr>
            <w:tcW w:type="dxa" w:w="2934"/>
          </w:tcPr>
          <w:p>
            <w:pPr>
              <w:pStyle w:val="Compact"/>
            </w:pPr>
            <w:r>
              <w:t xml:space="preserve">Evaluation</w:t>
            </w:r>
          </w:p>
        </w:tc>
        <w:tc>
          <w:tcPr>
            <w:tcW w:type="dxa" w:w="2757"/>
          </w:tcPr>
          <w:p>
            <w:pPr>
              <w:pStyle w:val="Compact"/>
            </w:pPr>
            <w:r>
              <w:t xml:space="preserve">Model trained on</w:t>
            </w:r>
          </w:p>
        </w:tc>
        <w:tc>
          <w:tcPr>
            <w:tcW w:type="dxa" w:w="1423"/>
          </w:tcPr>
          <w:p>
            <w:pPr>
              <w:pStyle w:val="Compact"/>
            </w:pPr>
            <w:r>
              <w:t xml:space="preserve">Scored on</w:t>
            </w:r>
          </w:p>
        </w:tc>
        <w:tc>
          <w:tcPr>
            <w:tcW w:type="dxa" w:w="711"/>
          </w:tcPr>
          <w:p>
            <w:pPr>
              <w:pStyle w:val="Compact"/>
              <w:jc w:val="right"/>
            </w:pPr>
            <w:r>
              <w:t xml:space="preserve">Mean AUC</w:t>
            </w:r>
          </w:p>
        </w:tc>
        <w:tc>
          <w:tcPr>
            <w:tcW w:type="dxa" w:w="1245"/>
          </w:tcPr>
          <w:p>
            <w:pPr>
              <w:pStyle w:val="Compact"/>
            </w:pPr>
            <w:r>
              <w:t xml:space="preserve">95 % CI</w:t>
            </w:r>
          </w:p>
        </w:tc>
      </w:tr>
      <w:tr>
        <w:tc>
          <w:tcPr>
            <w:tcW w:type="dxa" w:w="2934"/>
          </w:tcPr>
          <w:p>
            <w:pPr>
              <w:pStyle w:val="Compact"/>
            </w:pPr>
            <w:r>
              <w:t xml:space="preserve">A. Blocked cross-validation, 5 km</w:t>
            </w:r>
          </w:p>
        </w:tc>
        <w:tc>
          <w:tcPr>
            <w:tcW w:type="dxa" w:w="2757"/>
          </w:tcPr>
          <w:p>
            <w:pPr>
              <w:pStyle w:val="Compact"/>
            </w:pPr>
            <w:r>
              <w:t xml:space="preserve">the region, scar included</w:t>
            </w:r>
          </w:p>
        </w:tc>
        <w:tc>
          <w:tcPr>
            <w:tcW w:type="dxa" w:w="1423"/>
          </w:tcPr>
          <w:p>
            <w:pPr>
              <w:pStyle w:val="Compact"/>
            </w:pPr>
            <w:r>
              <w:t xml:space="preserve">the whole region</w:t>
            </w:r>
          </w:p>
        </w:tc>
        <w:tc>
          <w:tcPr>
            <w:tcW w:type="dxa" w:w="711"/>
          </w:tcPr>
          <w:p>
            <w:pPr>
              <w:pStyle w:val="Compact"/>
              <w:jc w:val="right"/>
            </w:pPr>
            <w:r>
              <w:t xml:space="preserve">0.773</w:t>
            </w:r>
          </w:p>
        </w:tc>
        <w:tc>
          <w:tcPr>
            <w:tcW w:type="dxa" w:w="1245"/>
          </w:tcPr>
          <w:p>
            <w:pPr>
              <w:pStyle w:val="Compact"/>
            </w:pPr>
            <w:r>
              <w:t xml:space="preserve">[0.729, 0.818]</w:t>
            </w:r>
          </w:p>
        </w:tc>
      </w:tr>
      <w:tr>
        <w:tc>
          <w:tcPr>
            <w:tcW w:type="dxa" w:w="2934"/>
          </w:tcPr>
          <w:p>
            <w:pPr>
              <w:pStyle w:val="Compact"/>
            </w:pPr>
            <w:r>
              <w:t xml:space="preserve">B. Same blocked model, restricted</w:t>
            </w:r>
          </w:p>
        </w:tc>
        <w:tc>
          <w:tcPr>
            <w:tcW w:type="dxa" w:w="2757"/>
          </w:tcPr>
          <w:p>
            <w:pPr>
              <w:pStyle w:val="Compact"/>
            </w:pPr>
            <w:r>
              <w:t xml:space="preserve">the region,</w:t>
            </w:r>
            <w:r>
              <w:t xml:space="preserve"> </w:t>
            </w:r>
            <w:r>
              <w:rPr>
                <w:b/>
                <w:bCs/>
              </w:rPr>
              <w:t xml:space="preserve">scar included</w:t>
            </w:r>
          </w:p>
        </w:tc>
        <w:tc>
          <w:tcPr>
            <w:tcW w:type="dxa" w:w="1423"/>
          </w:tcPr>
          <w:p>
            <w:pPr>
              <w:pStyle w:val="Compact"/>
            </w:pPr>
            <w:r>
              <w:t xml:space="preserve">the scar area</w:t>
            </w:r>
          </w:p>
        </w:tc>
        <w:tc>
          <w:tcPr>
            <w:tcW w:type="dxa" w:w="711"/>
          </w:tcPr>
          <w:p>
            <w:pPr>
              <w:pStyle w:val="Compact"/>
              <w:jc w:val="right"/>
            </w:pPr>
            <w:r>
              <w:t xml:space="preserve">0.640</w:t>
            </w:r>
          </w:p>
        </w:tc>
        <w:tc>
          <w:tcPr>
            <w:tcW w:type="dxa" w:w="1245"/>
          </w:tcPr>
          <w:p>
            <w:pPr>
              <w:pStyle w:val="Compact"/>
            </w:pPr>
            <w:r>
              <w:t xml:space="preserve">[0.544, 0.736]</w:t>
            </w:r>
          </w:p>
        </w:tc>
      </w:tr>
      <w:tr>
        <w:tc>
          <w:tcPr>
            <w:tcW w:type="dxa" w:w="2934"/>
          </w:tcPr>
          <w:p>
            <w:pPr>
              <w:pStyle w:val="Compact"/>
            </w:pPr>
            <w:r>
              <w:t xml:space="preserve">C. Leave-one-scar-out</w:t>
            </w:r>
          </w:p>
        </w:tc>
        <w:tc>
          <w:tcPr>
            <w:tcW w:type="dxa" w:w="2757"/>
          </w:tcPr>
          <w:p>
            <w:pPr>
              <w:pStyle w:val="Compact"/>
            </w:pPr>
            <w:r>
              <w:t xml:space="preserve">the region,</w:t>
            </w:r>
            <w:r>
              <w:t xml:space="preserve"> </w:t>
            </w:r>
            <w:r>
              <w:rPr>
                <w:b/>
                <w:bCs/>
              </w:rPr>
              <w:t xml:space="preserve">scar withheld</w:t>
            </w:r>
          </w:p>
        </w:tc>
        <w:tc>
          <w:tcPr>
            <w:tcW w:type="dxa" w:w="1423"/>
          </w:tcPr>
          <w:p>
            <w:pPr>
              <w:pStyle w:val="Compact"/>
            </w:pPr>
            <w:r>
              <w:t xml:space="preserve">the scar area</w:t>
            </w:r>
          </w:p>
        </w:tc>
        <w:tc>
          <w:tcPr>
            <w:tcW w:type="dxa" w:w="711"/>
          </w:tcPr>
          <w:p>
            <w:pPr>
              <w:pStyle w:val="Compact"/>
              <w:jc w:val="right"/>
            </w:pPr>
            <w:r>
              <w:t xml:space="preserve">0.546</w:t>
            </w:r>
          </w:p>
        </w:tc>
        <w:tc>
          <w:tcPr>
            <w:tcW w:type="dxa" w:w="1245"/>
          </w:tcPr>
          <w:p>
            <w:pPr>
              <w:pStyle w:val="Compact"/>
            </w:pPr>
            <w:r>
              <w:t xml:space="preserve">[0.488, 0.604]</w:t>
            </w:r>
          </w:p>
        </w:tc>
      </w:tr>
      <w:tr>
        <w:tc>
          <w:tcPr>
            <w:tcW w:type="dxa" w:w="2934"/>
          </w:tcPr>
          <w:p>
            <w:pPr>
              <w:pStyle w:val="Compact"/>
            </w:pPr>
            <w:r>
              <w:t xml:space="preserve">D. Foreign region</w:t>
            </w:r>
          </w:p>
        </w:tc>
        <w:tc>
          <w:tcPr>
            <w:tcW w:type="dxa" w:w="2757"/>
          </w:tcPr>
          <w:p>
            <w:pPr>
              <w:pStyle w:val="Compact"/>
            </w:pPr>
            <w:r>
              <w:t xml:space="preserve">another region, 306 to 2,802 km</w:t>
            </w:r>
          </w:p>
        </w:tc>
        <w:tc>
          <w:tcPr>
            <w:tcW w:type="dxa" w:w="1423"/>
          </w:tcPr>
          <w:p>
            <w:pPr>
              <w:pStyle w:val="Compact"/>
            </w:pPr>
            <w:r>
              <w:t xml:space="preserve">the scar area</w:t>
            </w:r>
          </w:p>
        </w:tc>
        <w:tc>
          <w:tcPr>
            <w:tcW w:type="dxa" w:w="711"/>
          </w:tcPr>
          <w:p>
            <w:pPr>
              <w:pStyle w:val="Compact"/>
              <w:jc w:val="right"/>
            </w:pPr>
            <w:r>
              <w:t xml:space="preserve">0.553</w:t>
            </w:r>
          </w:p>
        </w:tc>
        <w:tc>
          <w:tcPr>
            <w:tcW w:type="dxa" w:w="1245"/>
          </w:tcPr>
          <w:p>
            <w:pPr>
              <w:pStyle w:val="Compact"/>
            </w:pPr>
            <w:r>
              <w:t xml:space="preserve">[0.495, 0.611]</w:t>
            </w:r>
          </w:p>
        </w:tc>
      </w:tr>
    </w:tbl>
    <w:bookmarkStart w:id="27" w:name="X442a36a0101aa42e3567b8e5cd3e23bcbf83d22"/>
    <w:p>
      <w:pPr>
        <w:pStyle w:val="Heading3"/>
      </w:pPr>
      <w:r>
        <w:t xml:space="preserve">S1.9.1 Where the skill is lost, on a matched comparison</w:t>
      </w:r>
    </w:p>
    <w:p>
      <w:pPr>
        <w:pStyle w:val="FirstParagraph"/>
      </w:pPr>
      <w:r>
        <w:rPr>
          <w:b/>
          <w:bCs/>
        </w:rPr>
        <w:t xml:space="preserve">Where the skill is lost, on a matched comparison.</w:t>
      </w:r>
      <w:r>
        <w:t xml:space="preserve"> </w:t>
      </w:r>
      <w:r>
        <w:t xml:space="preserve">Four evaluations are reported. The last three</w:t>
      </w:r>
      <w:r>
        <w:t xml:space="preserve"> </w:t>
      </w:r>
      <w:r>
        <w:t xml:space="preserve">are scored on</w:t>
      </w:r>
      <w:r>
        <w:t xml:space="preserve"> </w:t>
      </w:r>
      <w:r>
        <w:rPr>
          <w:b/>
          <w:bCs/>
        </w:rPr>
        <w:t xml:space="preserve">identical cells</w:t>
      </w:r>
      <w:r>
        <w:t xml:space="preserve">, so they differ only in what the model was trained on. The first</w:t>
      </w:r>
      <w:r>
        <w:t xml:space="preserve"> </w:t>
      </w:r>
      <w:r>
        <w:t xml:space="preserve">shows why an unmatched comparison misleads. The held-out unit is a burned connected component of at</w:t>
      </w:r>
      <w:r>
        <w:t xml:space="preserve"> </w:t>
      </w:r>
      <w:r>
        <w:t xml:space="preserve">least 50 cells, with all cells within 2 km of it. What makes that harder than a whole region is the</w:t>
      </w:r>
      <w:r>
        <w:t xml:space="preserve"> </w:t>
      </w:r>
      <w:r>
        <w:t xml:space="preserve">composition of its negatives, not its burned fraction, and that is measured rather than argued. The</w:t>
      </w:r>
      <w:r>
        <w:t xml:space="preserve"> </w:t>
      </w:r>
      <w:r>
        <w:t xml:space="preserve">same predictions were scored on a random sample of region cells drawn at the scar area’s own burned</w:t>
      </w:r>
      <w:r>
        <w:t xml:space="preserve"> </w:t>
      </w:r>
      <w:r>
        <w:t xml:space="preserve">fraction. That gives</w:t>
      </w:r>
      <w:r>
        <w:t xml:space="preserve"> </w:t>
      </w:r>
      <w:r>
        <w:rPr>
          <w:b/>
          <w:bCs/>
        </w:rPr>
        <w:t xml:space="preserve">0.793 against the region-wide 0.791</w:t>
      </w:r>
      <w:r>
        <w:t xml:space="preserve">, so matching prevalence changes</w:t>
      </w:r>
      <w:r>
        <w:t xml:space="preserve"> </w:t>
      </w:r>
      <w:r>
        <w:t xml:space="preserve">nothing, at −0.002 [−0.005, +0.001]. Scoring them on the scar area gives 0.644, a fall of</w:t>
      </w:r>
      <w:r>
        <w:t xml:space="preserve"> </w:t>
      </w:r>
      <w:r>
        <w:rPr>
          <w:b/>
          <w:bCs/>
        </w:rPr>
        <w:t xml:space="preserve">+0.149</w:t>
      </w:r>
      <w:r>
        <w:rPr>
          <w:b/>
          <w:bCs/>
        </w:rPr>
        <w:t xml:space="preserve"> </w:t>
      </w:r>
      <w:r>
        <w:rPr>
          <w:b/>
          <w:bCs/>
        </w:rPr>
        <w:t xml:space="preserve">[+0.087, +0.211]</w:t>
      </w:r>
      <w:r>
        <w:t xml:space="preserve">. That swaps both pools at once, so each was swapped singly. Replacing only the</w:t>
      </w:r>
      <w:r>
        <w:t xml:space="preserve"> </w:t>
      </w:r>
      <w:r>
        <w:t xml:space="preserve">negatives costs</w:t>
      </w:r>
      <w:r>
        <w:t xml:space="preserve"> </w:t>
      </w:r>
      <w:r>
        <w:rPr>
          <w:b/>
          <w:bCs/>
        </w:rPr>
        <w:t xml:space="preserve">0.139 [0.098, 0.181]</w:t>
      </w:r>
      <w:r>
        <w:t xml:space="preserve">, the whole of it. Replacing only the positives costs</w:t>
      </w:r>
      <w:r>
        <w:t xml:space="preserve"> </w:t>
      </w:r>
      <w:r>
        <w:rPr>
          <w:b/>
          <w:bCs/>
        </w:rPr>
        <w:t xml:space="preserve">−0.002 [−0.055, +0.051]</w:t>
      </w:r>
      <w:r>
        <w:t xml:space="preserve">, null on average, though the per-scar effect runs from −0.12 to +0.14.</w:t>
      </w:r>
      <w:r>
        <w:t xml:space="preserve"> </w:t>
      </w:r>
      <w:r>
        <w:rPr>
          <w:b/>
          <w:bCs/>
        </w:rPr>
        <w:t xml:space="preserve">The effect is the negative pool.</w:t>
      </w:r>
      <w:r>
        <w:t xml:space="preserve"> </w:t>
      </w:r>
      <w:r>
        <w:t xml:space="preserve">Every negative in a scar collar is fire-adjacent and shares the</w:t>
      </w:r>
      <w:r>
        <w:t xml:space="preserve"> </w:t>
      </w:r>
      <w:r>
        <w:t xml:space="preserve">terrain, land cover and synoptic conditions of the positives, whereas a region’s negatives include</w:t>
      </w:r>
      <w:r>
        <w:t xml:space="preserve"> </w:t>
      </w:r>
      <w:r>
        <w:t xml:space="preserve">its easy far field. ROC-AUC is in any case invariant to class balance at fixed class-conditional</w:t>
      </w:r>
      <w:r>
        <w:t xml:space="preserve"> </w:t>
      </w:r>
      <w:r>
        <w:t xml:space="preserve">distributions (</w:t>
      </w:r>
      <w:r>
        <w:rPr>
          <w:rStyle w:val="VerbatimChar"/>
        </w:rPr>
        <w:t xml:space="preserve">pool_decomposition.json</w:t>
      </w:r>
      <w:r>
        <w:t xml:space="preserve">).</w:t>
      </w:r>
    </w:p>
    <w:bookmarkEnd w:id="27"/>
    <w:bookmarkStart w:id="28" w:name="Xa165ecab0e68cbd7620e81aeded26ab7f95d2a0"/>
    <w:p>
      <w:pPr>
        <w:pStyle w:val="Heading3"/>
      </w:pPr>
      <w:r>
        <w:t xml:space="preserve">S1.9.2 The seven scars and the resampling unit</w:t>
      </w:r>
    </w:p>
    <w:p>
      <w:pPr>
        <w:pStyle w:val="FirstParagraph"/>
      </w:pPr>
      <w:r>
        <w:t xml:space="preserve">All four rows are means over the</w:t>
      </w:r>
      <w:r>
        <w:t xml:space="preserve"> </w:t>
      </w:r>
      <w:r>
        <w:rPr>
          <w:b/>
          <w:bCs/>
        </w:rPr>
        <w:t xml:space="preserve">same seven scars</w:t>
      </w:r>
      <w:r>
        <w:t xml:space="preserve">. Bejís and Manavgat have no row C, because in</w:t>
      </w:r>
      <w:r>
        <w:t xml:space="preserve"> </w:t>
      </w:r>
      <w:r>
        <w:t xml:space="preserve">each the burned area is a single component, so withholding it leaves nothing to train on. Under the</w:t>
      </w:r>
      <w:r>
        <w:t xml:space="preserve"> </w:t>
      </w:r>
      <w:r>
        <w:t xml:space="preserve">corrected label the 2,151 added Manavgat burns merge into its one existing scar (2,934 of 2,935</w:t>
      </w:r>
      <w:r>
        <w:t xml:space="preserve"> </w:t>
      </w:r>
      <w:r>
        <w:t xml:space="preserve">cells). That is why the controls above are computed on nine scars and report 0.791 and 0.644 against</w:t>
      </w:r>
      <w:r>
        <w:t xml:space="preserve"> </w:t>
      </w:r>
      <w:r>
        <w:t xml:space="preserve">Table S1’s 0.773 and 0.640. The intervals are Student</w:t>
      </w:r>
      <w:r>
        <w:t xml:space="preserve"> </w:t>
      </w:r>
      <w:r>
        <w:rPr>
          <w:i/>
          <w:iCs/>
        </w:rPr>
        <w:t xml:space="preserve">t</w:t>
      </w:r>
      <w:r>
        <w:t xml:space="preserve"> </w:t>
      </w:r>
      <w:r>
        <w:t xml:space="preserve">over the scars. That is this arm’s</w:t>
      </w:r>
      <w:r>
        <w:t xml:space="preserve"> </w:t>
      </w:r>
      <w:r>
        <w:t xml:space="preserve">resampling unit, rather than the spatial-block bootstrap used elsewhere. Four scars are in Muğla, two</w:t>
      </w:r>
      <w:r>
        <w:t xml:space="preserve"> </w:t>
      </w:r>
      <w:r>
        <w:t xml:space="preserve">in Montiferru and one in Evia.</w:t>
      </w:r>
      <w:r>
        <w:t xml:space="preserve"> </w:t>
      </w:r>
      <w:r>
        <w:rPr>
          <w:b/>
          <w:bCs/>
        </w:rPr>
        <w:t xml:space="preserve">Row A is a region-level quantity repeated identically across a</w:t>
      </w:r>
      <w:r>
        <w:rPr>
          <w:b/>
          <w:bCs/>
        </w:rPr>
        <w:t xml:space="preserve"> </w:t>
      </w:r>
      <w:r>
        <w:rPr>
          <w:b/>
          <w:bCs/>
        </w:rPr>
        <w:t xml:space="preserve">region’s scars, so its interval is pseudo-replicated and should not be read as coverage.</w:t>
      </w:r>
      <w:r>
        <w:t xml:space="preserve"> </w:t>
      </w:r>
      <w:r>
        <w:t xml:space="preserve">That</w:t>
      </w:r>
      <w:r>
        <w:t xml:space="preserve"> </w:t>
      </w:r>
      <w:r>
        <w:t xml:space="preserve">repetition propagates into A − B and A − C. Clustering by region, over three regions, gives</w:t>
      </w:r>
      <w:r>
        <w:t xml:space="preserve"> </w:t>
      </w:r>
      <w:r>
        <w:rPr>
          <w:b/>
          <w:bCs/>
        </w:rPr>
        <w:t xml:space="preserve">+0.137 [+0.048, +0.226]</w:t>
      </w:r>
      <w:r>
        <w:t xml:space="preserve"> </w:t>
      </w:r>
      <w:r>
        <w:t xml:space="preserve">and</w:t>
      </w:r>
      <w:r>
        <w:t xml:space="preserve"> </w:t>
      </w:r>
      <w:r>
        <w:rPr>
          <w:b/>
          <w:bCs/>
        </w:rPr>
        <w:t xml:space="preserve">+0.266 [−0.022, +0.553]</w:t>
      </w:r>
      <w:r>
        <w:t xml:space="preserve">. The first still excludes zero. The</w:t>
      </w:r>
      <w:r>
        <w:t xml:space="preserve"> </w:t>
      </w:r>
      <w:r>
        <w:t xml:space="preserve">second no longer does, and is 3.6 times wider.</w:t>
      </w:r>
      <w:r>
        <w:t xml:space="preserve"> </w:t>
      </w:r>
      <w:r>
        <w:rPr>
          <w:b/>
          <w:bCs/>
        </w:rPr>
        <w:t xml:space="preserve">The scar-level intervals on these two differences</w:t>
      </w:r>
      <w:r>
        <w:rPr>
          <w:b/>
          <w:bCs/>
        </w:rPr>
        <w:t xml:space="preserve"> </w:t>
      </w:r>
      <w:r>
        <w:rPr>
          <w:b/>
          <w:bCs/>
        </w:rPr>
        <w:t xml:space="preserve">therefore overstate precision, and on the region unit only the frame cost is established</w:t>
      </w:r>
      <w:r>
        <w:t xml:space="preserve"> </w:t>
      </w:r>
      <w:r>
        <w:t xml:space="preserve">(Section S1.9).</w:t>
      </w:r>
    </w:p>
    <w:bookmarkEnd w:id="28"/>
    <w:bookmarkStart w:id="29" w:name="s1.9.3-controls-full-specification"/>
    <w:p>
      <w:pPr>
        <w:pStyle w:val="Heading3"/>
      </w:pPr>
      <w:r>
        <w:t xml:space="preserve">S1.9.3 Controls, full specification</w:t>
      </w:r>
    </w:p>
    <w:p>
      <w:pPr>
        <w:pStyle w:val="FirstParagraph"/>
      </w:pPr>
      <w:r>
        <w:t xml:space="preserve">Three controls reuse A’s predictions, each averaged over 20 draws without</w:t>
      </w:r>
      <w:r>
        <w:t xml:space="preserve"> </w:t>
      </w:r>
      <w:r>
        <w:t xml:space="preserve">replacement. The</w:t>
      </w:r>
      <w:r>
        <w:t xml:space="preserve"> </w:t>
      </w:r>
      <w:r>
        <w:rPr>
          <w:b/>
          <w:bCs/>
        </w:rPr>
        <w:t xml:space="preserve">prevalence-matched</w:t>
      </w:r>
      <w:r>
        <w:t xml:space="preserve"> </w:t>
      </w:r>
      <w:r>
        <w:t xml:space="preserve">control draws</w:t>
      </w:r>
      <w:r>
        <w:t xml:space="preserve"> </w:t>
      </w:r>
      <m:oMath>
        <m:r>
          <m:rPr>
            <m:sty m:val="p"/>
          </m:rPr>
          <m:t>|</m:t>
        </m:r>
        <m:sSubSup>
          <m:e>
            <m:r>
              <m:t>H</m:t>
            </m:r>
          </m:e>
          <m:sub>
            <m:r>
              <m:t>K</m:t>
            </m:r>
          </m:sub>
          <m:sup>
            <m:r>
              <m:rPr>
                <m:sty m:val="p"/>
              </m:rPr>
              <m:t>+</m:t>
            </m:r>
          </m:sup>
        </m:sSubSup>
        <m:r>
          <m:rPr>
            <m:sty m:val="p"/>
          </m:rPr>
          <m:t>|</m:t>
        </m:r>
      </m:oMath>
      <w:r>
        <w:t xml:space="preserve"> </w:t>
      </w:r>
      <w:r>
        <w:t xml:space="preserve">cells from</w:t>
      </w:r>
      <w:r>
        <w:t xml:space="preserve"> </w:t>
      </w:r>
      <m:oMath>
        <m:sSub>
          <m:e>
            <m:r>
              <m:t>P</m:t>
            </m:r>
          </m:e>
          <m:sub>
            <m:r>
              <m:t>R</m:t>
            </m:r>
          </m:sub>
        </m:sSub>
      </m:oMath>
      <w:r>
        <w:t xml:space="preserve"> </w:t>
      </w:r>
      <w:r>
        <w:t xml:space="preserve">and</w:t>
      </w:r>
      <w:r>
        <w:t xml:space="preserve"> </w:t>
      </w:r>
      <m:oMath>
        <m:r>
          <m:rPr>
            <m:sty m:val="p"/>
          </m:rPr>
          <m:t>|</m:t>
        </m:r>
        <m:sSubSup>
          <m:e>
            <m:r>
              <m:t>H</m:t>
            </m:r>
          </m:e>
          <m:sub>
            <m:r>
              <m:t>K</m:t>
            </m:r>
          </m:sub>
          <m:sup>
            <m:r>
              <m:rPr>
                <m:sty m:val="p"/>
              </m:rPr>
              <m:t>−</m:t>
            </m:r>
          </m:sup>
        </m:sSubSup>
        <m:r>
          <m:rPr>
            <m:sty m:val="p"/>
          </m:rPr>
          <m:t>|</m:t>
        </m:r>
      </m:oMath>
      <w:r>
        <w:t xml:space="preserve"> </w:t>
      </w:r>
      <w:r>
        <w:t xml:space="preserve">from</w:t>
      </w:r>
      <w:r>
        <w:t xml:space="preserve"> </w:t>
      </w:r>
      <m:oMath>
        <m:sSub>
          <m:e>
            <m:r>
              <m:t>V</m:t>
            </m:r>
          </m:e>
          <m:sub>
            <m:r>
              <m:t>R</m:t>
            </m:r>
          </m:sub>
        </m:sSub>
        <m:r>
          <m:rPr>
            <m:sty m:val="p"/>
          </m:rPr>
          <m:t>\</m:t>
        </m:r>
        <m:sSub>
          <m:e>
            <m:r>
              <m:t>P</m:t>
            </m:r>
          </m:e>
          <m:sub>
            <m:r>
              <m:t>R</m:t>
            </m:r>
          </m:sub>
        </m:sSub>
      </m:oMath>
      <w:r>
        <w:t xml:space="preserve">. The</w:t>
      </w:r>
      <w:r>
        <w:t xml:space="preserve"> </w:t>
      </w:r>
      <w:r>
        <w:rPr>
          <w:b/>
          <w:bCs/>
        </w:rPr>
        <w:t xml:space="preserve">negative-pool</w:t>
      </w:r>
      <w:r>
        <w:t xml:space="preserve"> </w:t>
      </w:r>
      <w:r>
        <w:t xml:space="preserve">control keeps the drawn burned cells</w:t>
      </w:r>
      <w:r>
        <w:t xml:space="preserve"> </w:t>
      </w:r>
      <w:r>
        <w:t xml:space="preserve">but uses the scar’s own negatives</w:t>
      </w:r>
      <w:r>
        <w:t xml:space="preserve"> </w:t>
      </w:r>
      <m:oMath>
        <m:sSubSup>
          <m:e>
            <m:r>
              <m:t>H</m:t>
            </m:r>
          </m:e>
          <m:sub>
            <m:r>
              <m:t>K</m:t>
            </m:r>
          </m:sub>
          <m:sup>
            <m:r>
              <m:rPr>
                <m:sty m:val="p"/>
              </m:rPr>
              <m:t>−</m:t>
            </m:r>
          </m:sup>
        </m:sSubSup>
      </m:oMath>
      <w:r>
        <w:t xml:space="preserve">, and the positive-pool control does the converse. A</w:t>
      </w:r>
      <w:r>
        <w:t xml:space="preserve"> </w:t>
      </w:r>
      <w:r>
        <w:rPr>
          <w:b/>
          <w:bCs/>
        </w:rPr>
        <w:t xml:space="preserve">within-region half-split</w:t>
      </w:r>
      <w:r>
        <w:t xml:space="preserve"> </w:t>
      </w:r>
      <w:r>
        <w:t xml:space="preserve">(modelled cells cut at the median of a grid axis, both axes and</w:t>
      </w:r>
      <w:r>
        <w:t xml:space="preserve"> </w:t>
      </w:r>
      <w:r>
        <w:t xml:space="preserve">directions, a split discarded when either half is single-class) completes the set, under the</w:t>
      </w:r>
      <w:r>
        <w:t xml:space="preserve"> </w:t>
      </w:r>
      <w:r>
        <w:t xml:space="preserve">transfer protocol of Section 3.8 unchanged. The per-split and per-scar positive counts are unequal</w:t>
      </w:r>
      <w:r>
        <w:t xml:space="preserve"> </w:t>
      </w:r>
      <w:r>
        <w:t xml:space="preserve">and bear on the interpretation (Table S2 below).</w:t>
      </w:r>
    </w:p>
    <w:p>
      <w:pPr>
        <w:pStyle w:val="BodyText"/>
      </w:pPr>
      <w:r>
        <w:rPr>
          <w:b/>
          <w:bCs/>
        </w:rPr>
        <w:t xml:space="preserve">Table S2. Within-region half-split, every split.</w:t>
      </w:r>
      <w:r>
        <w:t xml:space="preserve"> </w:t>
      </w:r>
      <w:r>
        <w:t xml:space="preserve">Source and target positive counts are given</w:t>
      </w:r>
      <w:r>
        <w:t xml:space="preserve"> </w:t>
      </w:r>
      <w:r>
        <w:t xml:space="preserve">because they are unequal, which is the principal limit on this arm: a straight cut does not produce</w:t>
      </w:r>
      <w:r>
        <w:t xml:space="preserve"> </w:t>
      </w:r>
      <w:r>
        <w:t xml:space="preserve">two exchangeable halves. Two splits are unusable because one half of Manavgat contains no burned cells. Corrected Manavgat</w:t>
      </w:r>
      <w:r>
        <w:t xml:space="preserve"> </w:t>
      </w:r>
      <w:r>
        <w:t xml:space="preserve">label; source</w:t>
      </w:r>
      <w:r>
        <w:t xml:space="preserve"> </w:t>
      </w:r>
      <w:r>
        <w:rPr>
          <w:rStyle w:val="VerbatimChar"/>
        </w:rPr>
        <w:t xml:space="preserve">paper/labelfix_rerun/code/positive_control.json</w:t>
      </w:r>
      <w:r>
        <w:t xml:space="preserve">. Checked row by row by</w:t>
      </w:r>
      <w:r>
        <w:t xml:space="preserve"> </w:t>
      </w:r>
      <w:r>
        <w:rPr>
          <w:rStyle w:val="VerbatimChar"/>
        </w:rPr>
        <w:t xml:space="preserve">paper/code/appendix_tables.py</w:t>
      </w:r>
      <w:r>
        <w:t xml:space="preserve">.</w:t>
      </w:r>
    </w:p>
    <w:tbl>
      <w:tblPr>
        <w:tblStyle w:val="Table"/>
        <w:tblW w:type="auto" w:w="0"/>
        <w:tblLook w:firstRow="1" w:lastRow="0" w:firstColumn="0" w:lastColumn="0" w:noHBand="0" w:noVBand="0" w:val="0020"/>
      </w:tblPr>
      <w:tblGrid>
        <w:gridCol w:w="1719"/>
        <w:gridCol w:w="1050"/>
        <w:gridCol w:w="1050"/>
        <w:gridCol w:w="1528"/>
        <w:gridCol w:w="1528"/>
        <w:gridCol w:w="1050"/>
        <w:gridCol w:w="1146"/>
      </w:tblGrid>
      <w:tr>
        <w:trPr>
          <w:tblHeader w:val="on"/>
        </w:trPr>
        <w:tc>
          <w:tcPr>
            <w:tcW w:type="dxa" w:w="1719"/>
          </w:tcPr>
          <w:p>
            <w:pPr>
              <w:pStyle w:val="Compact"/>
            </w:pPr>
            <w:r>
              <w:t xml:space="preserve">Region</w:t>
            </w:r>
          </w:p>
        </w:tc>
        <w:tc>
          <w:tcPr>
            <w:tcW w:type="dxa" w:w="1050"/>
          </w:tcPr>
          <w:p>
            <w:pPr>
              <w:pStyle w:val="Compact"/>
            </w:pPr>
            <w:r>
              <w:t xml:space="preserve">Axis</w:t>
            </w:r>
          </w:p>
        </w:tc>
        <w:tc>
          <w:tcPr>
            <w:tcW w:type="dxa" w:w="1050"/>
          </w:tcPr>
          <w:p>
            <w:pPr>
              <w:pStyle w:val="Compact"/>
            </w:pPr>
            <w:r>
              <w:t xml:space="preserve">Direction</w:t>
            </w:r>
          </w:p>
        </w:tc>
        <w:tc>
          <w:tcPr>
            <w:tcW w:type="dxa" w:w="1528"/>
          </w:tcPr>
          <w:p>
            <w:pPr>
              <w:pStyle w:val="Compact"/>
              <w:jc w:val="right"/>
            </w:pPr>
            <w:r>
              <w:t xml:space="preserve">Source positives</w:t>
            </w:r>
          </w:p>
        </w:tc>
        <w:tc>
          <w:tcPr>
            <w:tcW w:type="dxa" w:w="1528"/>
          </w:tcPr>
          <w:p>
            <w:pPr>
              <w:pStyle w:val="Compact"/>
              <w:jc w:val="right"/>
            </w:pPr>
            <w:r>
              <w:t xml:space="preserve">Target positives</w:t>
            </w:r>
          </w:p>
        </w:tc>
        <w:tc>
          <w:tcPr>
            <w:tcW w:type="dxa" w:w="1050"/>
          </w:tcPr>
          <w:p>
            <w:pPr>
              <w:pStyle w:val="Compact"/>
              <w:jc w:val="right"/>
            </w:pPr>
            <w:r>
              <w:t xml:space="preserve">Thermal AUC</w:t>
            </w:r>
          </w:p>
        </w:tc>
        <w:tc>
          <w:tcPr>
            <w:tcW w:type="dxa" w:w="1146"/>
          </w:tcPr>
          <w:p>
            <w:pPr>
              <w:pStyle w:val="Compact"/>
              <w:jc w:val="right"/>
            </w:pPr>
            <w:r>
              <w:t xml:space="preserve">Baseline AUC</w:t>
            </w:r>
          </w:p>
        </w:tc>
      </w:tr>
      <w:tr>
        <w:tc>
          <w:tcPr>
            <w:tcW w:type="dxa" w:w="1719"/>
          </w:tcPr>
          <w:p>
            <w:pPr>
              <w:pStyle w:val="Compact"/>
            </w:pPr>
            <w:r>
              <w:t xml:space="preserve">manavgat 2021</w:t>
            </w:r>
          </w:p>
        </w:tc>
        <w:tc>
          <w:tcPr>
            <w:tcW w:type="dxa" w:w="1050"/>
          </w:tcPr>
          <w:p>
            <w:pPr>
              <w:pStyle w:val="Compact"/>
            </w:pPr>
            <w:r>
              <w:t xml:space="preserve">east-west</w:t>
            </w:r>
          </w:p>
        </w:tc>
        <w:tc>
          <w:tcPr>
            <w:tcW w:type="dxa" w:w="1050"/>
          </w:tcPr>
          <w:p>
            <w:pPr>
              <w:pStyle w:val="Compact"/>
            </w:pPr>
            <w:r>
              <w:t xml:space="preserve">low to high</w:t>
            </w:r>
          </w:p>
        </w:tc>
        <w:tc>
          <w:tcPr>
            <w:tcW w:type="dxa" w:w="1528"/>
          </w:tcPr>
          <w:p>
            <w:pPr>
              <w:pStyle w:val="Compact"/>
              <w:jc w:val="right"/>
            </w:pPr>
            <w:r>
              <w:t xml:space="preserve">1,795</w:t>
            </w:r>
          </w:p>
        </w:tc>
        <w:tc>
          <w:tcPr>
            <w:tcW w:type="dxa" w:w="1528"/>
          </w:tcPr>
          <w:p>
            <w:pPr>
              <w:pStyle w:val="Compact"/>
              <w:jc w:val="right"/>
            </w:pPr>
            <w:r>
              <w:t xml:space="preserve">1,140</w:t>
            </w:r>
          </w:p>
        </w:tc>
        <w:tc>
          <w:tcPr>
            <w:tcW w:type="dxa" w:w="1050"/>
          </w:tcPr>
          <w:p>
            <w:pPr>
              <w:pStyle w:val="Compact"/>
              <w:jc w:val="right"/>
            </w:pPr>
            <w:r>
              <w:t xml:space="preserve">0.761</w:t>
            </w:r>
          </w:p>
        </w:tc>
        <w:tc>
          <w:tcPr>
            <w:tcW w:type="dxa" w:w="1146"/>
          </w:tcPr>
          <w:p>
            <w:pPr>
              <w:pStyle w:val="Compact"/>
              <w:jc w:val="right"/>
            </w:pPr>
            <w:r>
              <w:t xml:space="preserve">0.793</w:t>
            </w:r>
          </w:p>
        </w:tc>
      </w:tr>
      <w:tr>
        <w:tc>
          <w:tcPr>
            <w:tcW w:type="dxa" w:w="1719"/>
          </w:tcPr>
          <w:p>
            <w:pPr>
              <w:pStyle w:val="Compact"/>
            </w:pPr>
            <w:r>
              <w:t xml:space="preserve">manavgat 2021</w:t>
            </w:r>
          </w:p>
        </w:tc>
        <w:tc>
          <w:tcPr>
            <w:tcW w:type="dxa" w:w="1050"/>
          </w:tcPr>
          <w:p>
            <w:pPr>
              <w:pStyle w:val="Compact"/>
            </w:pPr>
            <w:r>
              <w:t xml:space="preserve">east-west</w:t>
            </w:r>
          </w:p>
        </w:tc>
        <w:tc>
          <w:tcPr>
            <w:tcW w:type="dxa" w:w="1050"/>
          </w:tcPr>
          <w:p>
            <w:pPr>
              <w:pStyle w:val="Compact"/>
            </w:pPr>
            <w:r>
              <w:t xml:space="preserve">high to low</w:t>
            </w:r>
          </w:p>
        </w:tc>
        <w:tc>
          <w:tcPr>
            <w:tcW w:type="dxa" w:w="1528"/>
          </w:tcPr>
          <w:p>
            <w:pPr>
              <w:pStyle w:val="Compact"/>
              <w:jc w:val="right"/>
            </w:pPr>
            <w:r>
              <w:t xml:space="preserve">1,140</w:t>
            </w:r>
          </w:p>
        </w:tc>
        <w:tc>
          <w:tcPr>
            <w:tcW w:type="dxa" w:w="1528"/>
          </w:tcPr>
          <w:p>
            <w:pPr>
              <w:pStyle w:val="Compact"/>
              <w:jc w:val="right"/>
            </w:pPr>
            <w:r>
              <w:t xml:space="preserve">1,795</w:t>
            </w:r>
          </w:p>
        </w:tc>
        <w:tc>
          <w:tcPr>
            <w:tcW w:type="dxa" w:w="1050"/>
          </w:tcPr>
          <w:p>
            <w:pPr>
              <w:pStyle w:val="Compact"/>
              <w:jc w:val="right"/>
            </w:pPr>
            <w:r>
              <w:t xml:space="preserve">0.712</w:t>
            </w:r>
          </w:p>
        </w:tc>
        <w:tc>
          <w:tcPr>
            <w:tcW w:type="dxa" w:w="1146"/>
          </w:tcPr>
          <w:p>
            <w:pPr>
              <w:pStyle w:val="Compact"/>
              <w:jc w:val="right"/>
            </w:pPr>
            <w:r>
              <w:t xml:space="preserve">0.638</w:t>
            </w:r>
          </w:p>
        </w:tc>
      </w:tr>
      <w:tr>
        <w:tc>
          <w:tcPr>
            <w:tcW w:type="dxa" w:w="1719"/>
          </w:tcPr>
          <w:p>
            <w:pPr>
              <w:pStyle w:val="Compact"/>
            </w:pPr>
            <w:r>
              <w:t xml:space="preserve">manavgat 2021</w:t>
            </w:r>
          </w:p>
        </w:tc>
        <w:tc>
          <w:tcPr>
            <w:tcW w:type="dxa" w:w="1050"/>
          </w:tcPr>
          <w:p>
            <w:pPr>
              <w:pStyle w:val="Compact"/>
            </w:pPr>
            <w:r>
              <w:t xml:space="preserve">north-south</w:t>
            </w:r>
          </w:p>
        </w:tc>
        <w:tc>
          <w:tcPr>
            <w:tcW w:type="dxa" w:w="1050"/>
          </w:tcPr>
          <w:p>
            <w:pPr>
              <w:pStyle w:val="Compact"/>
            </w:pPr>
            <w:r>
              <w:t xml:space="preserve">low to high</w:t>
            </w:r>
          </w:p>
        </w:tc>
        <w:tc>
          <w:tcPr>
            <w:tcW w:type="dxa" w:w="1528"/>
          </w:tcPr>
          <w:p>
            <w:pPr>
              <w:pStyle w:val="Compact"/>
              <w:jc w:val="right"/>
            </w:pPr>
            <w:r>
              <w:t xml:space="preserve">0</w:t>
            </w:r>
          </w:p>
        </w:tc>
        <w:tc>
          <w:tcPr>
            <w:tcW w:type="dxa" w:w="1528"/>
          </w:tcPr>
          <w:p>
            <w:pPr>
              <w:pStyle w:val="Compact"/>
              <w:jc w:val="right"/>
            </w:pPr>
            <w:r>
              <w:t xml:space="preserve">2,935</w:t>
            </w:r>
          </w:p>
        </w:tc>
        <w:tc>
          <w:tcPr>
            <w:tcW w:type="dxa" w:w="1050"/>
          </w:tcPr>
          <w:p>
            <w:pPr>
              <w:pStyle w:val="Compact"/>
              <w:jc w:val="right"/>
            </w:pPr>
            <w:r>
              <w:t xml:space="preserve">—</w:t>
            </w:r>
          </w:p>
        </w:tc>
        <w:tc>
          <w:tcPr>
            <w:tcW w:type="dxa" w:w="1146"/>
          </w:tcPr>
          <w:p>
            <w:pPr>
              <w:pStyle w:val="Compact"/>
              <w:jc w:val="right"/>
            </w:pPr>
            <w:r>
              <w:t xml:space="preserve">—</w:t>
            </w:r>
          </w:p>
        </w:tc>
      </w:tr>
      <w:tr>
        <w:tc>
          <w:tcPr>
            <w:tcW w:type="dxa" w:w="1719"/>
          </w:tcPr>
          <w:p>
            <w:pPr>
              <w:pStyle w:val="Compact"/>
            </w:pPr>
            <w:r>
              <w:t xml:space="preserve">manavgat 2021</w:t>
            </w:r>
          </w:p>
        </w:tc>
        <w:tc>
          <w:tcPr>
            <w:tcW w:type="dxa" w:w="1050"/>
          </w:tcPr>
          <w:p>
            <w:pPr>
              <w:pStyle w:val="Compact"/>
            </w:pPr>
            <w:r>
              <w:t xml:space="preserve">north-south</w:t>
            </w:r>
          </w:p>
        </w:tc>
        <w:tc>
          <w:tcPr>
            <w:tcW w:type="dxa" w:w="1050"/>
          </w:tcPr>
          <w:p>
            <w:pPr>
              <w:pStyle w:val="Compact"/>
            </w:pPr>
            <w:r>
              <w:t xml:space="preserve">high to low</w:t>
            </w:r>
          </w:p>
        </w:tc>
        <w:tc>
          <w:tcPr>
            <w:tcW w:type="dxa" w:w="1528"/>
          </w:tcPr>
          <w:p>
            <w:pPr>
              <w:pStyle w:val="Compact"/>
              <w:jc w:val="right"/>
            </w:pPr>
            <w:r>
              <w:t xml:space="preserve">2,935</w:t>
            </w:r>
          </w:p>
        </w:tc>
        <w:tc>
          <w:tcPr>
            <w:tcW w:type="dxa" w:w="1528"/>
          </w:tcPr>
          <w:p>
            <w:pPr>
              <w:pStyle w:val="Compact"/>
              <w:jc w:val="right"/>
            </w:pPr>
            <w:r>
              <w:t xml:space="preserve">0</w:t>
            </w:r>
          </w:p>
        </w:tc>
        <w:tc>
          <w:tcPr>
            <w:tcW w:type="dxa" w:w="1050"/>
          </w:tcPr>
          <w:p>
            <w:pPr>
              <w:pStyle w:val="Compact"/>
              <w:jc w:val="right"/>
            </w:pPr>
            <w:r>
              <w:t xml:space="preserve">—</w:t>
            </w:r>
          </w:p>
        </w:tc>
        <w:tc>
          <w:tcPr>
            <w:tcW w:type="dxa" w:w="1146"/>
          </w:tcPr>
          <w:p>
            <w:pPr>
              <w:pStyle w:val="Compact"/>
              <w:jc w:val="right"/>
            </w:pPr>
            <w:r>
              <w:t xml:space="preserve">—</w:t>
            </w:r>
          </w:p>
        </w:tc>
      </w:tr>
      <w:tr>
        <w:tc>
          <w:tcPr>
            <w:tcW w:type="dxa" w:w="1719"/>
          </w:tcPr>
          <w:p>
            <w:pPr>
              <w:pStyle w:val="Compact"/>
            </w:pPr>
            <w:r>
              <w:t xml:space="preserve">bejis 2022</w:t>
            </w:r>
          </w:p>
        </w:tc>
        <w:tc>
          <w:tcPr>
            <w:tcW w:type="dxa" w:w="1050"/>
          </w:tcPr>
          <w:p>
            <w:pPr>
              <w:pStyle w:val="Compact"/>
            </w:pPr>
            <w:r>
              <w:t xml:space="preserve">east-west</w:t>
            </w:r>
          </w:p>
        </w:tc>
        <w:tc>
          <w:tcPr>
            <w:tcW w:type="dxa" w:w="1050"/>
          </w:tcPr>
          <w:p>
            <w:pPr>
              <w:pStyle w:val="Compact"/>
            </w:pPr>
            <w:r>
              <w:t xml:space="preserve">low to high</w:t>
            </w:r>
          </w:p>
        </w:tc>
        <w:tc>
          <w:tcPr>
            <w:tcW w:type="dxa" w:w="1528"/>
          </w:tcPr>
          <w:p>
            <w:pPr>
              <w:pStyle w:val="Compact"/>
              <w:jc w:val="right"/>
            </w:pPr>
            <w:r>
              <w:t xml:space="preserve">640</w:t>
            </w:r>
          </w:p>
        </w:tc>
        <w:tc>
          <w:tcPr>
            <w:tcW w:type="dxa" w:w="1528"/>
          </w:tcPr>
          <w:p>
            <w:pPr>
              <w:pStyle w:val="Compact"/>
              <w:jc w:val="right"/>
            </w:pPr>
            <w:r>
              <w:t xml:space="preserve">460</w:t>
            </w:r>
          </w:p>
        </w:tc>
        <w:tc>
          <w:tcPr>
            <w:tcW w:type="dxa" w:w="1050"/>
          </w:tcPr>
          <w:p>
            <w:pPr>
              <w:pStyle w:val="Compact"/>
              <w:jc w:val="right"/>
            </w:pPr>
            <w:r>
              <w:t xml:space="preserve">0.750</w:t>
            </w:r>
          </w:p>
        </w:tc>
        <w:tc>
          <w:tcPr>
            <w:tcW w:type="dxa" w:w="1146"/>
          </w:tcPr>
          <w:p>
            <w:pPr>
              <w:pStyle w:val="Compact"/>
              <w:jc w:val="right"/>
            </w:pPr>
            <w:r>
              <w:t xml:space="preserve">0.784</w:t>
            </w:r>
          </w:p>
        </w:tc>
      </w:tr>
      <w:tr>
        <w:tc>
          <w:tcPr>
            <w:tcW w:type="dxa" w:w="1719"/>
          </w:tcPr>
          <w:p>
            <w:pPr>
              <w:pStyle w:val="Compact"/>
            </w:pPr>
            <w:r>
              <w:t xml:space="preserve">bejis 2022</w:t>
            </w:r>
          </w:p>
        </w:tc>
        <w:tc>
          <w:tcPr>
            <w:tcW w:type="dxa" w:w="1050"/>
          </w:tcPr>
          <w:p>
            <w:pPr>
              <w:pStyle w:val="Compact"/>
            </w:pPr>
            <w:r>
              <w:t xml:space="preserve">east-west</w:t>
            </w:r>
          </w:p>
        </w:tc>
        <w:tc>
          <w:tcPr>
            <w:tcW w:type="dxa" w:w="1050"/>
          </w:tcPr>
          <w:p>
            <w:pPr>
              <w:pStyle w:val="Compact"/>
            </w:pPr>
            <w:r>
              <w:t xml:space="preserve">high to low</w:t>
            </w:r>
          </w:p>
        </w:tc>
        <w:tc>
          <w:tcPr>
            <w:tcW w:type="dxa" w:w="1528"/>
          </w:tcPr>
          <w:p>
            <w:pPr>
              <w:pStyle w:val="Compact"/>
              <w:jc w:val="right"/>
            </w:pPr>
            <w:r>
              <w:t xml:space="preserve">460</w:t>
            </w:r>
          </w:p>
        </w:tc>
        <w:tc>
          <w:tcPr>
            <w:tcW w:type="dxa" w:w="1528"/>
          </w:tcPr>
          <w:p>
            <w:pPr>
              <w:pStyle w:val="Compact"/>
              <w:jc w:val="right"/>
            </w:pPr>
            <w:r>
              <w:t xml:space="preserve">640</w:t>
            </w:r>
          </w:p>
        </w:tc>
        <w:tc>
          <w:tcPr>
            <w:tcW w:type="dxa" w:w="1050"/>
          </w:tcPr>
          <w:p>
            <w:pPr>
              <w:pStyle w:val="Compact"/>
              <w:jc w:val="right"/>
            </w:pPr>
            <w:r>
              <w:t xml:space="preserve">0.578</w:t>
            </w:r>
          </w:p>
        </w:tc>
        <w:tc>
          <w:tcPr>
            <w:tcW w:type="dxa" w:w="1146"/>
          </w:tcPr>
          <w:p>
            <w:pPr>
              <w:pStyle w:val="Compact"/>
              <w:jc w:val="right"/>
            </w:pPr>
            <w:r>
              <w:t xml:space="preserve">0.560</w:t>
            </w:r>
          </w:p>
        </w:tc>
      </w:tr>
      <w:tr>
        <w:tc>
          <w:tcPr>
            <w:tcW w:type="dxa" w:w="1719"/>
          </w:tcPr>
          <w:p>
            <w:pPr>
              <w:pStyle w:val="Compact"/>
            </w:pPr>
            <w:r>
              <w:t xml:space="preserve">bejis 2022</w:t>
            </w:r>
          </w:p>
        </w:tc>
        <w:tc>
          <w:tcPr>
            <w:tcW w:type="dxa" w:w="1050"/>
          </w:tcPr>
          <w:p>
            <w:pPr>
              <w:pStyle w:val="Compact"/>
            </w:pPr>
            <w:r>
              <w:t xml:space="preserve">north-south</w:t>
            </w:r>
          </w:p>
        </w:tc>
        <w:tc>
          <w:tcPr>
            <w:tcW w:type="dxa" w:w="1050"/>
          </w:tcPr>
          <w:p>
            <w:pPr>
              <w:pStyle w:val="Compact"/>
            </w:pPr>
            <w:r>
              <w:t xml:space="preserve">low to high</w:t>
            </w:r>
          </w:p>
        </w:tc>
        <w:tc>
          <w:tcPr>
            <w:tcW w:type="dxa" w:w="1528"/>
          </w:tcPr>
          <w:p>
            <w:pPr>
              <w:pStyle w:val="Compact"/>
              <w:jc w:val="right"/>
            </w:pPr>
            <w:r>
              <w:t xml:space="preserve">357</w:t>
            </w:r>
          </w:p>
        </w:tc>
        <w:tc>
          <w:tcPr>
            <w:tcW w:type="dxa" w:w="1528"/>
          </w:tcPr>
          <w:p>
            <w:pPr>
              <w:pStyle w:val="Compact"/>
              <w:jc w:val="right"/>
            </w:pPr>
            <w:r>
              <w:t xml:space="preserve">743</w:t>
            </w:r>
          </w:p>
        </w:tc>
        <w:tc>
          <w:tcPr>
            <w:tcW w:type="dxa" w:w="1050"/>
          </w:tcPr>
          <w:p>
            <w:pPr>
              <w:pStyle w:val="Compact"/>
              <w:jc w:val="right"/>
            </w:pPr>
            <w:r>
              <w:t xml:space="preserve">0.713</w:t>
            </w:r>
          </w:p>
        </w:tc>
        <w:tc>
          <w:tcPr>
            <w:tcW w:type="dxa" w:w="1146"/>
          </w:tcPr>
          <w:p>
            <w:pPr>
              <w:pStyle w:val="Compact"/>
              <w:jc w:val="right"/>
            </w:pPr>
            <w:r>
              <w:t xml:space="preserve">0.662</w:t>
            </w:r>
          </w:p>
        </w:tc>
      </w:tr>
      <w:tr>
        <w:tc>
          <w:tcPr>
            <w:tcW w:type="dxa" w:w="1719"/>
          </w:tcPr>
          <w:p>
            <w:pPr>
              <w:pStyle w:val="Compact"/>
            </w:pPr>
            <w:r>
              <w:t xml:space="preserve">bejis 2022</w:t>
            </w:r>
          </w:p>
        </w:tc>
        <w:tc>
          <w:tcPr>
            <w:tcW w:type="dxa" w:w="1050"/>
          </w:tcPr>
          <w:p>
            <w:pPr>
              <w:pStyle w:val="Compact"/>
            </w:pPr>
            <w:r>
              <w:t xml:space="preserve">north-south</w:t>
            </w:r>
          </w:p>
        </w:tc>
        <w:tc>
          <w:tcPr>
            <w:tcW w:type="dxa" w:w="1050"/>
          </w:tcPr>
          <w:p>
            <w:pPr>
              <w:pStyle w:val="Compact"/>
            </w:pPr>
            <w:r>
              <w:t xml:space="preserve">high to low</w:t>
            </w:r>
          </w:p>
        </w:tc>
        <w:tc>
          <w:tcPr>
            <w:tcW w:type="dxa" w:w="1528"/>
          </w:tcPr>
          <w:p>
            <w:pPr>
              <w:pStyle w:val="Compact"/>
              <w:jc w:val="right"/>
            </w:pPr>
            <w:r>
              <w:t xml:space="preserve">743</w:t>
            </w:r>
          </w:p>
        </w:tc>
        <w:tc>
          <w:tcPr>
            <w:tcW w:type="dxa" w:w="1528"/>
          </w:tcPr>
          <w:p>
            <w:pPr>
              <w:pStyle w:val="Compact"/>
              <w:jc w:val="right"/>
            </w:pPr>
            <w:r>
              <w:t xml:space="preserve">357</w:t>
            </w:r>
          </w:p>
        </w:tc>
        <w:tc>
          <w:tcPr>
            <w:tcW w:type="dxa" w:w="1050"/>
          </w:tcPr>
          <w:p>
            <w:pPr>
              <w:pStyle w:val="Compact"/>
              <w:jc w:val="right"/>
            </w:pPr>
            <w:r>
              <w:t xml:space="preserve">0.603</w:t>
            </w:r>
          </w:p>
        </w:tc>
        <w:tc>
          <w:tcPr>
            <w:tcW w:type="dxa" w:w="1146"/>
          </w:tcPr>
          <w:p>
            <w:pPr>
              <w:pStyle w:val="Compact"/>
              <w:jc w:val="right"/>
            </w:pPr>
            <w:r>
              <w:t xml:space="preserve">0.613</w:t>
            </w:r>
          </w:p>
        </w:tc>
      </w:tr>
      <w:tr>
        <w:tc>
          <w:tcPr>
            <w:tcW w:type="dxa" w:w="1719"/>
          </w:tcPr>
          <w:p>
            <w:pPr>
              <w:pStyle w:val="Compact"/>
            </w:pPr>
            <w:r>
              <w:t xml:space="preserve">mugla 2021</w:t>
            </w:r>
          </w:p>
        </w:tc>
        <w:tc>
          <w:tcPr>
            <w:tcW w:type="dxa" w:w="1050"/>
          </w:tcPr>
          <w:p>
            <w:pPr>
              <w:pStyle w:val="Compact"/>
            </w:pPr>
            <w:r>
              <w:t xml:space="preserve">east-west</w:t>
            </w:r>
          </w:p>
        </w:tc>
        <w:tc>
          <w:tcPr>
            <w:tcW w:type="dxa" w:w="1050"/>
          </w:tcPr>
          <w:p>
            <w:pPr>
              <w:pStyle w:val="Compact"/>
            </w:pPr>
            <w:r>
              <w:t xml:space="preserve">low to high</w:t>
            </w:r>
          </w:p>
        </w:tc>
        <w:tc>
          <w:tcPr>
            <w:tcW w:type="dxa" w:w="1528"/>
          </w:tcPr>
          <w:p>
            <w:pPr>
              <w:pStyle w:val="Compact"/>
              <w:jc w:val="right"/>
            </w:pPr>
            <w:r>
              <w:t xml:space="preserve">1,449</w:t>
            </w:r>
          </w:p>
        </w:tc>
        <w:tc>
          <w:tcPr>
            <w:tcW w:type="dxa" w:w="1528"/>
          </w:tcPr>
          <w:p>
            <w:pPr>
              <w:pStyle w:val="Compact"/>
              <w:jc w:val="right"/>
            </w:pPr>
            <w:r>
              <w:t xml:space="preserve">1,462</w:t>
            </w:r>
          </w:p>
        </w:tc>
        <w:tc>
          <w:tcPr>
            <w:tcW w:type="dxa" w:w="1050"/>
          </w:tcPr>
          <w:p>
            <w:pPr>
              <w:pStyle w:val="Compact"/>
              <w:jc w:val="right"/>
            </w:pPr>
            <w:r>
              <w:t xml:space="preserve">0.448</w:t>
            </w:r>
          </w:p>
        </w:tc>
        <w:tc>
          <w:tcPr>
            <w:tcW w:type="dxa" w:w="1146"/>
          </w:tcPr>
          <w:p>
            <w:pPr>
              <w:pStyle w:val="Compact"/>
              <w:jc w:val="right"/>
            </w:pPr>
            <w:r>
              <w:t xml:space="preserve">0.378</w:t>
            </w:r>
          </w:p>
        </w:tc>
      </w:tr>
      <w:tr>
        <w:tc>
          <w:tcPr>
            <w:tcW w:type="dxa" w:w="1719"/>
          </w:tcPr>
          <w:p>
            <w:pPr>
              <w:pStyle w:val="Compact"/>
            </w:pPr>
            <w:r>
              <w:t xml:space="preserve">mugla 2021</w:t>
            </w:r>
          </w:p>
        </w:tc>
        <w:tc>
          <w:tcPr>
            <w:tcW w:type="dxa" w:w="1050"/>
          </w:tcPr>
          <w:p>
            <w:pPr>
              <w:pStyle w:val="Compact"/>
            </w:pPr>
            <w:r>
              <w:t xml:space="preserve">east-west</w:t>
            </w:r>
          </w:p>
        </w:tc>
        <w:tc>
          <w:tcPr>
            <w:tcW w:type="dxa" w:w="1050"/>
          </w:tcPr>
          <w:p>
            <w:pPr>
              <w:pStyle w:val="Compact"/>
            </w:pPr>
            <w:r>
              <w:t xml:space="preserve">high to low</w:t>
            </w:r>
          </w:p>
        </w:tc>
        <w:tc>
          <w:tcPr>
            <w:tcW w:type="dxa" w:w="1528"/>
          </w:tcPr>
          <w:p>
            <w:pPr>
              <w:pStyle w:val="Compact"/>
              <w:jc w:val="right"/>
            </w:pPr>
            <w:r>
              <w:t xml:space="preserve">1,462</w:t>
            </w:r>
          </w:p>
        </w:tc>
        <w:tc>
          <w:tcPr>
            <w:tcW w:type="dxa" w:w="1528"/>
          </w:tcPr>
          <w:p>
            <w:pPr>
              <w:pStyle w:val="Compact"/>
              <w:jc w:val="right"/>
            </w:pPr>
            <w:r>
              <w:t xml:space="preserve">1,449</w:t>
            </w:r>
          </w:p>
        </w:tc>
        <w:tc>
          <w:tcPr>
            <w:tcW w:type="dxa" w:w="1050"/>
          </w:tcPr>
          <w:p>
            <w:pPr>
              <w:pStyle w:val="Compact"/>
              <w:jc w:val="right"/>
            </w:pPr>
            <w:r>
              <w:t xml:space="preserve">0.636</w:t>
            </w:r>
          </w:p>
        </w:tc>
        <w:tc>
          <w:tcPr>
            <w:tcW w:type="dxa" w:w="1146"/>
          </w:tcPr>
          <w:p>
            <w:pPr>
              <w:pStyle w:val="Compact"/>
              <w:jc w:val="right"/>
            </w:pPr>
            <w:r>
              <w:t xml:space="preserve">0.628</w:t>
            </w:r>
          </w:p>
        </w:tc>
      </w:tr>
      <w:tr>
        <w:tc>
          <w:tcPr>
            <w:tcW w:type="dxa" w:w="1719"/>
          </w:tcPr>
          <w:p>
            <w:pPr>
              <w:pStyle w:val="Compact"/>
            </w:pPr>
            <w:r>
              <w:t xml:space="preserve">mugla 2021</w:t>
            </w:r>
          </w:p>
        </w:tc>
        <w:tc>
          <w:tcPr>
            <w:tcW w:type="dxa" w:w="1050"/>
          </w:tcPr>
          <w:p>
            <w:pPr>
              <w:pStyle w:val="Compact"/>
            </w:pPr>
            <w:r>
              <w:t xml:space="preserve">north-south</w:t>
            </w:r>
          </w:p>
        </w:tc>
        <w:tc>
          <w:tcPr>
            <w:tcW w:type="dxa" w:w="1050"/>
          </w:tcPr>
          <w:p>
            <w:pPr>
              <w:pStyle w:val="Compact"/>
            </w:pPr>
            <w:r>
              <w:t xml:space="preserve">low to high</w:t>
            </w:r>
          </w:p>
        </w:tc>
        <w:tc>
          <w:tcPr>
            <w:tcW w:type="dxa" w:w="1528"/>
          </w:tcPr>
          <w:p>
            <w:pPr>
              <w:pStyle w:val="Compact"/>
              <w:jc w:val="right"/>
            </w:pPr>
            <w:r>
              <w:t xml:space="preserve">774</w:t>
            </w:r>
          </w:p>
        </w:tc>
        <w:tc>
          <w:tcPr>
            <w:tcW w:type="dxa" w:w="1528"/>
          </w:tcPr>
          <w:p>
            <w:pPr>
              <w:pStyle w:val="Compact"/>
              <w:jc w:val="right"/>
            </w:pPr>
            <w:r>
              <w:t xml:space="preserve">2,137</w:t>
            </w:r>
          </w:p>
        </w:tc>
        <w:tc>
          <w:tcPr>
            <w:tcW w:type="dxa" w:w="1050"/>
          </w:tcPr>
          <w:p>
            <w:pPr>
              <w:pStyle w:val="Compact"/>
              <w:jc w:val="right"/>
            </w:pPr>
            <w:r>
              <w:t xml:space="preserve">0.533</w:t>
            </w:r>
          </w:p>
        </w:tc>
        <w:tc>
          <w:tcPr>
            <w:tcW w:type="dxa" w:w="1146"/>
          </w:tcPr>
          <w:p>
            <w:pPr>
              <w:pStyle w:val="Compact"/>
              <w:jc w:val="right"/>
            </w:pPr>
            <w:r>
              <w:t xml:space="preserve">0.503</w:t>
            </w:r>
          </w:p>
        </w:tc>
      </w:tr>
      <w:tr>
        <w:tc>
          <w:tcPr>
            <w:tcW w:type="dxa" w:w="1719"/>
          </w:tcPr>
          <w:p>
            <w:pPr>
              <w:pStyle w:val="Compact"/>
            </w:pPr>
            <w:r>
              <w:t xml:space="preserve">mugla 2021</w:t>
            </w:r>
          </w:p>
        </w:tc>
        <w:tc>
          <w:tcPr>
            <w:tcW w:type="dxa" w:w="1050"/>
          </w:tcPr>
          <w:p>
            <w:pPr>
              <w:pStyle w:val="Compact"/>
            </w:pPr>
            <w:r>
              <w:t xml:space="preserve">north-south</w:t>
            </w:r>
          </w:p>
        </w:tc>
        <w:tc>
          <w:tcPr>
            <w:tcW w:type="dxa" w:w="1050"/>
          </w:tcPr>
          <w:p>
            <w:pPr>
              <w:pStyle w:val="Compact"/>
            </w:pPr>
            <w:r>
              <w:t xml:space="preserve">high to low</w:t>
            </w:r>
          </w:p>
        </w:tc>
        <w:tc>
          <w:tcPr>
            <w:tcW w:type="dxa" w:w="1528"/>
          </w:tcPr>
          <w:p>
            <w:pPr>
              <w:pStyle w:val="Compact"/>
              <w:jc w:val="right"/>
            </w:pPr>
            <w:r>
              <w:t xml:space="preserve">2,137</w:t>
            </w:r>
          </w:p>
        </w:tc>
        <w:tc>
          <w:tcPr>
            <w:tcW w:type="dxa" w:w="1528"/>
          </w:tcPr>
          <w:p>
            <w:pPr>
              <w:pStyle w:val="Compact"/>
              <w:jc w:val="right"/>
            </w:pPr>
            <w:r>
              <w:t xml:space="preserve">774</w:t>
            </w:r>
          </w:p>
        </w:tc>
        <w:tc>
          <w:tcPr>
            <w:tcW w:type="dxa" w:w="1050"/>
          </w:tcPr>
          <w:p>
            <w:pPr>
              <w:pStyle w:val="Compact"/>
              <w:jc w:val="right"/>
            </w:pPr>
            <w:r>
              <w:t xml:space="preserve">0.294</w:t>
            </w:r>
          </w:p>
        </w:tc>
        <w:tc>
          <w:tcPr>
            <w:tcW w:type="dxa" w:w="1146"/>
          </w:tcPr>
          <w:p>
            <w:pPr>
              <w:pStyle w:val="Compact"/>
              <w:jc w:val="right"/>
            </w:pPr>
            <w:r>
              <w:t xml:space="preserve">0.549</w:t>
            </w:r>
          </w:p>
        </w:tc>
      </w:tr>
      <w:tr>
        <w:tc>
          <w:tcPr>
            <w:tcW w:type="dxa" w:w="1719"/>
          </w:tcPr>
          <w:p>
            <w:pPr>
              <w:pStyle w:val="Compact"/>
            </w:pPr>
            <w:r>
              <w:t xml:space="preserve">evia 2021 extended</w:t>
            </w:r>
          </w:p>
        </w:tc>
        <w:tc>
          <w:tcPr>
            <w:tcW w:type="dxa" w:w="1050"/>
          </w:tcPr>
          <w:p>
            <w:pPr>
              <w:pStyle w:val="Compact"/>
            </w:pPr>
            <w:r>
              <w:t xml:space="preserve">east-west</w:t>
            </w:r>
          </w:p>
        </w:tc>
        <w:tc>
          <w:tcPr>
            <w:tcW w:type="dxa" w:w="1050"/>
          </w:tcPr>
          <w:p>
            <w:pPr>
              <w:pStyle w:val="Compact"/>
            </w:pPr>
            <w:r>
              <w:t xml:space="preserve">low to high</w:t>
            </w:r>
          </w:p>
        </w:tc>
        <w:tc>
          <w:tcPr>
            <w:tcW w:type="dxa" w:w="1528"/>
          </w:tcPr>
          <w:p>
            <w:pPr>
              <w:pStyle w:val="Compact"/>
              <w:jc w:val="right"/>
            </w:pPr>
            <w:r>
              <w:t xml:space="preserve">2,052</w:t>
            </w:r>
          </w:p>
        </w:tc>
        <w:tc>
          <w:tcPr>
            <w:tcW w:type="dxa" w:w="1528"/>
          </w:tcPr>
          <w:p>
            <w:pPr>
              <w:pStyle w:val="Compact"/>
              <w:jc w:val="right"/>
            </w:pPr>
            <w:r>
              <w:t xml:space="preserve">612</w:t>
            </w:r>
          </w:p>
        </w:tc>
        <w:tc>
          <w:tcPr>
            <w:tcW w:type="dxa" w:w="1050"/>
          </w:tcPr>
          <w:p>
            <w:pPr>
              <w:pStyle w:val="Compact"/>
              <w:jc w:val="right"/>
            </w:pPr>
            <w:r>
              <w:t xml:space="preserve">0.589</w:t>
            </w:r>
          </w:p>
        </w:tc>
        <w:tc>
          <w:tcPr>
            <w:tcW w:type="dxa" w:w="1146"/>
          </w:tcPr>
          <w:p>
            <w:pPr>
              <w:pStyle w:val="Compact"/>
              <w:jc w:val="right"/>
            </w:pPr>
            <w:r>
              <w:t xml:space="preserve">0.506</w:t>
            </w:r>
          </w:p>
        </w:tc>
      </w:tr>
      <w:tr>
        <w:tc>
          <w:tcPr>
            <w:tcW w:type="dxa" w:w="1719"/>
          </w:tcPr>
          <w:p>
            <w:pPr>
              <w:pStyle w:val="Compact"/>
            </w:pPr>
            <w:r>
              <w:t xml:space="preserve">evia 2021 extended</w:t>
            </w:r>
          </w:p>
        </w:tc>
        <w:tc>
          <w:tcPr>
            <w:tcW w:type="dxa" w:w="1050"/>
          </w:tcPr>
          <w:p>
            <w:pPr>
              <w:pStyle w:val="Compact"/>
            </w:pPr>
            <w:r>
              <w:t xml:space="preserve">east-west</w:t>
            </w:r>
          </w:p>
        </w:tc>
        <w:tc>
          <w:tcPr>
            <w:tcW w:type="dxa" w:w="1050"/>
          </w:tcPr>
          <w:p>
            <w:pPr>
              <w:pStyle w:val="Compact"/>
            </w:pPr>
            <w:r>
              <w:t xml:space="preserve">high to low</w:t>
            </w:r>
          </w:p>
        </w:tc>
        <w:tc>
          <w:tcPr>
            <w:tcW w:type="dxa" w:w="1528"/>
          </w:tcPr>
          <w:p>
            <w:pPr>
              <w:pStyle w:val="Compact"/>
              <w:jc w:val="right"/>
            </w:pPr>
            <w:r>
              <w:t xml:space="preserve">612</w:t>
            </w:r>
          </w:p>
        </w:tc>
        <w:tc>
          <w:tcPr>
            <w:tcW w:type="dxa" w:w="1528"/>
          </w:tcPr>
          <w:p>
            <w:pPr>
              <w:pStyle w:val="Compact"/>
              <w:jc w:val="right"/>
            </w:pPr>
            <w:r>
              <w:t xml:space="preserve">2,052</w:t>
            </w:r>
          </w:p>
        </w:tc>
        <w:tc>
          <w:tcPr>
            <w:tcW w:type="dxa" w:w="1050"/>
          </w:tcPr>
          <w:p>
            <w:pPr>
              <w:pStyle w:val="Compact"/>
              <w:jc w:val="right"/>
            </w:pPr>
            <w:r>
              <w:t xml:space="preserve">0.645</w:t>
            </w:r>
          </w:p>
        </w:tc>
        <w:tc>
          <w:tcPr>
            <w:tcW w:type="dxa" w:w="1146"/>
          </w:tcPr>
          <w:p>
            <w:pPr>
              <w:pStyle w:val="Compact"/>
              <w:jc w:val="right"/>
            </w:pPr>
            <w:r>
              <w:t xml:space="preserve">0.482</w:t>
            </w:r>
          </w:p>
        </w:tc>
      </w:tr>
      <w:tr>
        <w:tc>
          <w:tcPr>
            <w:tcW w:type="dxa" w:w="1719"/>
          </w:tcPr>
          <w:p>
            <w:pPr>
              <w:pStyle w:val="Compact"/>
            </w:pPr>
            <w:r>
              <w:t xml:space="preserve">evia 2021 extended</w:t>
            </w:r>
          </w:p>
        </w:tc>
        <w:tc>
          <w:tcPr>
            <w:tcW w:type="dxa" w:w="1050"/>
          </w:tcPr>
          <w:p>
            <w:pPr>
              <w:pStyle w:val="Compact"/>
            </w:pPr>
            <w:r>
              <w:t xml:space="preserve">north-south</w:t>
            </w:r>
          </w:p>
        </w:tc>
        <w:tc>
          <w:tcPr>
            <w:tcW w:type="dxa" w:w="1050"/>
          </w:tcPr>
          <w:p>
            <w:pPr>
              <w:pStyle w:val="Compact"/>
            </w:pPr>
            <w:r>
              <w:t xml:space="preserve">low to high</w:t>
            </w:r>
          </w:p>
        </w:tc>
        <w:tc>
          <w:tcPr>
            <w:tcW w:type="dxa" w:w="1528"/>
          </w:tcPr>
          <w:p>
            <w:pPr>
              <w:pStyle w:val="Compact"/>
              <w:jc w:val="right"/>
            </w:pPr>
            <w:r>
              <w:t xml:space="preserve">2,564</w:t>
            </w:r>
          </w:p>
        </w:tc>
        <w:tc>
          <w:tcPr>
            <w:tcW w:type="dxa" w:w="1528"/>
          </w:tcPr>
          <w:p>
            <w:pPr>
              <w:pStyle w:val="Compact"/>
              <w:jc w:val="right"/>
            </w:pPr>
            <w:r>
              <w:t xml:space="preserve">100</w:t>
            </w:r>
          </w:p>
        </w:tc>
        <w:tc>
          <w:tcPr>
            <w:tcW w:type="dxa" w:w="1050"/>
          </w:tcPr>
          <w:p>
            <w:pPr>
              <w:pStyle w:val="Compact"/>
              <w:jc w:val="right"/>
            </w:pPr>
            <w:r>
              <w:t xml:space="preserve">0.649</w:t>
            </w:r>
          </w:p>
        </w:tc>
        <w:tc>
          <w:tcPr>
            <w:tcW w:type="dxa" w:w="1146"/>
          </w:tcPr>
          <w:p>
            <w:pPr>
              <w:pStyle w:val="Compact"/>
              <w:jc w:val="right"/>
            </w:pPr>
            <w:r>
              <w:t xml:space="preserve">0.513</w:t>
            </w:r>
          </w:p>
        </w:tc>
      </w:tr>
      <w:tr>
        <w:tc>
          <w:tcPr>
            <w:tcW w:type="dxa" w:w="1719"/>
          </w:tcPr>
          <w:p>
            <w:pPr>
              <w:pStyle w:val="Compact"/>
            </w:pPr>
            <w:r>
              <w:t xml:space="preserve">evia 2021 extended</w:t>
            </w:r>
          </w:p>
        </w:tc>
        <w:tc>
          <w:tcPr>
            <w:tcW w:type="dxa" w:w="1050"/>
          </w:tcPr>
          <w:p>
            <w:pPr>
              <w:pStyle w:val="Compact"/>
            </w:pPr>
            <w:r>
              <w:t xml:space="preserve">north-south</w:t>
            </w:r>
          </w:p>
        </w:tc>
        <w:tc>
          <w:tcPr>
            <w:tcW w:type="dxa" w:w="1050"/>
          </w:tcPr>
          <w:p>
            <w:pPr>
              <w:pStyle w:val="Compact"/>
            </w:pPr>
            <w:r>
              <w:t xml:space="preserve">high to low</w:t>
            </w:r>
          </w:p>
        </w:tc>
        <w:tc>
          <w:tcPr>
            <w:tcW w:type="dxa" w:w="1528"/>
          </w:tcPr>
          <w:p>
            <w:pPr>
              <w:pStyle w:val="Compact"/>
              <w:jc w:val="right"/>
            </w:pPr>
            <w:r>
              <w:t xml:space="preserve">100</w:t>
            </w:r>
          </w:p>
        </w:tc>
        <w:tc>
          <w:tcPr>
            <w:tcW w:type="dxa" w:w="1528"/>
          </w:tcPr>
          <w:p>
            <w:pPr>
              <w:pStyle w:val="Compact"/>
              <w:jc w:val="right"/>
            </w:pPr>
            <w:r>
              <w:t xml:space="preserve">2,564</w:t>
            </w:r>
          </w:p>
        </w:tc>
        <w:tc>
          <w:tcPr>
            <w:tcW w:type="dxa" w:w="1050"/>
          </w:tcPr>
          <w:p>
            <w:pPr>
              <w:pStyle w:val="Compact"/>
              <w:jc w:val="right"/>
            </w:pPr>
            <w:r>
              <w:t xml:space="preserve">0.533</w:t>
            </w:r>
          </w:p>
        </w:tc>
        <w:tc>
          <w:tcPr>
            <w:tcW w:type="dxa" w:w="1146"/>
          </w:tcPr>
          <w:p>
            <w:pPr>
              <w:pStyle w:val="Compact"/>
              <w:jc w:val="right"/>
            </w:pPr>
            <w:r>
              <w:t xml:space="preserve">0.495</w:t>
            </w:r>
          </w:p>
        </w:tc>
      </w:tr>
      <w:tr>
        <w:tc>
          <w:tcPr>
            <w:tcW w:type="dxa" w:w="1719"/>
          </w:tcPr>
          <w:p>
            <w:pPr>
              <w:pStyle w:val="Compact"/>
            </w:pPr>
            <w:r>
              <w:t xml:space="preserve">montiferru 2021</w:t>
            </w:r>
          </w:p>
        </w:tc>
        <w:tc>
          <w:tcPr>
            <w:tcW w:type="dxa" w:w="1050"/>
          </w:tcPr>
          <w:p>
            <w:pPr>
              <w:pStyle w:val="Compact"/>
            </w:pPr>
            <w:r>
              <w:t xml:space="preserve">east-west</w:t>
            </w:r>
          </w:p>
        </w:tc>
        <w:tc>
          <w:tcPr>
            <w:tcW w:type="dxa" w:w="1050"/>
          </w:tcPr>
          <w:p>
            <w:pPr>
              <w:pStyle w:val="Compact"/>
            </w:pPr>
            <w:r>
              <w:t xml:space="preserve">low to high</w:t>
            </w:r>
          </w:p>
        </w:tc>
        <w:tc>
          <w:tcPr>
            <w:tcW w:type="dxa" w:w="1528"/>
          </w:tcPr>
          <w:p>
            <w:pPr>
              <w:pStyle w:val="Compact"/>
              <w:jc w:val="right"/>
            </w:pPr>
            <w:r>
              <w:t xml:space="preserve">410</w:t>
            </w:r>
          </w:p>
        </w:tc>
        <w:tc>
          <w:tcPr>
            <w:tcW w:type="dxa" w:w="1528"/>
          </w:tcPr>
          <w:p>
            <w:pPr>
              <w:pStyle w:val="Compact"/>
              <w:jc w:val="right"/>
            </w:pPr>
            <w:r>
              <w:t xml:space="preserve">129</w:t>
            </w:r>
          </w:p>
        </w:tc>
        <w:tc>
          <w:tcPr>
            <w:tcW w:type="dxa" w:w="1050"/>
          </w:tcPr>
          <w:p>
            <w:pPr>
              <w:pStyle w:val="Compact"/>
              <w:jc w:val="right"/>
            </w:pPr>
            <w:r>
              <w:t xml:space="preserve">0.475</w:t>
            </w:r>
          </w:p>
        </w:tc>
        <w:tc>
          <w:tcPr>
            <w:tcW w:type="dxa" w:w="1146"/>
          </w:tcPr>
          <w:p>
            <w:pPr>
              <w:pStyle w:val="Compact"/>
              <w:jc w:val="right"/>
            </w:pPr>
            <w:r>
              <w:t xml:space="preserve">0.461</w:t>
            </w:r>
          </w:p>
        </w:tc>
      </w:tr>
      <w:tr>
        <w:tc>
          <w:tcPr>
            <w:tcW w:type="dxa" w:w="1719"/>
          </w:tcPr>
          <w:p>
            <w:pPr>
              <w:pStyle w:val="Compact"/>
            </w:pPr>
            <w:r>
              <w:t xml:space="preserve">montiferru 2021</w:t>
            </w:r>
          </w:p>
        </w:tc>
        <w:tc>
          <w:tcPr>
            <w:tcW w:type="dxa" w:w="1050"/>
          </w:tcPr>
          <w:p>
            <w:pPr>
              <w:pStyle w:val="Compact"/>
            </w:pPr>
            <w:r>
              <w:t xml:space="preserve">east-west</w:t>
            </w:r>
          </w:p>
        </w:tc>
        <w:tc>
          <w:tcPr>
            <w:tcW w:type="dxa" w:w="1050"/>
          </w:tcPr>
          <w:p>
            <w:pPr>
              <w:pStyle w:val="Compact"/>
            </w:pPr>
            <w:r>
              <w:t xml:space="preserve">high to low</w:t>
            </w:r>
          </w:p>
        </w:tc>
        <w:tc>
          <w:tcPr>
            <w:tcW w:type="dxa" w:w="1528"/>
          </w:tcPr>
          <w:p>
            <w:pPr>
              <w:pStyle w:val="Compact"/>
              <w:jc w:val="right"/>
            </w:pPr>
            <w:r>
              <w:t xml:space="preserve">129</w:t>
            </w:r>
          </w:p>
        </w:tc>
        <w:tc>
          <w:tcPr>
            <w:tcW w:type="dxa" w:w="1528"/>
          </w:tcPr>
          <w:p>
            <w:pPr>
              <w:pStyle w:val="Compact"/>
              <w:jc w:val="right"/>
            </w:pPr>
            <w:r>
              <w:t xml:space="preserve">410</w:t>
            </w:r>
          </w:p>
        </w:tc>
        <w:tc>
          <w:tcPr>
            <w:tcW w:type="dxa" w:w="1050"/>
          </w:tcPr>
          <w:p>
            <w:pPr>
              <w:pStyle w:val="Compact"/>
              <w:jc w:val="right"/>
            </w:pPr>
            <w:r>
              <w:t xml:space="preserve">0.507</w:t>
            </w:r>
          </w:p>
        </w:tc>
        <w:tc>
          <w:tcPr>
            <w:tcW w:type="dxa" w:w="1146"/>
          </w:tcPr>
          <w:p>
            <w:pPr>
              <w:pStyle w:val="Compact"/>
              <w:jc w:val="right"/>
            </w:pPr>
            <w:r>
              <w:t xml:space="preserve">0.513</w:t>
            </w:r>
          </w:p>
        </w:tc>
      </w:tr>
      <w:tr>
        <w:tc>
          <w:tcPr>
            <w:tcW w:type="dxa" w:w="1719"/>
          </w:tcPr>
          <w:p>
            <w:pPr>
              <w:pStyle w:val="Compact"/>
            </w:pPr>
            <w:r>
              <w:t xml:space="preserve">montiferru 2021</w:t>
            </w:r>
          </w:p>
        </w:tc>
        <w:tc>
          <w:tcPr>
            <w:tcW w:type="dxa" w:w="1050"/>
          </w:tcPr>
          <w:p>
            <w:pPr>
              <w:pStyle w:val="Compact"/>
            </w:pPr>
            <w:r>
              <w:t xml:space="preserve">north-south</w:t>
            </w:r>
          </w:p>
        </w:tc>
        <w:tc>
          <w:tcPr>
            <w:tcW w:type="dxa" w:w="1050"/>
          </w:tcPr>
          <w:p>
            <w:pPr>
              <w:pStyle w:val="Compact"/>
            </w:pPr>
            <w:r>
              <w:t xml:space="preserve">low to high</w:t>
            </w:r>
          </w:p>
        </w:tc>
        <w:tc>
          <w:tcPr>
            <w:tcW w:type="dxa" w:w="1528"/>
          </w:tcPr>
          <w:p>
            <w:pPr>
              <w:pStyle w:val="Compact"/>
              <w:jc w:val="right"/>
            </w:pPr>
            <w:r>
              <w:t xml:space="preserve">438</w:t>
            </w:r>
          </w:p>
        </w:tc>
        <w:tc>
          <w:tcPr>
            <w:tcW w:type="dxa" w:w="1528"/>
          </w:tcPr>
          <w:p>
            <w:pPr>
              <w:pStyle w:val="Compact"/>
              <w:jc w:val="right"/>
            </w:pPr>
            <w:r>
              <w:t xml:space="preserve">101</w:t>
            </w:r>
          </w:p>
        </w:tc>
        <w:tc>
          <w:tcPr>
            <w:tcW w:type="dxa" w:w="1050"/>
          </w:tcPr>
          <w:p>
            <w:pPr>
              <w:pStyle w:val="Compact"/>
              <w:jc w:val="right"/>
            </w:pPr>
            <w:r>
              <w:t xml:space="preserve">0.583</w:t>
            </w:r>
          </w:p>
        </w:tc>
        <w:tc>
          <w:tcPr>
            <w:tcW w:type="dxa" w:w="1146"/>
          </w:tcPr>
          <w:p>
            <w:pPr>
              <w:pStyle w:val="Compact"/>
              <w:jc w:val="right"/>
            </w:pPr>
            <w:r>
              <w:t xml:space="preserve">0.511</w:t>
            </w:r>
          </w:p>
        </w:tc>
      </w:tr>
      <w:tr>
        <w:tc>
          <w:tcPr>
            <w:tcW w:type="dxa" w:w="1719"/>
          </w:tcPr>
          <w:p>
            <w:pPr>
              <w:pStyle w:val="Compact"/>
            </w:pPr>
            <w:r>
              <w:t xml:space="preserve">montiferru 2021</w:t>
            </w:r>
          </w:p>
        </w:tc>
        <w:tc>
          <w:tcPr>
            <w:tcW w:type="dxa" w:w="1050"/>
          </w:tcPr>
          <w:p>
            <w:pPr>
              <w:pStyle w:val="Compact"/>
            </w:pPr>
            <w:r>
              <w:t xml:space="preserve">north-south</w:t>
            </w:r>
          </w:p>
        </w:tc>
        <w:tc>
          <w:tcPr>
            <w:tcW w:type="dxa" w:w="1050"/>
          </w:tcPr>
          <w:p>
            <w:pPr>
              <w:pStyle w:val="Compact"/>
            </w:pPr>
            <w:r>
              <w:t xml:space="preserve">high to low</w:t>
            </w:r>
          </w:p>
        </w:tc>
        <w:tc>
          <w:tcPr>
            <w:tcW w:type="dxa" w:w="1528"/>
          </w:tcPr>
          <w:p>
            <w:pPr>
              <w:pStyle w:val="Compact"/>
              <w:jc w:val="right"/>
            </w:pPr>
            <w:r>
              <w:t xml:space="preserve">101</w:t>
            </w:r>
          </w:p>
        </w:tc>
        <w:tc>
          <w:tcPr>
            <w:tcW w:type="dxa" w:w="1528"/>
          </w:tcPr>
          <w:p>
            <w:pPr>
              <w:pStyle w:val="Compact"/>
              <w:jc w:val="right"/>
            </w:pPr>
            <w:r>
              <w:t xml:space="preserve">438</w:t>
            </w:r>
          </w:p>
        </w:tc>
        <w:tc>
          <w:tcPr>
            <w:tcW w:type="dxa" w:w="1050"/>
          </w:tcPr>
          <w:p>
            <w:pPr>
              <w:pStyle w:val="Compact"/>
              <w:jc w:val="right"/>
            </w:pPr>
            <w:r>
              <w:t xml:space="preserve">0.536</w:t>
            </w:r>
          </w:p>
        </w:tc>
        <w:tc>
          <w:tcPr>
            <w:tcW w:type="dxa" w:w="1146"/>
          </w:tcPr>
          <w:p>
            <w:pPr>
              <w:pStyle w:val="Compact"/>
              <w:jc w:val="right"/>
            </w:pPr>
            <w:r>
              <w:t xml:space="preserve">0.447</w:t>
            </w:r>
          </w:p>
        </w:tc>
      </w:tr>
    </w:tbl>
    <w:p>
      <w:pPr>
        <w:pStyle w:val="BodyText"/>
      </w:pPr>
      <w:r>
        <w:rPr>
          <w:b/>
          <w:bCs/>
        </w:rPr>
        <w:t xml:space="preserve">Table S3. Leave-one-scar-out at a 2 km buffer, every scar.</w:t>
      </w:r>
      <w:r>
        <w:t xml:space="preserve"> </w:t>
      </w:r>
      <w:r>
        <w:t xml:space="preserve">Muğla and Montiferru are the only</w:t>
      </w:r>
      <w:r>
        <w:t xml:space="preserve"> </w:t>
      </w:r>
      <w:r>
        <w:t xml:space="preserve">regions containing more than one burned component of at least 50 cells. Muğla is the only region</w:t>
      </w:r>
      <w:r>
        <w:t xml:space="preserve"> </w:t>
      </w:r>
      <w:r>
        <w:t xml:space="preserve">where holding one out still leaves the source model properly trained across every arm; Montiferru’s</w:t>
      </w:r>
      <w:r>
        <w:t xml:space="preserve"> </w:t>
      </w:r>
      <w:r>
        <w:t xml:space="preserve">two components are very unequal, so one of its arms retains 472 source positives and the other 97.</w:t>
      </w:r>
      <w:r>
        <w:t xml:space="preserve"> </w:t>
      </w:r>
      <w:r>
        <w:t xml:space="preserve">Muğla’s four arms mean 0.579 and the three arms in the other regions 0.502; the pooled figure of</w:t>
      </w:r>
      <w:r>
        <w:t xml:space="preserve"> </w:t>
      </w:r>
      <w:r>
        <w:t xml:space="preserve">0.546, Table S1’s row C, is the mean over all seven. Under the frozen label Manavgat contributed an</w:t>
      </w:r>
      <w:r>
        <w:t xml:space="preserve"> </w:t>
      </w:r>
      <w:r>
        <w:t xml:space="preserve">eighth arm; the corrected label merges its burns into a single scar, which leaves nothing to train</w:t>
      </w:r>
      <w:r>
        <w:t xml:space="preserve"> </w:t>
      </w:r>
      <w:r>
        <w:t xml:space="preserve">on once it is withheld. Corrected Manavgat label; source</w:t>
      </w:r>
      <w:r>
        <w:t xml:space="preserve"> </w:t>
      </w:r>
      <w:r>
        <w:rPr>
          <w:rStyle w:val="VerbatimChar"/>
        </w:rPr>
        <w:t xml:space="preserve">paper/labelfix_rerun/code/scar_control.json</w:t>
      </w:r>
      <w:r>
        <w:t xml:space="preserve">.</w:t>
      </w:r>
      <w:r>
        <w:t xml:space="preserve"> </w:t>
      </w:r>
      <w:r>
        <w:t xml:space="preserve">Checked row by row by</w:t>
      </w:r>
      <w:r>
        <w:t xml:space="preserve"> </w:t>
      </w:r>
      <w:r>
        <w:rPr>
          <w:rStyle w:val="VerbatimChar"/>
        </w:rPr>
        <w:t xml:space="preserve">paper/code/appendix_tables.py</w:t>
      </w:r>
      <w:r>
        <w:t xml:space="preserve">. One frozen cell did not equal its source rounded to 3 dp (Muğla component 10, printed</w:t>
      </w:r>
      <w:r>
        <w:t xml:space="preserve"> </w:t>
      </w:r>
      <w:r>
        <w:t xml:space="preserve">0.616, source 0.6167): a pre-existing rounding error, independent of the label.</w:t>
      </w:r>
    </w:p>
    <w:tbl>
      <w:tblPr>
        <w:tblStyle w:val="Table"/>
        <w:tblW w:type="auto" w:w="0"/>
        <w:tblLook w:firstRow="1" w:lastRow="0" w:firstColumn="0" w:lastColumn="0" w:noHBand="0" w:noVBand="0" w:val="0020"/>
      </w:tblPr>
      <w:tblGrid>
        <w:gridCol w:w="2016"/>
        <w:gridCol w:w="1008"/>
        <w:gridCol w:w="2351"/>
        <w:gridCol w:w="1792"/>
        <w:gridCol w:w="1344"/>
        <w:gridCol w:w="560"/>
      </w:tblGrid>
      <w:tr>
        <w:trPr>
          <w:tblHeader w:val="on"/>
        </w:trPr>
        <w:tc>
          <w:tcPr>
            <w:tcW w:type="dxa" w:w="2016"/>
          </w:tcPr>
          <w:p>
            <w:pPr>
              <w:pStyle w:val="Compact"/>
            </w:pPr>
            <w:r>
              <w:t xml:space="preserve">Region</w:t>
            </w:r>
          </w:p>
        </w:tc>
        <w:tc>
          <w:tcPr>
            <w:tcW w:type="dxa" w:w="1008"/>
          </w:tcPr>
          <w:p>
            <w:pPr>
              <w:pStyle w:val="Compact"/>
              <w:jc w:val="right"/>
            </w:pPr>
            <w:r>
              <w:t xml:space="preserve">Component</w:t>
            </w:r>
          </w:p>
        </w:tc>
        <w:tc>
          <w:tcPr>
            <w:tcW w:type="dxa" w:w="2351"/>
          </w:tcPr>
          <w:p>
            <w:pPr>
              <w:pStyle w:val="Compact"/>
              <w:jc w:val="right"/>
            </w:pPr>
            <w:r>
              <w:t xml:space="preserve">Source positives left</w:t>
            </w:r>
          </w:p>
        </w:tc>
        <w:tc>
          <w:tcPr>
            <w:tcW w:type="dxa" w:w="1792"/>
          </w:tcPr>
          <w:p>
            <w:pPr>
              <w:pStyle w:val="Compact"/>
              <w:jc w:val="right"/>
            </w:pPr>
            <w:r>
              <w:t xml:space="preserve">Target positives</w:t>
            </w:r>
          </w:p>
        </w:tc>
        <w:tc>
          <w:tcPr>
            <w:tcW w:type="dxa" w:w="1344"/>
          </w:tcPr>
          <w:p>
            <w:pPr>
              <w:pStyle w:val="Compact"/>
              <w:jc w:val="right"/>
            </w:pPr>
            <w:r>
              <w:t xml:space="preserve">Target cells</w:t>
            </w:r>
          </w:p>
        </w:tc>
        <w:tc>
          <w:tcPr>
            <w:tcW w:type="dxa" w:w="560"/>
          </w:tcPr>
          <w:p>
            <w:pPr>
              <w:pStyle w:val="Compact"/>
              <w:jc w:val="right"/>
            </w:pPr>
            <w:r>
              <w:t xml:space="preserve">AUC</w:t>
            </w:r>
          </w:p>
        </w:tc>
      </w:tr>
      <w:tr>
        <w:tc>
          <w:tcPr>
            <w:tcW w:type="dxa" w:w="2016"/>
          </w:tcPr>
          <w:p>
            <w:pPr>
              <w:pStyle w:val="Compact"/>
            </w:pPr>
            <w:r>
              <w:t xml:space="preserve">evia 2021 extended</w:t>
            </w:r>
          </w:p>
        </w:tc>
        <w:tc>
          <w:tcPr>
            <w:tcW w:type="dxa" w:w="1008"/>
          </w:tcPr>
          <w:p>
            <w:pPr>
              <w:pStyle w:val="Compact"/>
              <w:jc w:val="right"/>
            </w:pPr>
            <w:r>
              <w:t xml:space="preserve">1</w:t>
            </w:r>
          </w:p>
        </w:tc>
        <w:tc>
          <w:tcPr>
            <w:tcW w:type="dxa" w:w="2351"/>
          </w:tcPr>
          <w:p>
            <w:pPr>
              <w:pStyle w:val="Compact"/>
              <w:jc w:val="right"/>
            </w:pPr>
            <w:r>
              <w:t xml:space="preserve">11</w:t>
            </w:r>
          </w:p>
        </w:tc>
        <w:tc>
          <w:tcPr>
            <w:tcW w:type="dxa" w:w="1792"/>
          </w:tcPr>
          <w:p>
            <w:pPr>
              <w:pStyle w:val="Compact"/>
              <w:jc w:val="right"/>
            </w:pPr>
            <w:r>
              <w:t xml:space="preserve">2,653</w:t>
            </w:r>
          </w:p>
        </w:tc>
        <w:tc>
          <w:tcPr>
            <w:tcW w:type="dxa" w:w="1344"/>
          </w:tcPr>
          <w:p>
            <w:pPr>
              <w:pStyle w:val="Compact"/>
              <w:jc w:val="right"/>
            </w:pPr>
            <w:r>
              <w:t xml:space="preserve">3,059</w:t>
            </w:r>
          </w:p>
        </w:tc>
        <w:tc>
          <w:tcPr>
            <w:tcW w:type="dxa" w:w="560"/>
          </w:tcPr>
          <w:p>
            <w:pPr>
              <w:pStyle w:val="Compact"/>
              <w:jc w:val="right"/>
            </w:pPr>
            <w:r>
              <w:t xml:space="preserve">0.465</w:t>
            </w:r>
          </w:p>
        </w:tc>
      </w:tr>
      <w:tr>
        <w:tc>
          <w:tcPr>
            <w:tcW w:type="dxa" w:w="2016"/>
          </w:tcPr>
          <w:p>
            <w:pPr>
              <w:pStyle w:val="Compact"/>
            </w:pPr>
            <w:r>
              <w:t xml:space="preserve">montiferru 2021</w:t>
            </w:r>
          </w:p>
        </w:tc>
        <w:tc>
          <w:tcPr>
            <w:tcW w:type="dxa" w:w="1008"/>
          </w:tcPr>
          <w:p>
            <w:pPr>
              <w:pStyle w:val="Compact"/>
              <w:jc w:val="right"/>
            </w:pPr>
            <w:r>
              <w:t xml:space="preserve">1</w:t>
            </w:r>
          </w:p>
        </w:tc>
        <w:tc>
          <w:tcPr>
            <w:tcW w:type="dxa" w:w="2351"/>
          </w:tcPr>
          <w:p>
            <w:pPr>
              <w:pStyle w:val="Compact"/>
              <w:jc w:val="right"/>
            </w:pPr>
            <w:r>
              <w:t xml:space="preserve">97</w:t>
            </w:r>
          </w:p>
        </w:tc>
        <w:tc>
          <w:tcPr>
            <w:tcW w:type="dxa" w:w="1792"/>
          </w:tcPr>
          <w:p>
            <w:pPr>
              <w:pStyle w:val="Compact"/>
              <w:jc w:val="right"/>
            </w:pPr>
            <w:r>
              <w:t xml:space="preserve">442</w:t>
            </w:r>
          </w:p>
        </w:tc>
        <w:tc>
          <w:tcPr>
            <w:tcW w:type="dxa" w:w="1344"/>
          </w:tcPr>
          <w:p>
            <w:pPr>
              <w:pStyle w:val="Compact"/>
              <w:jc w:val="right"/>
            </w:pPr>
            <w:r>
              <w:t xml:space="preserve">758</w:t>
            </w:r>
          </w:p>
        </w:tc>
        <w:tc>
          <w:tcPr>
            <w:tcW w:type="dxa" w:w="560"/>
          </w:tcPr>
          <w:p>
            <w:pPr>
              <w:pStyle w:val="Compact"/>
              <w:jc w:val="right"/>
            </w:pPr>
            <w:r>
              <w:t xml:space="preserve">0.584</w:t>
            </w:r>
          </w:p>
        </w:tc>
      </w:tr>
      <w:tr>
        <w:tc>
          <w:tcPr>
            <w:tcW w:type="dxa" w:w="2016"/>
          </w:tcPr>
          <w:p>
            <w:pPr>
              <w:pStyle w:val="Compact"/>
            </w:pPr>
            <w:r>
              <w:t xml:space="preserve">montiferru 2021</w:t>
            </w:r>
          </w:p>
        </w:tc>
        <w:tc>
          <w:tcPr>
            <w:tcW w:type="dxa" w:w="1008"/>
          </w:tcPr>
          <w:p>
            <w:pPr>
              <w:pStyle w:val="Compact"/>
              <w:jc w:val="right"/>
            </w:pPr>
            <w:r>
              <w:t xml:space="preserve">5</w:t>
            </w:r>
          </w:p>
        </w:tc>
        <w:tc>
          <w:tcPr>
            <w:tcW w:type="dxa" w:w="2351"/>
          </w:tcPr>
          <w:p>
            <w:pPr>
              <w:pStyle w:val="Compact"/>
              <w:jc w:val="right"/>
            </w:pPr>
            <w:r>
              <w:t xml:space="preserve">472</w:t>
            </w:r>
          </w:p>
        </w:tc>
        <w:tc>
          <w:tcPr>
            <w:tcW w:type="dxa" w:w="1792"/>
          </w:tcPr>
          <w:p>
            <w:pPr>
              <w:pStyle w:val="Compact"/>
              <w:jc w:val="right"/>
            </w:pPr>
            <w:r>
              <w:t xml:space="preserve">67</w:t>
            </w:r>
          </w:p>
        </w:tc>
        <w:tc>
          <w:tcPr>
            <w:tcW w:type="dxa" w:w="1344"/>
          </w:tcPr>
          <w:p>
            <w:pPr>
              <w:pStyle w:val="Compact"/>
              <w:jc w:val="right"/>
            </w:pPr>
            <w:r>
              <w:t xml:space="preserve">195</w:t>
            </w:r>
          </w:p>
        </w:tc>
        <w:tc>
          <w:tcPr>
            <w:tcW w:type="dxa" w:w="560"/>
          </w:tcPr>
          <w:p>
            <w:pPr>
              <w:pStyle w:val="Compact"/>
              <w:jc w:val="right"/>
            </w:pPr>
            <w:r>
              <w:t xml:space="preserve">0.458</w:t>
            </w:r>
          </w:p>
        </w:tc>
      </w:tr>
      <w:tr>
        <w:tc>
          <w:tcPr>
            <w:tcW w:type="dxa" w:w="2016"/>
          </w:tcPr>
          <w:p>
            <w:pPr>
              <w:pStyle w:val="Compact"/>
            </w:pPr>
            <w:r>
              <w:t xml:space="preserve">mugla 2021</w:t>
            </w:r>
          </w:p>
        </w:tc>
        <w:tc>
          <w:tcPr>
            <w:tcW w:type="dxa" w:w="1008"/>
          </w:tcPr>
          <w:p>
            <w:pPr>
              <w:pStyle w:val="Compact"/>
              <w:jc w:val="right"/>
            </w:pPr>
            <w:r>
              <w:t xml:space="preserve">6</w:t>
            </w:r>
          </w:p>
        </w:tc>
        <w:tc>
          <w:tcPr>
            <w:tcW w:type="dxa" w:w="2351"/>
          </w:tcPr>
          <w:p>
            <w:pPr>
              <w:pStyle w:val="Compact"/>
              <w:jc w:val="right"/>
            </w:pPr>
            <w:r>
              <w:t xml:space="preserve">1,997</w:t>
            </w:r>
          </w:p>
        </w:tc>
        <w:tc>
          <w:tcPr>
            <w:tcW w:type="dxa" w:w="1792"/>
          </w:tcPr>
          <w:p>
            <w:pPr>
              <w:pStyle w:val="Compact"/>
              <w:jc w:val="right"/>
            </w:pPr>
            <w:r>
              <w:t xml:space="preserve">914</w:t>
            </w:r>
          </w:p>
        </w:tc>
        <w:tc>
          <w:tcPr>
            <w:tcW w:type="dxa" w:w="1344"/>
          </w:tcPr>
          <w:p>
            <w:pPr>
              <w:pStyle w:val="Compact"/>
              <w:jc w:val="right"/>
            </w:pPr>
            <w:r>
              <w:t xml:space="preserve">1,266</w:t>
            </w:r>
          </w:p>
        </w:tc>
        <w:tc>
          <w:tcPr>
            <w:tcW w:type="dxa" w:w="560"/>
          </w:tcPr>
          <w:p>
            <w:pPr>
              <w:pStyle w:val="Compact"/>
              <w:jc w:val="right"/>
            </w:pPr>
            <w:r>
              <w:t xml:space="preserve">0.595</w:t>
            </w:r>
          </w:p>
        </w:tc>
      </w:tr>
      <w:tr>
        <w:tc>
          <w:tcPr>
            <w:tcW w:type="dxa" w:w="2016"/>
          </w:tcPr>
          <w:p>
            <w:pPr>
              <w:pStyle w:val="Compact"/>
            </w:pPr>
            <w:r>
              <w:t xml:space="preserve">mugla 2021</w:t>
            </w:r>
          </w:p>
        </w:tc>
        <w:tc>
          <w:tcPr>
            <w:tcW w:type="dxa" w:w="1008"/>
          </w:tcPr>
          <w:p>
            <w:pPr>
              <w:pStyle w:val="Compact"/>
              <w:jc w:val="right"/>
            </w:pPr>
            <w:r>
              <w:t xml:space="preserve">1</w:t>
            </w:r>
          </w:p>
        </w:tc>
        <w:tc>
          <w:tcPr>
            <w:tcW w:type="dxa" w:w="2351"/>
          </w:tcPr>
          <w:p>
            <w:pPr>
              <w:pStyle w:val="Compact"/>
              <w:jc w:val="right"/>
            </w:pPr>
            <w:r>
              <w:t xml:space="preserve">2,173</w:t>
            </w:r>
          </w:p>
        </w:tc>
        <w:tc>
          <w:tcPr>
            <w:tcW w:type="dxa" w:w="1792"/>
          </w:tcPr>
          <w:p>
            <w:pPr>
              <w:pStyle w:val="Compact"/>
              <w:jc w:val="right"/>
            </w:pPr>
            <w:r>
              <w:t xml:space="preserve">738</w:t>
            </w:r>
          </w:p>
        </w:tc>
        <w:tc>
          <w:tcPr>
            <w:tcW w:type="dxa" w:w="1344"/>
          </w:tcPr>
          <w:p>
            <w:pPr>
              <w:pStyle w:val="Compact"/>
              <w:jc w:val="right"/>
            </w:pPr>
            <w:r>
              <w:t xml:space="preserve">1,244</w:t>
            </w:r>
          </w:p>
        </w:tc>
        <w:tc>
          <w:tcPr>
            <w:tcW w:type="dxa" w:w="560"/>
          </w:tcPr>
          <w:p>
            <w:pPr>
              <w:pStyle w:val="Compact"/>
              <w:jc w:val="right"/>
            </w:pPr>
            <w:r>
              <w:t xml:space="preserve">0.561</w:t>
            </w:r>
          </w:p>
        </w:tc>
      </w:tr>
      <w:tr>
        <w:tc>
          <w:tcPr>
            <w:tcW w:type="dxa" w:w="2016"/>
          </w:tcPr>
          <w:p>
            <w:pPr>
              <w:pStyle w:val="Compact"/>
            </w:pPr>
            <w:r>
              <w:t xml:space="preserve">mugla 2021</w:t>
            </w:r>
          </w:p>
        </w:tc>
        <w:tc>
          <w:tcPr>
            <w:tcW w:type="dxa" w:w="1008"/>
          </w:tcPr>
          <w:p>
            <w:pPr>
              <w:pStyle w:val="Compact"/>
              <w:jc w:val="right"/>
            </w:pPr>
            <w:r>
              <w:t xml:space="preserve">10</w:t>
            </w:r>
          </w:p>
        </w:tc>
        <w:tc>
          <w:tcPr>
            <w:tcW w:type="dxa" w:w="2351"/>
          </w:tcPr>
          <w:p>
            <w:pPr>
              <w:pStyle w:val="Compact"/>
              <w:jc w:val="right"/>
            </w:pPr>
            <w:r>
              <w:t xml:space="preserve">2,272</w:t>
            </w:r>
          </w:p>
        </w:tc>
        <w:tc>
          <w:tcPr>
            <w:tcW w:type="dxa" w:w="1792"/>
          </w:tcPr>
          <w:p>
            <w:pPr>
              <w:pStyle w:val="Compact"/>
              <w:jc w:val="right"/>
            </w:pPr>
            <w:r>
              <w:t xml:space="preserve">639</w:t>
            </w:r>
          </w:p>
        </w:tc>
        <w:tc>
          <w:tcPr>
            <w:tcW w:type="dxa" w:w="1344"/>
          </w:tcPr>
          <w:p>
            <w:pPr>
              <w:pStyle w:val="Compact"/>
              <w:jc w:val="right"/>
            </w:pPr>
            <w:r>
              <w:t xml:space="preserve">940</w:t>
            </w:r>
          </w:p>
        </w:tc>
        <w:tc>
          <w:tcPr>
            <w:tcW w:type="dxa" w:w="560"/>
          </w:tcPr>
          <w:p>
            <w:pPr>
              <w:pStyle w:val="Compact"/>
              <w:jc w:val="right"/>
            </w:pPr>
            <w:r>
              <w:t xml:space="preserve">0.617</w:t>
            </w:r>
          </w:p>
        </w:tc>
      </w:tr>
      <w:tr>
        <w:tc>
          <w:tcPr>
            <w:tcW w:type="dxa" w:w="2016"/>
          </w:tcPr>
          <w:p>
            <w:pPr>
              <w:pStyle w:val="Compact"/>
            </w:pPr>
            <w:r>
              <w:t xml:space="preserve">mugla 2021</w:t>
            </w:r>
          </w:p>
        </w:tc>
        <w:tc>
          <w:tcPr>
            <w:tcW w:type="dxa" w:w="1008"/>
          </w:tcPr>
          <w:p>
            <w:pPr>
              <w:pStyle w:val="Compact"/>
              <w:jc w:val="right"/>
            </w:pPr>
            <w:r>
              <w:t xml:space="preserve">8</w:t>
            </w:r>
          </w:p>
        </w:tc>
        <w:tc>
          <w:tcPr>
            <w:tcW w:type="dxa" w:w="2351"/>
          </w:tcPr>
          <w:p>
            <w:pPr>
              <w:pStyle w:val="Compact"/>
              <w:jc w:val="right"/>
            </w:pPr>
            <w:r>
              <w:t xml:space="preserve">2,363</w:t>
            </w:r>
          </w:p>
        </w:tc>
        <w:tc>
          <w:tcPr>
            <w:tcW w:type="dxa" w:w="1792"/>
          </w:tcPr>
          <w:p>
            <w:pPr>
              <w:pStyle w:val="Compact"/>
              <w:jc w:val="right"/>
            </w:pPr>
            <w:r>
              <w:t xml:space="preserve">548</w:t>
            </w:r>
          </w:p>
        </w:tc>
        <w:tc>
          <w:tcPr>
            <w:tcW w:type="dxa" w:w="1344"/>
          </w:tcPr>
          <w:p>
            <w:pPr>
              <w:pStyle w:val="Compact"/>
              <w:jc w:val="right"/>
            </w:pPr>
            <w:r>
              <w:t xml:space="preserve">954</w:t>
            </w:r>
          </w:p>
        </w:tc>
        <w:tc>
          <w:tcPr>
            <w:tcW w:type="dxa" w:w="560"/>
          </w:tcPr>
          <w:p>
            <w:pPr>
              <w:pStyle w:val="Compact"/>
              <w:jc w:val="right"/>
            </w:pPr>
            <w:r>
              <w:t xml:space="preserve">0.542</w:t>
            </w:r>
          </w:p>
        </w:tc>
      </w:tr>
    </w:tbl>
    <w:p>
      <w:pPr>
        <w:pStyle w:val="BodyText"/>
      </w:pPr>
      <w:r>
        <w:t xml:space="preserve">The evaluation populations of the two arms are not comparable with each other or with the transfer</w:t>
      </w:r>
      <w:r>
        <w:t xml:space="preserve"> </w:t>
      </w:r>
      <w:r>
        <w:t xml:space="preserve">targets. A held-out scar with its 2 km collar contains only fire-adjacent negatives, against a whole target</w:t>
      </w:r>
      <w:r>
        <w:t xml:space="preserve"> </w:t>
      </w:r>
      <w:r>
        <w:t xml:space="preserve">region’s inclusion of its easy far field; the burned fractions, 34 to 87 % against 7.0 to 28.7 %,</w:t>
      </w:r>
      <w:r>
        <w:t xml:space="preserve"> </w:t>
      </w:r>
      <w:r>
        <w:t xml:space="preserve">are a symptom of that rather than the cause, since ROC-AUC is invariant to class balance at fixed</w:t>
      </w:r>
      <w:r>
        <w:t xml:space="preserve"> </w:t>
      </w:r>
      <w:r>
        <w:t xml:space="preserve">class-conditional distributions. The scar arm therefore asks for discrimination against the nearest and</w:t>
      </w:r>
      <w:r>
        <w:t xml:space="preserve"> </w:t>
      </w:r>
      <w:r>
        <w:t xml:space="preserve">most similar negatives only, while a transfer arm includes the whole easy far field. Section 4.3</w:t>
      </w:r>
      <w:r>
        <w:t xml:space="preserve"> </w:t>
      </w:r>
      <w:r>
        <w:t xml:space="preserve">states the consequence: the last three rows of the ladder are not distinguishable by this design.</w:t>
      </w:r>
    </w:p>
    <w:p>
      <w:pPr>
        <w:pStyle w:val="BodyText"/>
      </w:pPr>
      <w:r>
        <w:rPr>
          <w:b/>
          <w:bCs/>
        </w:rPr>
        <w:t xml:space="preserve">Table S4. The foreign-region arm, decomposed by source.</w:t>
      </w:r>
      <w:r>
        <w:t xml:space="preserve"> </w:t>
      </w:r>
      <w:r>
        <w:t xml:space="preserve">Each held-out scar area is scored with a</w:t>
      </w:r>
      <w:r>
        <w:t xml:space="preserve"> </w:t>
      </w:r>
      <w:r>
        <w:t xml:space="preserve">model fitted on each of the other four regions. Table S1’s row D is the mean over the</w:t>
      </w:r>
      <w:r>
        <w:t xml:space="preserve"> </w:t>
      </w:r>
      <w:r>
        <w:rPr>
          <w:b/>
          <w:bCs/>
        </w:rPr>
        <w:t xml:space="preserve">seven</w:t>
      </w:r>
      <w:r>
        <w:t xml:space="preserve"> </w:t>
      </w:r>
      <w:r>
        <w:t xml:space="preserve">scars that carry a row C, that is 28 of the 36</w:t>
      </w:r>
      <w:r>
        <w:t xml:space="preserve"> </w:t>
      </w:r>
      <w:r>
        <w:t xml:space="preserve">combinations below; the nine-scar mean quoted in this section is 0.556 against row D’s 0.553.</w:t>
      </w:r>
      <w:r>
        <w:t xml:space="preserve"> </w:t>
      </w:r>
      <w:r>
        <w:t xml:space="preserve">Corrected Manavgat label, which also changes the non-Manavgat scars, since Manavgat is one of each</w:t>
      </w:r>
      <w:r>
        <w:t xml:space="preserve"> </w:t>
      </w:r>
      <w:r>
        <w:t xml:space="preserve">scar’s four sources; source</w:t>
      </w:r>
      <w:r>
        <w:t xml:space="preserve"> </w:t>
      </w:r>
      <w:r>
        <w:rPr>
          <w:rStyle w:val="VerbatimChar"/>
        </w:rPr>
        <w:t xml:space="preserve">paper/labelfix_rerun/code/d_per_source.json</w:t>
      </w:r>
      <w:r>
        <w:t xml:space="preserve">. Checked row by row by</w:t>
      </w:r>
      <w:r>
        <w:t xml:space="preserve"> </w:t>
      </w:r>
      <w:r>
        <w:rPr>
          <w:rStyle w:val="VerbatimChar"/>
        </w:rPr>
        <w:t xml:space="preserve">paper/code/appendix_tables.py</w:t>
      </w:r>
      <w:r>
        <w:t xml:space="preserve">.</w:t>
      </w:r>
    </w:p>
    <w:tbl>
      <w:tblPr>
        <w:tblStyle w:val="Table"/>
        <w:tblW w:type="auto" w:w="0"/>
        <w:tblLook w:firstRow="1" w:lastRow="0" w:firstColumn="0" w:lastColumn="0" w:noHBand="0" w:noVBand="0" w:val="0020"/>
      </w:tblPr>
      <w:tblGrid>
        <w:gridCol w:w="2616"/>
        <w:gridCol w:w="698"/>
        <w:gridCol w:w="2965"/>
        <w:gridCol w:w="872"/>
        <w:gridCol w:w="872"/>
        <w:gridCol w:w="1047"/>
      </w:tblGrid>
      <w:tr>
        <w:trPr>
          <w:tblHeader w:val="on"/>
        </w:trPr>
        <w:tc>
          <w:tcPr>
            <w:tcW w:type="dxa" w:w="2616"/>
          </w:tcPr>
          <w:p>
            <w:pPr>
              <w:pStyle w:val="Compact"/>
            </w:pPr>
            <w:r>
              <w:t xml:space="preserve">Target region</w:t>
            </w:r>
          </w:p>
        </w:tc>
        <w:tc>
          <w:tcPr>
            <w:tcW w:type="dxa" w:w="698"/>
          </w:tcPr>
          <w:p>
            <w:pPr>
              <w:pStyle w:val="Compact"/>
              <w:jc w:val="right"/>
            </w:pPr>
            <w:r>
              <w:t xml:space="preserve">Scar</w:t>
            </w:r>
          </w:p>
        </w:tc>
        <w:tc>
          <w:tcPr>
            <w:tcW w:type="dxa" w:w="2965"/>
          </w:tcPr>
          <w:p>
            <w:pPr>
              <w:pStyle w:val="Compact"/>
              <w:jc w:val="right"/>
            </w:pPr>
            <w:r>
              <w:t xml:space="preserve">Mean over sources</w:t>
            </w:r>
          </w:p>
        </w:tc>
        <w:tc>
          <w:tcPr>
            <w:tcW w:type="dxa" w:w="872"/>
          </w:tcPr>
          <w:p>
            <w:pPr>
              <w:pStyle w:val="Compact"/>
              <w:jc w:val="right"/>
            </w:pPr>
            <w:r>
              <w:t xml:space="preserve">Min</w:t>
            </w:r>
          </w:p>
        </w:tc>
        <w:tc>
          <w:tcPr>
            <w:tcW w:type="dxa" w:w="872"/>
          </w:tcPr>
          <w:p>
            <w:pPr>
              <w:pStyle w:val="Compact"/>
              <w:jc w:val="right"/>
            </w:pPr>
            <w:r>
              <w:t xml:space="preserve">Max</w:t>
            </w:r>
          </w:p>
        </w:tc>
        <w:tc>
          <w:tcPr>
            <w:tcW w:type="dxa" w:w="1047"/>
          </w:tcPr>
          <w:p>
            <w:pPr>
              <w:pStyle w:val="Compact"/>
              <w:jc w:val="right"/>
            </w:pPr>
            <w:r>
              <w:t xml:space="preserve">Spread</w:t>
            </w:r>
          </w:p>
        </w:tc>
      </w:tr>
      <w:tr>
        <w:tc>
          <w:tcPr>
            <w:tcW w:type="dxa" w:w="2616"/>
          </w:tcPr>
          <w:p>
            <w:pPr>
              <w:pStyle w:val="Compact"/>
            </w:pPr>
            <w:r>
              <w:t xml:space="preserve">Bejís 2022</w:t>
            </w:r>
          </w:p>
        </w:tc>
        <w:tc>
          <w:tcPr>
            <w:tcW w:type="dxa" w:w="698"/>
          </w:tcPr>
          <w:p>
            <w:pPr>
              <w:pStyle w:val="Compact"/>
              <w:jc w:val="right"/>
            </w:pPr>
            <w:r>
              <w:t xml:space="preserve">1</w:t>
            </w:r>
          </w:p>
        </w:tc>
        <w:tc>
          <w:tcPr>
            <w:tcW w:type="dxa" w:w="2965"/>
          </w:tcPr>
          <w:p>
            <w:pPr>
              <w:pStyle w:val="Compact"/>
              <w:jc w:val="right"/>
            </w:pPr>
            <w:r>
              <w:t xml:space="preserve">0.589</w:t>
            </w:r>
          </w:p>
        </w:tc>
        <w:tc>
          <w:tcPr>
            <w:tcW w:type="dxa" w:w="872"/>
          </w:tcPr>
          <w:p>
            <w:pPr>
              <w:pStyle w:val="Compact"/>
              <w:jc w:val="right"/>
            </w:pPr>
            <w:r>
              <w:t xml:space="preserve">0.519</w:t>
            </w:r>
          </w:p>
        </w:tc>
        <w:tc>
          <w:tcPr>
            <w:tcW w:type="dxa" w:w="872"/>
          </w:tcPr>
          <w:p>
            <w:pPr>
              <w:pStyle w:val="Compact"/>
              <w:jc w:val="right"/>
            </w:pPr>
            <w:r>
              <w:t xml:space="preserve">0.631</w:t>
            </w:r>
          </w:p>
        </w:tc>
        <w:tc>
          <w:tcPr>
            <w:tcW w:type="dxa" w:w="1047"/>
          </w:tcPr>
          <w:p>
            <w:pPr>
              <w:pStyle w:val="Compact"/>
              <w:jc w:val="right"/>
            </w:pPr>
            <w:r>
              <w:t xml:space="preserve">0.112</w:t>
            </w:r>
          </w:p>
        </w:tc>
      </w:tr>
      <w:tr>
        <w:tc>
          <w:tcPr>
            <w:tcW w:type="dxa" w:w="2616"/>
          </w:tcPr>
          <w:p>
            <w:pPr>
              <w:pStyle w:val="Compact"/>
            </w:pPr>
            <w:r>
              <w:t xml:space="preserve">North Evia 2021</w:t>
            </w:r>
          </w:p>
        </w:tc>
        <w:tc>
          <w:tcPr>
            <w:tcW w:type="dxa" w:w="698"/>
          </w:tcPr>
          <w:p>
            <w:pPr>
              <w:pStyle w:val="Compact"/>
              <w:jc w:val="right"/>
            </w:pPr>
            <w:r>
              <w:t xml:space="preserve">1</w:t>
            </w:r>
          </w:p>
        </w:tc>
        <w:tc>
          <w:tcPr>
            <w:tcW w:type="dxa" w:w="2965"/>
          </w:tcPr>
          <w:p>
            <w:pPr>
              <w:pStyle w:val="Compact"/>
              <w:jc w:val="right"/>
            </w:pPr>
            <w:r>
              <w:t xml:space="preserve">0.564</w:t>
            </w:r>
          </w:p>
        </w:tc>
        <w:tc>
          <w:tcPr>
            <w:tcW w:type="dxa" w:w="872"/>
          </w:tcPr>
          <w:p>
            <w:pPr>
              <w:pStyle w:val="Compact"/>
              <w:jc w:val="right"/>
            </w:pPr>
            <w:r>
              <w:t xml:space="preserve">0.374</w:t>
            </w:r>
          </w:p>
        </w:tc>
        <w:tc>
          <w:tcPr>
            <w:tcW w:type="dxa" w:w="872"/>
          </w:tcPr>
          <w:p>
            <w:pPr>
              <w:pStyle w:val="Compact"/>
              <w:jc w:val="right"/>
            </w:pPr>
            <w:r>
              <w:t xml:space="preserve">0.704</w:t>
            </w:r>
          </w:p>
        </w:tc>
        <w:tc>
          <w:tcPr>
            <w:tcW w:type="dxa" w:w="1047"/>
          </w:tcPr>
          <w:p>
            <w:pPr>
              <w:pStyle w:val="Compact"/>
              <w:jc w:val="right"/>
            </w:pPr>
            <w:r>
              <w:t xml:space="preserve">0.329</w:t>
            </w:r>
          </w:p>
        </w:tc>
      </w:tr>
      <w:tr>
        <w:tc>
          <w:tcPr>
            <w:tcW w:type="dxa" w:w="2616"/>
          </w:tcPr>
          <w:p>
            <w:pPr>
              <w:pStyle w:val="Compact"/>
            </w:pPr>
            <w:r>
              <w:t xml:space="preserve">Manavgat 2021</w:t>
            </w:r>
          </w:p>
        </w:tc>
        <w:tc>
          <w:tcPr>
            <w:tcW w:type="dxa" w:w="698"/>
          </w:tcPr>
          <w:p>
            <w:pPr>
              <w:pStyle w:val="Compact"/>
              <w:jc w:val="right"/>
            </w:pPr>
            <w:r>
              <w:t xml:space="preserve">1</w:t>
            </w:r>
          </w:p>
        </w:tc>
        <w:tc>
          <w:tcPr>
            <w:tcW w:type="dxa" w:w="2965"/>
          </w:tcPr>
          <w:p>
            <w:pPr>
              <w:pStyle w:val="Compact"/>
              <w:jc w:val="right"/>
            </w:pPr>
            <w:r>
              <w:t xml:space="preserve">0.542</w:t>
            </w:r>
          </w:p>
        </w:tc>
        <w:tc>
          <w:tcPr>
            <w:tcW w:type="dxa" w:w="872"/>
          </w:tcPr>
          <w:p>
            <w:pPr>
              <w:pStyle w:val="Compact"/>
              <w:jc w:val="right"/>
            </w:pPr>
            <w:r>
              <w:t xml:space="preserve">0.438</w:t>
            </w:r>
          </w:p>
        </w:tc>
        <w:tc>
          <w:tcPr>
            <w:tcW w:type="dxa" w:w="872"/>
          </w:tcPr>
          <w:p>
            <w:pPr>
              <w:pStyle w:val="Compact"/>
              <w:jc w:val="right"/>
            </w:pPr>
            <w:r>
              <w:t xml:space="preserve">0.665</w:t>
            </w:r>
          </w:p>
        </w:tc>
        <w:tc>
          <w:tcPr>
            <w:tcW w:type="dxa" w:w="1047"/>
          </w:tcPr>
          <w:p>
            <w:pPr>
              <w:pStyle w:val="Compact"/>
              <w:jc w:val="right"/>
            </w:pPr>
            <w:r>
              <w:t xml:space="preserve">0.227</w:t>
            </w:r>
          </w:p>
        </w:tc>
      </w:tr>
      <w:tr>
        <w:tc>
          <w:tcPr>
            <w:tcW w:type="dxa" w:w="2616"/>
          </w:tcPr>
          <w:p>
            <w:pPr>
              <w:pStyle w:val="Compact"/>
            </w:pPr>
            <w:r>
              <w:t xml:space="preserve">Montiferru 2021</w:t>
            </w:r>
          </w:p>
        </w:tc>
        <w:tc>
          <w:tcPr>
            <w:tcW w:type="dxa" w:w="698"/>
          </w:tcPr>
          <w:p>
            <w:pPr>
              <w:pStyle w:val="Compact"/>
              <w:jc w:val="right"/>
            </w:pPr>
            <w:r>
              <w:t xml:space="preserve">1</w:t>
            </w:r>
          </w:p>
        </w:tc>
        <w:tc>
          <w:tcPr>
            <w:tcW w:type="dxa" w:w="2965"/>
          </w:tcPr>
          <w:p>
            <w:pPr>
              <w:pStyle w:val="Compact"/>
              <w:jc w:val="right"/>
            </w:pPr>
            <w:r>
              <w:t xml:space="preserve">0.489</w:t>
            </w:r>
          </w:p>
        </w:tc>
        <w:tc>
          <w:tcPr>
            <w:tcW w:type="dxa" w:w="872"/>
          </w:tcPr>
          <w:p>
            <w:pPr>
              <w:pStyle w:val="Compact"/>
              <w:jc w:val="right"/>
            </w:pPr>
            <w:r>
              <w:t xml:space="preserve">0.457</w:t>
            </w:r>
          </w:p>
        </w:tc>
        <w:tc>
          <w:tcPr>
            <w:tcW w:type="dxa" w:w="872"/>
          </w:tcPr>
          <w:p>
            <w:pPr>
              <w:pStyle w:val="Compact"/>
              <w:jc w:val="right"/>
            </w:pPr>
            <w:r>
              <w:t xml:space="preserve">0.513</w:t>
            </w:r>
          </w:p>
        </w:tc>
        <w:tc>
          <w:tcPr>
            <w:tcW w:type="dxa" w:w="1047"/>
          </w:tcPr>
          <w:p>
            <w:pPr>
              <w:pStyle w:val="Compact"/>
              <w:jc w:val="right"/>
            </w:pPr>
            <w:r>
              <w:t xml:space="preserve">0.056</w:t>
            </w:r>
          </w:p>
        </w:tc>
      </w:tr>
      <w:tr>
        <w:tc>
          <w:tcPr>
            <w:tcW w:type="dxa" w:w="2616"/>
          </w:tcPr>
          <w:p>
            <w:pPr>
              <w:pStyle w:val="Compact"/>
            </w:pPr>
            <w:r>
              <w:t xml:space="preserve">Montiferru 2021</w:t>
            </w:r>
          </w:p>
        </w:tc>
        <w:tc>
          <w:tcPr>
            <w:tcW w:type="dxa" w:w="698"/>
          </w:tcPr>
          <w:p>
            <w:pPr>
              <w:pStyle w:val="Compact"/>
              <w:jc w:val="right"/>
            </w:pPr>
            <w:r>
              <w:t xml:space="preserve">5</w:t>
            </w:r>
          </w:p>
        </w:tc>
        <w:tc>
          <w:tcPr>
            <w:tcW w:type="dxa" w:w="2965"/>
          </w:tcPr>
          <w:p>
            <w:pPr>
              <w:pStyle w:val="Compact"/>
              <w:jc w:val="right"/>
            </w:pPr>
            <w:r>
              <w:t xml:space="preserve">0.475</w:t>
            </w:r>
          </w:p>
        </w:tc>
        <w:tc>
          <w:tcPr>
            <w:tcW w:type="dxa" w:w="872"/>
          </w:tcPr>
          <w:p>
            <w:pPr>
              <w:pStyle w:val="Compact"/>
              <w:jc w:val="right"/>
            </w:pPr>
            <w:r>
              <w:t xml:space="preserve">0.399</w:t>
            </w:r>
          </w:p>
        </w:tc>
        <w:tc>
          <w:tcPr>
            <w:tcW w:type="dxa" w:w="872"/>
          </w:tcPr>
          <w:p>
            <w:pPr>
              <w:pStyle w:val="Compact"/>
              <w:jc w:val="right"/>
            </w:pPr>
            <w:r>
              <w:t xml:space="preserve">0.597</w:t>
            </w:r>
          </w:p>
        </w:tc>
        <w:tc>
          <w:tcPr>
            <w:tcW w:type="dxa" w:w="1047"/>
          </w:tcPr>
          <w:p>
            <w:pPr>
              <w:pStyle w:val="Compact"/>
              <w:jc w:val="right"/>
            </w:pPr>
            <w:r>
              <w:t xml:space="preserve">0.197</w:t>
            </w:r>
          </w:p>
        </w:tc>
      </w:tr>
      <w:tr>
        <w:tc>
          <w:tcPr>
            <w:tcW w:type="dxa" w:w="2616"/>
          </w:tcPr>
          <w:p>
            <w:pPr>
              <w:pStyle w:val="Compact"/>
            </w:pPr>
            <w:r>
              <w:t xml:space="preserve">Muğla 2021</w:t>
            </w:r>
          </w:p>
        </w:tc>
        <w:tc>
          <w:tcPr>
            <w:tcW w:type="dxa" w:w="698"/>
          </w:tcPr>
          <w:p>
            <w:pPr>
              <w:pStyle w:val="Compact"/>
              <w:jc w:val="right"/>
            </w:pPr>
            <w:r>
              <w:t xml:space="preserve">1</w:t>
            </w:r>
          </w:p>
        </w:tc>
        <w:tc>
          <w:tcPr>
            <w:tcW w:type="dxa" w:w="2965"/>
          </w:tcPr>
          <w:p>
            <w:pPr>
              <w:pStyle w:val="Compact"/>
              <w:jc w:val="right"/>
            </w:pPr>
            <w:r>
              <w:t xml:space="preserve">0.514</w:t>
            </w:r>
          </w:p>
        </w:tc>
        <w:tc>
          <w:tcPr>
            <w:tcW w:type="dxa" w:w="872"/>
          </w:tcPr>
          <w:p>
            <w:pPr>
              <w:pStyle w:val="Compact"/>
              <w:jc w:val="right"/>
            </w:pPr>
            <w:r>
              <w:t xml:space="preserve">0.410</w:t>
            </w:r>
          </w:p>
        </w:tc>
        <w:tc>
          <w:tcPr>
            <w:tcW w:type="dxa" w:w="872"/>
          </w:tcPr>
          <w:p>
            <w:pPr>
              <w:pStyle w:val="Compact"/>
              <w:jc w:val="right"/>
            </w:pPr>
            <w:r>
              <w:t xml:space="preserve">0.608</w:t>
            </w:r>
          </w:p>
        </w:tc>
        <w:tc>
          <w:tcPr>
            <w:tcW w:type="dxa" w:w="1047"/>
          </w:tcPr>
          <w:p>
            <w:pPr>
              <w:pStyle w:val="Compact"/>
              <w:jc w:val="right"/>
            </w:pPr>
            <w:r>
              <w:t xml:space="preserve">0.198</w:t>
            </w:r>
          </w:p>
        </w:tc>
      </w:tr>
      <w:tr>
        <w:tc>
          <w:tcPr>
            <w:tcW w:type="dxa" w:w="2616"/>
          </w:tcPr>
          <w:p>
            <w:pPr>
              <w:pStyle w:val="Compact"/>
            </w:pPr>
            <w:r>
              <w:t xml:space="preserve">Muğla 2021</w:t>
            </w:r>
          </w:p>
        </w:tc>
        <w:tc>
          <w:tcPr>
            <w:tcW w:type="dxa" w:w="698"/>
          </w:tcPr>
          <w:p>
            <w:pPr>
              <w:pStyle w:val="Compact"/>
              <w:jc w:val="right"/>
            </w:pPr>
            <w:r>
              <w:t xml:space="preserve">6</w:t>
            </w:r>
          </w:p>
        </w:tc>
        <w:tc>
          <w:tcPr>
            <w:tcW w:type="dxa" w:w="2965"/>
          </w:tcPr>
          <w:p>
            <w:pPr>
              <w:pStyle w:val="Compact"/>
              <w:jc w:val="right"/>
            </w:pPr>
            <w:r>
              <w:t xml:space="preserve">0.571</w:t>
            </w:r>
          </w:p>
        </w:tc>
        <w:tc>
          <w:tcPr>
            <w:tcW w:type="dxa" w:w="872"/>
          </w:tcPr>
          <w:p>
            <w:pPr>
              <w:pStyle w:val="Compact"/>
              <w:jc w:val="right"/>
            </w:pPr>
            <w:r>
              <w:t xml:space="preserve">0.545</w:t>
            </w:r>
          </w:p>
        </w:tc>
        <w:tc>
          <w:tcPr>
            <w:tcW w:type="dxa" w:w="872"/>
          </w:tcPr>
          <w:p>
            <w:pPr>
              <w:pStyle w:val="Compact"/>
              <w:jc w:val="right"/>
            </w:pPr>
            <w:r>
              <w:t xml:space="preserve">0.597</w:t>
            </w:r>
          </w:p>
        </w:tc>
        <w:tc>
          <w:tcPr>
            <w:tcW w:type="dxa" w:w="1047"/>
          </w:tcPr>
          <w:p>
            <w:pPr>
              <w:pStyle w:val="Compact"/>
              <w:jc w:val="right"/>
            </w:pPr>
            <w:r>
              <w:t xml:space="preserve">0.052</w:t>
            </w:r>
          </w:p>
        </w:tc>
      </w:tr>
      <w:tr>
        <w:tc>
          <w:tcPr>
            <w:tcW w:type="dxa" w:w="2616"/>
          </w:tcPr>
          <w:p>
            <w:pPr>
              <w:pStyle w:val="Compact"/>
            </w:pPr>
            <w:r>
              <w:t xml:space="preserve">Muğla 2021</w:t>
            </w:r>
          </w:p>
        </w:tc>
        <w:tc>
          <w:tcPr>
            <w:tcW w:type="dxa" w:w="698"/>
          </w:tcPr>
          <w:p>
            <w:pPr>
              <w:pStyle w:val="Compact"/>
              <w:jc w:val="right"/>
            </w:pPr>
            <w:r>
              <w:t xml:space="preserve">8</w:t>
            </w:r>
          </w:p>
        </w:tc>
        <w:tc>
          <w:tcPr>
            <w:tcW w:type="dxa" w:w="2965"/>
          </w:tcPr>
          <w:p>
            <w:pPr>
              <w:pStyle w:val="Compact"/>
              <w:jc w:val="right"/>
            </w:pPr>
            <w:r>
              <w:t xml:space="preserve">0.623</w:t>
            </w:r>
          </w:p>
        </w:tc>
        <w:tc>
          <w:tcPr>
            <w:tcW w:type="dxa" w:w="872"/>
          </w:tcPr>
          <w:p>
            <w:pPr>
              <w:pStyle w:val="Compact"/>
              <w:jc w:val="right"/>
            </w:pPr>
            <w:r>
              <w:t xml:space="preserve">0.533</w:t>
            </w:r>
          </w:p>
        </w:tc>
        <w:tc>
          <w:tcPr>
            <w:tcW w:type="dxa" w:w="872"/>
          </w:tcPr>
          <w:p>
            <w:pPr>
              <w:pStyle w:val="Compact"/>
              <w:jc w:val="right"/>
            </w:pPr>
            <w:r>
              <w:t xml:space="preserve">0.724</w:t>
            </w:r>
          </w:p>
        </w:tc>
        <w:tc>
          <w:tcPr>
            <w:tcW w:type="dxa" w:w="1047"/>
          </w:tcPr>
          <w:p>
            <w:pPr>
              <w:pStyle w:val="Compact"/>
              <w:jc w:val="right"/>
            </w:pPr>
            <w:r>
              <w:t xml:space="preserve">0.192</w:t>
            </w:r>
          </w:p>
        </w:tc>
      </w:tr>
      <w:tr>
        <w:tc>
          <w:tcPr>
            <w:tcW w:type="dxa" w:w="2616"/>
          </w:tcPr>
          <w:p>
            <w:pPr>
              <w:pStyle w:val="Compact"/>
            </w:pPr>
            <w:r>
              <w:t xml:space="preserve">Muğla 2021</w:t>
            </w:r>
          </w:p>
        </w:tc>
        <w:tc>
          <w:tcPr>
            <w:tcW w:type="dxa" w:w="698"/>
          </w:tcPr>
          <w:p>
            <w:pPr>
              <w:pStyle w:val="Compact"/>
              <w:jc w:val="right"/>
            </w:pPr>
            <w:r>
              <w:t xml:space="preserve">10</w:t>
            </w:r>
          </w:p>
        </w:tc>
        <w:tc>
          <w:tcPr>
            <w:tcW w:type="dxa" w:w="2965"/>
          </w:tcPr>
          <w:p>
            <w:pPr>
              <w:pStyle w:val="Compact"/>
              <w:jc w:val="right"/>
            </w:pPr>
            <w:r>
              <w:t xml:space="preserve">0.634</w:t>
            </w:r>
          </w:p>
        </w:tc>
        <w:tc>
          <w:tcPr>
            <w:tcW w:type="dxa" w:w="872"/>
          </w:tcPr>
          <w:p>
            <w:pPr>
              <w:pStyle w:val="Compact"/>
              <w:jc w:val="right"/>
            </w:pPr>
            <w:r>
              <w:t xml:space="preserve">0.433</w:t>
            </w:r>
          </w:p>
        </w:tc>
        <w:tc>
          <w:tcPr>
            <w:tcW w:type="dxa" w:w="872"/>
          </w:tcPr>
          <w:p>
            <w:pPr>
              <w:pStyle w:val="Compact"/>
              <w:jc w:val="right"/>
            </w:pPr>
            <w:r>
              <w:t xml:space="preserve">0.716</w:t>
            </w:r>
          </w:p>
        </w:tc>
        <w:tc>
          <w:tcPr>
            <w:tcW w:type="dxa" w:w="1047"/>
          </w:tcPr>
          <w:p>
            <w:pPr>
              <w:pStyle w:val="Compact"/>
              <w:jc w:val="right"/>
            </w:pPr>
            <w:r>
              <w:t xml:space="preserve">0.283</w:t>
            </w:r>
          </w:p>
        </w:tc>
      </w:tr>
    </w:tbl>
    <w:p>
      <w:pPr>
        <w:pStyle w:val="BodyText"/>
      </w:pPr>
      <w:r>
        <w:t xml:space="preserve">Over all 36 combinations here the mean is 0.556, the range 0.374 to 0.724, and ten fall below</w:t>
      </w:r>
      <w:r>
        <w:t xml:space="preserve"> </w:t>
      </w:r>
      <w:r>
        <w:t xml:space="preserve">chance. Restricted to the 28 combinations behind row D the mean is 0.553 and nine fall below chance.</w:t>
      </w:r>
      <w:r>
        <w:t xml:space="preserve"> </w:t>
      </w:r>
      <w:r>
        <w:t xml:space="preserve">The mean spread across the four sources for a single scar is 0.183 over the nine scars and 0.187</w:t>
      </w:r>
      <w:r>
        <w:t xml:space="preserve"> </w:t>
      </w:r>
      <w:r>
        <w:t xml:space="preserve">over the seven. Averaging over sources is what makes</w:t>
      </w:r>
      <w:r>
        <w:t xml:space="preserve"> </w:t>
      </w:r>
      <w:r>
        <w:t xml:space="preserve">row D comparable with row C, which is fitted on one region; it is not a claim that the choice of</w:t>
      </w:r>
      <w:r>
        <w:t xml:space="preserve"> </w:t>
      </w:r>
      <w:r>
        <w:t xml:space="preserve">foreign source is immaterial, and Section 4.3 states the distinction.</w:t>
      </w:r>
    </w:p>
    <w:p>
      <w:pPr>
        <w:pStyle w:val="BodyText"/>
      </w:pPr>
      <w:r>
        <w:rPr>
          <w:b/>
          <w:bCs/>
        </w:rPr>
        <w:t xml:space="preserve">Table S5. Prevalence is not the cause of the evaluation-area effect.</w:t>
      </w:r>
      <w:r>
        <w:t xml:space="preserve"> </w:t>
      </w:r>
      <w:r>
        <w:t xml:space="preserve">The same fitted model and</w:t>
      </w:r>
      <w:r>
        <w:t xml:space="preserve"> </w:t>
      </w:r>
      <w:r>
        <w:t xml:space="preserve">the same out-of-fold predictions are scored three ways: on the whole region, on a random sample of</w:t>
      </w:r>
      <w:r>
        <w:t xml:space="preserve"> </w:t>
      </w:r>
      <w:r>
        <w:t xml:space="preserve">region cells drawn at the scar area’s own burned fraction, and on the scar area. Twenty draws per</w:t>
      </w:r>
      <w:r>
        <w:t xml:space="preserve"> </w:t>
      </w:r>
      <w:r>
        <w:t xml:space="preserve">scar, seed 42. Nine scars, since this control needs no leave-one-scar-out arm and Bejís therefore</w:t>
      </w:r>
      <w:r>
        <w:t xml:space="preserve"> </w:t>
      </w:r>
      <w:r>
        <w:t xml:space="preserve">qualifies. Corrected Manavgat label; source</w:t>
      </w:r>
      <w:r>
        <w:t xml:space="preserve"> </w:t>
      </w:r>
      <w:r>
        <w:rPr>
          <w:rStyle w:val="VerbatimChar"/>
        </w:rPr>
        <w:t xml:space="preserve">paper/labelfix_rerun/code/prevalence_control.json</w:t>
      </w:r>
      <w:r>
        <w:t xml:space="preserve">. Checked row by row by</w:t>
      </w:r>
      <w:r>
        <w:t xml:space="preserve"> </w:t>
      </w:r>
      <w:r>
        <w:rPr>
          <w:rStyle w:val="VerbatimChar"/>
        </w:rPr>
        <w:t xml:space="preserve">paper/code/appendix_tables.py</w:t>
      </w:r>
      <w:r>
        <w:t xml:space="preserve">.</w:t>
      </w:r>
      <w:r>
        <w:t xml:space="preserve"> </w:t>
      </w:r>
      <w:r>
        <w:t xml:space="preserve">Values are printed at 4 dp because the source stores them at 4 dp; rounding a stored …5 to 3 dp</w:t>
      </w:r>
      <w:r>
        <w:t xml:space="preserve"> </w:t>
      </w:r>
      <w:r>
        <w:t xml:space="preserve">would double-round, and the frozen 3 dp table could not be reproduced unambiguously from its</w:t>
      </w:r>
      <w:r>
        <w:t xml:space="preserve"> </w:t>
      </w:r>
      <w:r>
        <w:t xml:space="preserve">source for that reason (two cells).</w:t>
      </w:r>
    </w:p>
    <w:tbl>
      <w:tblPr>
        <w:tblStyle w:val="Table"/>
        <w:tblW w:type="auto" w:w="0"/>
        <w:tblLook w:firstRow="1" w:lastRow="0" w:firstColumn="0" w:lastColumn="0" w:noHBand="0" w:noVBand="0" w:val="0020"/>
      </w:tblPr>
      <w:tblGrid>
        <w:gridCol w:w="1701"/>
        <w:gridCol w:w="454"/>
        <w:gridCol w:w="1701"/>
        <w:gridCol w:w="1587"/>
        <w:gridCol w:w="2381"/>
        <w:gridCol w:w="1247"/>
      </w:tblGrid>
      <w:tr>
        <w:trPr>
          <w:tblHeader w:val="on"/>
        </w:trPr>
        <w:tc>
          <w:tcPr>
            <w:tcW w:type="dxa" w:w="1701"/>
          </w:tcPr>
          <w:p>
            <w:pPr>
              <w:pStyle w:val="Compact"/>
            </w:pPr>
            <w:r>
              <w:t xml:space="preserve">Target region</w:t>
            </w:r>
          </w:p>
        </w:tc>
        <w:tc>
          <w:tcPr>
            <w:tcW w:type="dxa" w:w="454"/>
          </w:tcPr>
          <w:p>
            <w:pPr>
              <w:pStyle w:val="Compact"/>
              <w:jc w:val="right"/>
            </w:pPr>
            <w:r>
              <w:t xml:space="preserve">Scar</w:t>
            </w:r>
          </w:p>
        </w:tc>
        <w:tc>
          <w:tcPr>
            <w:tcW w:type="dxa" w:w="1701"/>
          </w:tcPr>
          <w:p>
            <w:pPr>
              <w:pStyle w:val="Compact"/>
              <w:jc w:val="right"/>
            </w:pPr>
            <w:r>
              <w:t xml:space="preserve">Burned fraction</w:t>
            </w:r>
          </w:p>
        </w:tc>
        <w:tc>
          <w:tcPr>
            <w:tcW w:type="dxa" w:w="1587"/>
          </w:tcPr>
          <w:p>
            <w:pPr>
              <w:pStyle w:val="Compact"/>
              <w:jc w:val="right"/>
            </w:pPr>
            <w:r>
              <w:t xml:space="preserve">A whole region</w:t>
            </w:r>
          </w:p>
        </w:tc>
        <w:tc>
          <w:tcPr>
            <w:tcW w:type="dxa" w:w="2381"/>
          </w:tcPr>
          <w:p>
            <w:pPr>
              <w:pStyle w:val="Compact"/>
              <w:jc w:val="right"/>
            </w:pPr>
            <w:r>
              <w:t xml:space="preserve">A′ prevalence-matched</w:t>
            </w:r>
          </w:p>
        </w:tc>
        <w:tc>
          <w:tcPr>
            <w:tcW w:type="dxa" w:w="1247"/>
          </w:tcPr>
          <w:p>
            <w:pPr>
              <w:pStyle w:val="Compact"/>
              <w:jc w:val="right"/>
            </w:pPr>
            <w:r>
              <w:t xml:space="preserve">B scar area</w:t>
            </w:r>
          </w:p>
        </w:tc>
      </w:tr>
      <w:tr>
        <w:tc>
          <w:tcPr>
            <w:tcW w:type="dxa" w:w="1701"/>
          </w:tcPr>
          <w:p>
            <w:pPr>
              <w:pStyle w:val="Compact"/>
            </w:pPr>
            <w:r>
              <w:t xml:space="preserve">Manavgat 2021</w:t>
            </w:r>
          </w:p>
        </w:tc>
        <w:tc>
          <w:tcPr>
            <w:tcW w:type="dxa" w:w="454"/>
          </w:tcPr>
          <w:p>
            <w:pPr>
              <w:pStyle w:val="Compact"/>
              <w:jc w:val="right"/>
            </w:pPr>
            <w:r>
              <w:t xml:space="preserve">1</w:t>
            </w:r>
          </w:p>
        </w:tc>
        <w:tc>
          <w:tcPr>
            <w:tcW w:type="dxa" w:w="1701"/>
          </w:tcPr>
          <w:p>
            <w:pPr>
              <w:pStyle w:val="Compact"/>
              <w:jc w:val="right"/>
            </w:pPr>
            <w:r>
              <w:t xml:space="preserve">0.74</w:t>
            </w:r>
          </w:p>
        </w:tc>
        <w:tc>
          <w:tcPr>
            <w:tcW w:type="dxa" w:w="1587"/>
          </w:tcPr>
          <w:p>
            <w:pPr>
              <w:pStyle w:val="Compact"/>
              <w:jc w:val="right"/>
            </w:pPr>
            <w:r>
              <w:t xml:space="preserve">0.8822</w:t>
            </w:r>
          </w:p>
        </w:tc>
        <w:tc>
          <w:tcPr>
            <w:tcW w:type="dxa" w:w="2381"/>
          </w:tcPr>
          <w:p>
            <w:pPr>
              <w:pStyle w:val="Compact"/>
              <w:jc w:val="right"/>
            </w:pPr>
            <w:r>
              <w:t xml:space="preserve">0.8837</w:t>
            </w:r>
          </w:p>
        </w:tc>
        <w:tc>
          <w:tcPr>
            <w:tcW w:type="dxa" w:w="1247"/>
          </w:tcPr>
          <w:p>
            <w:pPr>
              <w:pStyle w:val="Compact"/>
              <w:jc w:val="right"/>
            </w:pPr>
            <w:r>
              <w:t xml:space="preserve">0.7434</w:t>
            </w:r>
          </w:p>
        </w:tc>
      </w:tr>
      <w:tr>
        <w:tc>
          <w:tcPr>
            <w:tcW w:type="dxa" w:w="1701"/>
          </w:tcPr>
          <w:p>
            <w:pPr>
              <w:pStyle w:val="Compact"/>
            </w:pPr>
            <w:r>
              <w:t xml:space="preserve">Bejís 2022</w:t>
            </w:r>
          </w:p>
        </w:tc>
        <w:tc>
          <w:tcPr>
            <w:tcW w:type="dxa" w:w="454"/>
          </w:tcPr>
          <w:p>
            <w:pPr>
              <w:pStyle w:val="Compact"/>
              <w:jc w:val="right"/>
            </w:pPr>
            <w:r>
              <w:t xml:space="preserve">1</w:t>
            </w:r>
          </w:p>
        </w:tc>
        <w:tc>
          <w:tcPr>
            <w:tcW w:type="dxa" w:w="1701"/>
          </w:tcPr>
          <w:p>
            <w:pPr>
              <w:pStyle w:val="Compact"/>
              <w:jc w:val="right"/>
            </w:pPr>
            <w:r>
              <w:t xml:space="preserve">0.66</w:t>
            </w:r>
          </w:p>
        </w:tc>
        <w:tc>
          <w:tcPr>
            <w:tcW w:type="dxa" w:w="1587"/>
          </w:tcPr>
          <w:p>
            <w:pPr>
              <w:pStyle w:val="Compact"/>
              <w:jc w:val="right"/>
            </w:pPr>
            <w:r>
              <w:t xml:space="preserve">0.8245</w:t>
            </w:r>
          </w:p>
        </w:tc>
        <w:tc>
          <w:tcPr>
            <w:tcW w:type="dxa" w:w="2381"/>
          </w:tcPr>
          <w:p>
            <w:pPr>
              <w:pStyle w:val="Compact"/>
              <w:jc w:val="right"/>
            </w:pPr>
            <w:r>
              <w:t xml:space="preserve">0.8251</w:t>
            </w:r>
          </w:p>
        </w:tc>
        <w:tc>
          <w:tcPr>
            <w:tcW w:type="dxa" w:w="1247"/>
          </w:tcPr>
          <w:p>
            <w:pPr>
              <w:pStyle w:val="Compact"/>
              <w:jc w:val="right"/>
            </w:pPr>
            <w:r>
              <w:t xml:space="preserve">0.5748</w:t>
            </w:r>
          </w:p>
        </w:tc>
      </w:tr>
      <w:tr>
        <w:tc>
          <w:tcPr>
            <w:tcW w:type="dxa" w:w="1701"/>
          </w:tcPr>
          <w:p>
            <w:pPr>
              <w:pStyle w:val="Compact"/>
            </w:pPr>
            <w:r>
              <w:t xml:space="preserve">Muğla 2021</w:t>
            </w:r>
          </w:p>
        </w:tc>
        <w:tc>
          <w:tcPr>
            <w:tcW w:type="dxa" w:w="454"/>
          </w:tcPr>
          <w:p>
            <w:pPr>
              <w:pStyle w:val="Compact"/>
              <w:jc w:val="right"/>
            </w:pPr>
            <w:r>
              <w:t xml:space="preserve">6</w:t>
            </w:r>
          </w:p>
        </w:tc>
        <w:tc>
          <w:tcPr>
            <w:tcW w:type="dxa" w:w="1701"/>
          </w:tcPr>
          <w:p>
            <w:pPr>
              <w:pStyle w:val="Compact"/>
              <w:jc w:val="right"/>
            </w:pPr>
            <w:r>
              <w:t xml:space="preserve">0.72</w:t>
            </w:r>
          </w:p>
        </w:tc>
        <w:tc>
          <w:tcPr>
            <w:tcW w:type="dxa" w:w="1587"/>
          </w:tcPr>
          <w:p>
            <w:pPr>
              <w:pStyle w:val="Compact"/>
              <w:jc w:val="right"/>
            </w:pPr>
            <w:r>
              <w:t xml:space="preserve">0.7773</w:t>
            </w:r>
          </w:p>
        </w:tc>
        <w:tc>
          <w:tcPr>
            <w:tcW w:type="dxa" w:w="2381"/>
          </w:tcPr>
          <w:p>
            <w:pPr>
              <w:pStyle w:val="Compact"/>
              <w:jc w:val="right"/>
            </w:pPr>
            <w:r>
              <w:t xml:space="preserve">0.7782</w:t>
            </w:r>
          </w:p>
        </w:tc>
        <w:tc>
          <w:tcPr>
            <w:tcW w:type="dxa" w:w="1247"/>
          </w:tcPr>
          <w:p>
            <w:pPr>
              <w:pStyle w:val="Compact"/>
              <w:jc w:val="right"/>
            </w:pPr>
            <w:r>
              <w:t xml:space="preserve">0.5640</w:t>
            </w:r>
          </w:p>
        </w:tc>
      </w:tr>
      <w:tr>
        <w:tc>
          <w:tcPr>
            <w:tcW w:type="dxa" w:w="1701"/>
          </w:tcPr>
          <w:p>
            <w:pPr>
              <w:pStyle w:val="Compact"/>
            </w:pPr>
            <w:r>
              <w:t xml:space="preserve">Muğla 2021</w:t>
            </w:r>
          </w:p>
        </w:tc>
        <w:tc>
          <w:tcPr>
            <w:tcW w:type="dxa" w:w="454"/>
          </w:tcPr>
          <w:p>
            <w:pPr>
              <w:pStyle w:val="Compact"/>
              <w:jc w:val="right"/>
            </w:pPr>
            <w:r>
              <w:t xml:space="preserve">1</w:t>
            </w:r>
          </w:p>
        </w:tc>
        <w:tc>
          <w:tcPr>
            <w:tcW w:type="dxa" w:w="1701"/>
          </w:tcPr>
          <w:p>
            <w:pPr>
              <w:pStyle w:val="Compact"/>
              <w:jc w:val="right"/>
            </w:pPr>
            <w:r>
              <w:t xml:space="preserve">0.59</w:t>
            </w:r>
          </w:p>
        </w:tc>
        <w:tc>
          <w:tcPr>
            <w:tcW w:type="dxa" w:w="1587"/>
          </w:tcPr>
          <w:p>
            <w:pPr>
              <w:pStyle w:val="Compact"/>
              <w:jc w:val="right"/>
            </w:pPr>
            <w:r>
              <w:t xml:space="preserve">0.7773</w:t>
            </w:r>
          </w:p>
        </w:tc>
        <w:tc>
          <w:tcPr>
            <w:tcW w:type="dxa" w:w="2381"/>
          </w:tcPr>
          <w:p>
            <w:pPr>
              <w:pStyle w:val="Compact"/>
              <w:jc w:val="right"/>
            </w:pPr>
            <w:r>
              <w:t xml:space="preserve">0.7787</w:t>
            </w:r>
          </w:p>
        </w:tc>
        <w:tc>
          <w:tcPr>
            <w:tcW w:type="dxa" w:w="1247"/>
          </w:tcPr>
          <w:p>
            <w:pPr>
              <w:pStyle w:val="Compact"/>
              <w:jc w:val="right"/>
            </w:pPr>
            <w:r>
              <w:t xml:space="preserve">0.6540</w:t>
            </w:r>
          </w:p>
        </w:tc>
      </w:tr>
      <w:tr>
        <w:tc>
          <w:tcPr>
            <w:tcW w:type="dxa" w:w="1701"/>
          </w:tcPr>
          <w:p>
            <w:pPr>
              <w:pStyle w:val="Compact"/>
            </w:pPr>
            <w:r>
              <w:t xml:space="preserve">Muğla 2021</w:t>
            </w:r>
          </w:p>
        </w:tc>
        <w:tc>
          <w:tcPr>
            <w:tcW w:type="dxa" w:w="454"/>
          </w:tcPr>
          <w:p>
            <w:pPr>
              <w:pStyle w:val="Compact"/>
              <w:jc w:val="right"/>
            </w:pPr>
            <w:r>
              <w:t xml:space="preserve">10</w:t>
            </w:r>
          </w:p>
        </w:tc>
        <w:tc>
          <w:tcPr>
            <w:tcW w:type="dxa" w:w="1701"/>
          </w:tcPr>
          <w:p>
            <w:pPr>
              <w:pStyle w:val="Compact"/>
              <w:jc w:val="right"/>
            </w:pPr>
            <w:r>
              <w:t xml:space="preserve">0.68</w:t>
            </w:r>
          </w:p>
        </w:tc>
        <w:tc>
          <w:tcPr>
            <w:tcW w:type="dxa" w:w="1587"/>
          </w:tcPr>
          <w:p>
            <w:pPr>
              <w:pStyle w:val="Compact"/>
              <w:jc w:val="right"/>
            </w:pPr>
            <w:r>
              <w:t xml:space="preserve">0.7773</w:t>
            </w:r>
          </w:p>
        </w:tc>
        <w:tc>
          <w:tcPr>
            <w:tcW w:type="dxa" w:w="2381"/>
          </w:tcPr>
          <w:p>
            <w:pPr>
              <w:pStyle w:val="Compact"/>
              <w:jc w:val="right"/>
            </w:pPr>
            <w:r>
              <w:t xml:space="preserve">0.7835</w:t>
            </w:r>
          </w:p>
        </w:tc>
        <w:tc>
          <w:tcPr>
            <w:tcW w:type="dxa" w:w="1247"/>
          </w:tcPr>
          <w:p>
            <w:pPr>
              <w:pStyle w:val="Compact"/>
              <w:jc w:val="right"/>
            </w:pPr>
            <w:r>
              <w:t xml:space="preserve">0.6735</w:t>
            </w:r>
          </w:p>
        </w:tc>
      </w:tr>
      <w:tr>
        <w:tc>
          <w:tcPr>
            <w:tcW w:type="dxa" w:w="1701"/>
          </w:tcPr>
          <w:p>
            <w:pPr>
              <w:pStyle w:val="Compact"/>
            </w:pPr>
            <w:r>
              <w:t xml:space="preserve">Muğla 2021</w:t>
            </w:r>
          </w:p>
        </w:tc>
        <w:tc>
          <w:tcPr>
            <w:tcW w:type="dxa" w:w="454"/>
          </w:tcPr>
          <w:p>
            <w:pPr>
              <w:pStyle w:val="Compact"/>
              <w:jc w:val="right"/>
            </w:pPr>
            <w:r>
              <w:t xml:space="preserve">8</w:t>
            </w:r>
          </w:p>
        </w:tc>
        <w:tc>
          <w:tcPr>
            <w:tcW w:type="dxa" w:w="1701"/>
          </w:tcPr>
          <w:p>
            <w:pPr>
              <w:pStyle w:val="Compact"/>
              <w:jc w:val="right"/>
            </w:pPr>
            <w:r>
              <w:t xml:space="preserve">0.57</w:t>
            </w:r>
          </w:p>
        </w:tc>
        <w:tc>
          <w:tcPr>
            <w:tcW w:type="dxa" w:w="1587"/>
          </w:tcPr>
          <w:p>
            <w:pPr>
              <w:pStyle w:val="Compact"/>
              <w:jc w:val="right"/>
            </w:pPr>
            <w:r>
              <w:t xml:space="preserve">0.7773</w:t>
            </w:r>
          </w:p>
        </w:tc>
        <w:tc>
          <w:tcPr>
            <w:tcW w:type="dxa" w:w="2381"/>
          </w:tcPr>
          <w:p>
            <w:pPr>
              <w:pStyle w:val="Compact"/>
              <w:jc w:val="right"/>
            </w:pPr>
            <w:r>
              <w:t xml:space="preserve">0.7796</w:t>
            </w:r>
          </w:p>
        </w:tc>
        <w:tc>
          <w:tcPr>
            <w:tcW w:type="dxa" w:w="1247"/>
          </w:tcPr>
          <w:p>
            <w:pPr>
              <w:pStyle w:val="Compact"/>
              <w:jc w:val="right"/>
            </w:pPr>
            <w:r>
              <w:t xml:space="preserve">0.7609</w:t>
            </w:r>
          </w:p>
        </w:tc>
      </w:tr>
      <w:tr>
        <w:tc>
          <w:tcPr>
            <w:tcW w:type="dxa" w:w="1701"/>
          </w:tcPr>
          <w:p>
            <w:pPr>
              <w:pStyle w:val="Compact"/>
            </w:pPr>
            <w:r>
              <w:t xml:space="preserve">North Evia 2021</w:t>
            </w:r>
          </w:p>
        </w:tc>
        <w:tc>
          <w:tcPr>
            <w:tcW w:type="dxa" w:w="454"/>
          </w:tcPr>
          <w:p>
            <w:pPr>
              <w:pStyle w:val="Compact"/>
              <w:jc w:val="right"/>
            </w:pPr>
            <w:r>
              <w:t xml:space="preserve">1</w:t>
            </w:r>
          </w:p>
        </w:tc>
        <w:tc>
          <w:tcPr>
            <w:tcW w:type="dxa" w:w="1701"/>
          </w:tcPr>
          <w:p>
            <w:pPr>
              <w:pStyle w:val="Compact"/>
              <w:jc w:val="right"/>
            </w:pPr>
            <w:r>
              <w:t xml:space="preserve">0.87</w:t>
            </w:r>
          </w:p>
        </w:tc>
        <w:tc>
          <w:tcPr>
            <w:tcW w:type="dxa" w:w="1587"/>
          </w:tcPr>
          <w:p>
            <w:pPr>
              <w:pStyle w:val="Compact"/>
              <w:jc w:val="right"/>
            </w:pPr>
            <w:r>
              <w:t xml:space="preserve">0.8642</w:t>
            </w:r>
          </w:p>
        </w:tc>
        <w:tc>
          <w:tcPr>
            <w:tcW w:type="dxa" w:w="2381"/>
          </w:tcPr>
          <w:p>
            <w:pPr>
              <w:pStyle w:val="Compact"/>
              <w:jc w:val="right"/>
            </w:pPr>
            <w:r>
              <w:t xml:space="preserve">0.8632</w:t>
            </w:r>
          </w:p>
        </w:tc>
        <w:tc>
          <w:tcPr>
            <w:tcW w:type="dxa" w:w="1247"/>
          </w:tcPr>
          <w:p>
            <w:pPr>
              <w:pStyle w:val="Compact"/>
              <w:jc w:val="right"/>
            </w:pPr>
            <w:r>
              <w:t xml:space="preserve">0.7451</w:t>
            </w:r>
          </w:p>
        </w:tc>
      </w:tr>
      <w:tr>
        <w:tc>
          <w:tcPr>
            <w:tcW w:type="dxa" w:w="1701"/>
          </w:tcPr>
          <w:p>
            <w:pPr>
              <w:pStyle w:val="Compact"/>
            </w:pPr>
            <w:r>
              <w:t xml:space="preserve">Montiferru 2021</w:t>
            </w:r>
          </w:p>
        </w:tc>
        <w:tc>
          <w:tcPr>
            <w:tcW w:type="dxa" w:w="454"/>
          </w:tcPr>
          <w:p>
            <w:pPr>
              <w:pStyle w:val="Compact"/>
              <w:jc w:val="right"/>
            </w:pPr>
            <w:r>
              <w:t xml:space="preserve">1</w:t>
            </w:r>
          </w:p>
        </w:tc>
        <w:tc>
          <w:tcPr>
            <w:tcW w:type="dxa" w:w="1701"/>
          </w:tcPr>
          <w:p>
            <w:pPr>
              <w:pStyle w:val="Compact"/>
              <w:jc w:val="right"/>
            </w:pPr>
            <w:r>
              <w:t xml:space="preserve">0.58</w:t>
            </w:r>
          </w:p>
        </w:tc>
        <w:tc>
          <w:tcPr>
            <w:tcW w:type="dxa" w:w="1587"/>
          </w:tcPr>
          <w:p>
            <w:pPr>
              <w:pStyle w:val="Compact"/>
              <w:jc w:val="right"/>
            </w:pPr>
            <w:r>
              <w:t xml:space="preserve">0.7199</w:t>
            </w:r>
          </w:p>
        </w:tc>
        <w:tc>
          <w:tcPr>
            <w:tcW w:type="dxa" w:w="2381"/>
          </w:tcPr>
          <w:p>
            <w:pPr>
              <w:pStyle w:val="Compact"/>
              <w:jc w:val="right"/>
            </w:pPr>
            <w:r>
              <w:t xml:space="preserve">0.7179</w:t>
            </w:r>
          </w:p>
        </w:tc>
        <w:tc>
          <w:tcPr>
            <w:tcW w:type="dxa" w:w="1247"/>
          </w:tcPr>
          <w:p>
            <w:pPr>
              <w:pStyle w:val="Compact"/>
              <w:jc w:val="right"/>
            </w:pPr>
            <w:r>
              <w:t xml:space="preserve">0.6215</w:t>
            </w:r>
          </w:p>
        </w:tc>
      </w:tr>
      <w:tr>
        <w:tc>
          <w:tcPr>
            <w:tcW w:type="dxa" w:w="1701"/>
          </w:tcPr>
          <w:p>
            <w:pPr>
              <w:pStyle w:val="Compact"/>
            </w:pPr>
            <w:r>
              <w:t xml:space="preserve">Montiferru 2021</w:t>
            </w:r>
          </w:p>
        </w:tc>
        <w:tc>
          <w:tcPr>
            <w:tcW w:type="dxa" w:w="454"/>
          </w:tcPr>
          <w:p>
            <w:pPr>
              <w:pStyle w:val="Compact"/>
              <w:jc w:val="right"/>
            </w:pPr>
            <w:r>
              <w:t xml:space="preserve">5</w:t>
            </w:r>
          </w:p>
        </w:tc>
        <w:tc>
          <w:tcPr>
            <w:tcW w:type="dxa" w:w="1701"/>
          </w:tcPr>
          <w:p>
            <w:pPr>
              <w:pStyle w:val="Compact"/>
              <w:jc w:val="right"/>
            </w:pPr>
            <w:r>
              <w:t xml:space="preserve">0.34</w:t>
            </w:r>
          </w:p>
        </w:tc>
        <w:tc>
          <w:tcPr>
            <w:tcW w:type="dxa" w:w="1587"/>
          </w:tcPr>
          <w:p>
            <w:pPr>
              <w:pStyle w:val="Compact"/>
              <w:jc w:val="right"/>
            </w:pPr>
            <w:r>
              <w:t xml:space="preserve">0.7199</w:t>
            </w:r>
          </w:p>
        </w:tc>
        <w:tc>
          <w:tcPr>
            <w:tcW w:type="dxa" w:w="2381"/>
          </w:tcPr>
          <w:p>
            <w:pPr>
              <w:pStyle w:val="Compact"/>
              <w:jc w:val="right"/>
            </w:pPr>
            <w:r>
              <w:t xml:space="preserve">0.7285</w:t>
            </w:r>
          </w:p>
        </w:tc>
        <w:tc>
          <w:tcPr>
            <w:tcW w:type="dxa" w:w="1247"/>
          </w:tcPr>
          <w:p>
            <w:pPr>
              <w:pStyle w:val="Compact"/>
              <w:jc w:val="right"/>
            </w:pPr>
            <w:r>
              <w:t xml:space="preserve">0.4611</w:t>
            </w:r>
          </w:p>
        </w:tc>
      </w:tr>
      <w:tr>
        <w:tc>
          <w:tcPr>
            <w:tcW w:type="dxa" w:w="1701"/>
          </w:tcPr>
          <w:p>
            <w:pPr>
              <w:pStyle w:val="Compact"/>
            </w:pPr>
            <w:r>
              <w:rPr>
                <w:b/>
                <w:bCs/>
              </w:rPr>
              <w:t xml:space="preserve">Mean</w:t>
            </w:r>
          </w:p>
        </w:tc>
        <w:tc>
          <w:tcPr>
            <w:tcW w:type="dxa" w:w="454"/>
          </w:tcPr>
          <w:p>
            <w:pPr>
              <w:pStyle w:val="Compact"/>
            </w:pPr>
          </w:p>
        </w:tc>
        <w:tc>
          <w:tcPr>
            <w:tcW w:type="dxa" w:w="1701"/>
          </w:tcPr>
          <w:p>
            <w:pPr>
              <w:pStyle w:val="Compact"/>
            </w:pPr>
          </w:p>
        </w:tc>
        <w:tc>
          <w:tcPr>
            <w:tcW w:type="dxa" w:w="1587"/>
          </w:tcPr>
          <w:p>
            <w:pPr>
              <w:pStyle w:val="Compact"/>
              <w:jc w:val="right"/>
            </w:pPr>
            <w:r>
              <w:rPr>
                <w:b/>
                <w:bCs/>
              </w:rPr>
              <w:t xml:space="preserve">0.7911</w:t>
            </w:r>
          </w:p>
        </w:tc>
        <w:tc>
          <w:tcPr>
            <w:tcW w:type="dxa" w:w="2381"/>
          </w:tcPr>
          <w:p>
            <w:pPr>
              <w:pStyle w:val="Compact"/>
              <w:jc w:val="right"/>
            </w:pPr>
            <w:r>
              <w:rPr>
                <w:b/>
                <w:bCs/>
              </w:rPr>
              <w:t xml:space="preserve">0.7932</w:t>
            </w:r>
          </w:p>
        </w:tc>
        <w:tc>
          <w:tcPr>
            <w:tcW w:type="dxa" w:w="1247"/>
          </w:tcPr>
          <w:p>
            <w:pPr>
              <w:pStyle w:val="Compact"/>
              <w:jc w:val="right"/>
            </w:pPr>
            <w:r>
              <w:rPr>
                <w:b/>
                <w:bCs/>
              </w:rPr>
              <w:t xml:space="preserve">0.6443</w:t>
            </w:r>
          </w:p>
        </w:tc>
      </w:tr>
    </w:tbl>
    <w:p>
      <w:pPr>
        <w:pStyle w:val="BodyText"/>
      </w:pPr>
      <w:r>
        <w:t xml:space="preserve">A minus A′, the effect of prevalence alone, is</w:t>
      </w:r>
      <w:r>
        <w:t xml:space="preserve"> </w:t>
      </w:r>
      <w:r>
        <w:rPr>
          <w:b/>
          <w:bCs/>
        </w:rPr>
        <w:t xml:space="preserve">−0.002 [−0.005, +0.001]</w:t>
      </w:r>
      <w:r>
        <w:t xml:space="preserve">. A′ minus B, the effect of</w:t>
      </w:r>
      <w:r>
        <w:t xml:space="preserve"> </w:t>
      </w:r>
      <w:r>
        <w:t xml:space="preserve">replacing the region’s negatives with fire-adjacent ones, is</w:t>
      </w:r>
      <w:r>
        <w:t xml:space="preserve"> </w:t>
      </w:r>
      <w:r>
        <w:rPr>
          <w:b/>
          <w:bCs/>
        </w:rPr>
        <w:t xml:space="preserve">+0.149 [+0.087, +0.211]</w:t>
      </w:r>
      <w:r>
        <w:t xml:space="preserve">. The</w:t>
      </w:r>
      <w:r>
        <w:t xml:space="preserve"> </w:t>
      </w:r>
      <w:r>
        <w:t xml:space="preserve">evaluation-area effect is entirely the negative pool.</w:t>
      </w:r>
    </w:p>
    <w:bookmarkEnd w:id="29"/>
    <w:bookmarkEnd w:id="30"/>
    <w:bookmarkStart w:id="31" w:name="X6c38c3988d5c8b8862977952c3fc6ac299027e5"/>
    <w:p>
      <w:pPr>
        <w:pStyle w:val="Heading2"/>
      </w:pPr>
      <w:r>
        <w:t xml:space="preserve">S1.10 The transfer-gap decomposition, in full</w:t>
      </w:r>
    </w:p>
    <w:p>
      <w:pPr>
        <w:pStyle w:val="FirstParagraph"/>
      </w:pPr>
      <w:r>
        <w:t xml:space="preserve">Section 4.5 states the two figures this table carries: at most 28 % of the gap recovered in the</w:t>
      </w:r>
      <w:r>
        <w:t xml:space="preserve"> </w:t>
      </w:r>
      <w:r>
        <w:t xml:space="preserve">directions that started below chance (Bejís to Evia), and seven directions with negative recovery.</w:t>
      </w:r>
      <w:r>
        <w:t xml:space="preserve"> </w:t>
      </w:r>
      <w:r>
        <w:t xml:space="preserve">Five of the seven have intervals entirely below zero; Manavgat to Muğla (−0.03 [−0.06, +0.01]) and</w:t>
      </w:r>
      <w:r>
        <w:t xml:space="preserve"> </w:t>
      </w:r>
      <w:r>
        <w:t xml:space="preserve">Muğla to Bejís (−0.07 [−0.16, +0.01]) are point-estimate cases. Values are on the corrected Manavgat</w:t>
      </w:r>
      <w:r>
        <w:t xml:space="preserve"> </w:t>
      </w:r>
      <w:r>
        <w:t xml:space="preserve">label, from</w:t>
      </w:r>
      <w:r>
        <w:t xml:space="preserve"> </w:t>
      </w:r>
      <w:r>
        <w:rPr>
          <w:rStyle w:val="VerbatimChar"/>
        </w:rPr>
        <w:t xml:space="preserve">four_aoi_decomposition.csv</w:t>
      </w:r>
      <w:r>
        <w:t xml:space="preserve"> </w:t>
      </w:r>
      <w:r>
        <w:t xml:space="preserve">of the re-frozen outputs; two Manavgat directions that</w:t>
      </w:r>
      <w:r>
        <w:t xml:space="preserve"> </w:t>
      </w:r>
      <w:r>
        <w:t xml:space="preserve">recovered above chance under the frozen label, Bejís to Manavgat and Muğla to Manavgat, now recover</w:t>
      </w:r>
      <w:r>
        <w:t xml:space="preserve"> </w:t>
      </w:r>
      <w:r>
        <w:t xml:space="preserve">without clearing chance (adapted 0.406 and 0.485). The table is</w:t>
      </w:r>
      <w:r>
        <w:t xml:space="preserve"> </w:t>
      </w:r>
      <w:r>
        <w:t xml:space="preserve">kept here rather than in the body because Section 4.3 shows the within-region reference in its</w:t>
      </w:r>
      <w:r>
        <w:t xml:space="preserve"> </w:t>
      </w:r>
      <w:r>
        <w:t xml:space="preserve">denominator is not matched to a transfer evaluation, and Section 4.4 shows its raw column is</w:t>
      </w:r>
      <w:r>
        <w:t xml:space="preserve"> </w:t>
      </w:r>
      <w:r>
        <w:t xml:space="preserve">frame-dependent, so the fractions should be read as within-protocol quantities.</w:t>
      </w:r>
    </w:p>
    <w:p>
      <w:pPr>
        <w:pStyle w:val="BodyText"/>
      </w:pPr>
      <w:r>
        <w:rPr>
          <w:b/>
          <w:bCs/>
        </w:rPr>
        <w:t xml:space="preserve">Table S6. Transfer-gap decomposition (four-AOI set, 12 directions).</w:t>
      </w:r>
      <w:r>
        <w:t xml:space="preserve"> </w:t>
      </w:r>
      <w:r>
        <w:t xml:space="preserve">Within = target’s</w:t>
      </w:r>
      <w:r>
        <w:t xml:space="preserve"> </w:t>
      </w:r>
      <w:r>
        <w:t xml:space="preserve">within-region thermal AUC; best adapted = the better of z-score/CORAL; recovered fraction = (adapted</w:t>
      </w:r>
      <w:r>
        <w:t xml:space="preserve"> </w:t>
      </w:r>
      <w:r>
        <w:t xml:space="preserve">− raw)/(within − raw), signed and unclipped, with paired bootstrap CI (1000 replicates). Montiferru</w:t>
      </w:r>
      <w:r>
        <w:t xml:space="preserve"> </w:t>
      </w:r>
      <w:r>
        <w:t xml:space="preserve">directions are not part of this decomposition (per-pair absolute decompositions exist without</w:t>
      </w:r>
      <w:r>
        <w:t xml:space="preserve"> </w:t>
      </w:r>
      <w:r>
        <w:t xml:space="preserve">fraction CIs). The status column asks whether the</w:t>
      </w:r>
      <w:r>
        <w:t xml:space="preserve"> </w:t>
      </w:r>
      <w:r>
        <w:rPr>
          <w:i/>
          <w:iCs/>
        </w:rPr>
        <w:t xml:space="preserve">adapted</w:t>
      </w:r>
      <w:r>
        <w:t xml:space="preserve"> </w:t>
      </w:r>
      <w:r>
        <w:t xml:space="preserve">value clears chance and uses the 2-cell</w:t>
      </w:r>
      <w:r>
        <w:t xml:space="preserve"> </w:t>
      </w:r>
      <w:r>
        <w:t xml:space="preserve">adapted intervals of Table S16. The adapted arms were not recomputed at the coarser blocking of</w:t>
      </w:r>
      <w:r>
        <w:t xml:space="preserve"> </w:t>
      </w:r>
      <w:r>
        <w:t xml:space="preserve">Section S1.3, which covers the raw arm and the paired delta only.</w:t>
      </w:r>
    </w:p>
    <w:tbl>
      <w:tblPr>
        <w:tblStyle w:val="Table"/>
        <w:tblW w:type="auto" w:w="0"/>
        <w:tblLook w:firstRow="1" w:lastRow="0" w:firstColumn="0" w:lastColumn="0" w:noHBand="0" w:noVBand="0" w:val="0020"/>
      </w:tblPr>
      <w:tblGrid>
        <w:gridCol w:w="1296"/>
        <w:gridCol w:w="555"/>
        <w:gridCol w:w="463"/>
        <w:gridCol w:w="1944"/>
        <w:gridCol w:w="2129"/>
        <w:gridCol w:w="2684"/>
      </w:tblGrid>
      <w:tr>
        <w:trPr>
          <w:tblHeader w:val="on"/>
        </w:trPr>
        <w:tc>
          <w:tcPr>
            <w:tcW w:type="dxa" w:w="1296"/>
          </w:tcPr>
          <w:p>
            <w:pPr>
              <w:pStyle w:val="Compact"/>
            </w:pPr>
            <w:r>
              <w:t xml:space="preserve">Direction</w:t>
            </w:r>
          </w:p>
        </w:tc>
        <w:tc>
          <w:tcPr>
            <w:tcW w:type="dxa" w:w="555"/>
          </w:tcPr>
          <w:p>
            <w:pPr>
              <w:pStyle w:val="Compact"/>
            </w:pPr>
            <w:r>
              <w:t xml:space="preserve">Within</w:t>
            </w:r>
          </w:p>
        </w:tc>
        <w:tc>
          <w:tcPr>
            <w:tcW w:type="dxa" w:w="463"/>
          </w:tcPr>
          <w:p>
            <w:pPr>
              <w:pStyle w:val="Compact"/>
            </w:pPr>
            <w:r>
              <w:t xml:space="preserve">Raw</w:t>
            </w:r>
          </w:p>
        </w:tc>
        <w:tc>
          <w:tcPr>
            <w:tcW w:type="dxa" w:w="1944"/>
          </w:tcPr>
          <w:p>
            <w:pPr>
              <w:pStyle w:val="Compact"/>
            </w:pPr>
            <w:r>
              <w:t xml:space="preserve">Best adapted (method)</w:t>
            </w:r>
          </w:p>
        </w:tc>
        <w:tc>
          <w:tcPr>
            <w:tcW w:type="dxa" w:w="2129"/>
          </w:tcPr>
          <w:p>
            <w:pPr>
              <w:pStyle w:val="Compact"/>
            </w:pPr>
            <w:r>
              <w:t xml:space="preserve">Recovered fraction [CI]</w:t>
            </w:r>
          </w:p>
        </w:tc>
        <w:tc>
          <w:tcPr>
            <w:tcW w:type="dxa" w:w="2684"/>
          </w:tcPr>
          <w:p>
            <w:pPr>
              <w:pStyle w:val="Compact"/>
            </w:pPr>
            <w:r>
              <w:t xml:space="preserve">Status</w:t>
            </w:r>
          </w:p>
        </w:tc>
      </w:tr>
      <w:tr>
        <w:tc>
          <w:tcPr>
            <w:tcW w:type="dxa" w:w="1296"/>
          </w:tcPr>
          <w:p>
            <w:pPr>
              <w:pStyle w:val="Compact"/>
            </w:pPr>
            <w:r>
              <w:t xml:space="preserve">Bejís→Evia</w:t>
            </w:r>
          </w:p>
        </w:tc>
        <w:tc>
          <w:tcPr>
            <w:tcW w:type="dxa" w:w="555"/>
          </w:tcPr>
          <w:p>
            <w:pPr>
              <w:pStyle w:val="Compact"/>
            </w:pPr>
            <w:r>
              <w:t xml:space="preserve">0.912</w:t>
            </w:r>
          </w:p>
        </w:tc>
        <w:tc>
          <w:tcPr>
            <w:tcW w:type="dxa" w:w="463"/>
          </w:tcPr>
          <w:p>
            <w:pPr>
              <w:pStyle w:val="Compact"/>
            </w:pPr>
            <w:r>
              <w:t xml:space="preserve">0.383</w:t>
            </w:r>
          </w:p>
        </w:tc>
        <w:tc>
          <w:tcPr>
            <w:tcW w:type="dxa" w:w="1944"/>
          </w:tcPr>
          <w:p>
            <w:pPr>
              <w:pStyle w:val="Compact"/>
            </w:pPr>
            <w:r>
              <w:t xml:space="preserve">0.532 (z-score)</w:t>
            </w:r>
          </w:p>
        </w:tc>
        <w:tc>
          <w:tcPr>
            <w:tcW w:type="dxa" w:w="2129"/>
          </w:tcPr>
          <w:p>
            <w:pPr>
              <w:pStyle w:val="Compact"/>
            </w:pPr>
            <w:r>
              <w:t xml:space="preserve">+0.28 [+0.23, +0.32]</w:t>
            </w:r>
          </w:p>
        </w:tc>
        <w:tc>
          <w:tcPr>
            <w:tcW w:type="dxa" w:w="2684"/>
          </w:tcPr>
          <w:p>
            <w:pPr>
              <w:pStyle w:val="Compact"/>
            </w:pPr>
            <w:r>
              <w:t xml:space="preserve">recovery above chance</w:t>
            </w:r>
          </w:p>
        </w:tc>
      </w:tr>
      <w:tr>
        <w:tc>
          <w:tcPr>
            <w:tcW w:type="dxa" w:w="1296"/>
          </w:tcPr>
          <w:p>
            <w:pPr>
              <w:pStyle w:val="Compact"/>
            </w:pPr>
            <w:r>
              <w:t xml:space="preserve">Muğla→Manavgat</w:t>
            </w:r>
          </w:p>
        </w:tc>
        <w:tc>
          <w:tcPr>
            <w:tcW w:type="dxa" w:w="555"/>
          </w:tcPr>
          <w:p>
            <w:pPr>
              <w:pStyle w:val="Compact"/>
            </w:pPr>
            <w:r>
              <w:t xml:space="preserve">0.908</w:t>
            </w:r>
          </w:p>
        </w:tc>
        <w:tc>
          <w:tcPr>
            <w:tcW w:type="dxa" w:w="463"/>
          </w:tcPr>
          <w:p>
            <w:pPr>
              <w:pStyle w:val="Compact"/>
            </w:pPr>
            <w:r>
              <w:t xml:space="preserve">0.345</w:t>
            </w:r>
          </w:p>
        </w:tc>
        <w:tc>
          <w:tcPr>
            <w:tcW w:type="dxa" w:w="1944"/>
          </w:tcPr>
          <w:p>
            <w:pPr>
              <w:pStyle w:val="Compact"/>
            </w:pPr>
            <w:r>
              <w:t xml:space="preserve">0.485 (z-score)</w:t>
            </w:r>
          </w:p>
        </w:tc>
        <w:tc>
          <w:tcPr>
            <w:tcW w:type="dxa" w:w="2129"/>
          </w:tcPr>
          <w:p>
            <w:pPr>
              <w:pStyle w:val="Compact"/>
            </w:pPr>
            <w:r>
              <w:t xml:space="preserve">+0.25 [+0.22, +0.28]</w:t>
            </w:r>
          </w:p>
        </w:tc>
        <w:tc>
          <w:tcPr>
            <w:tcW w:type="dxa" w:w="2684"/>
          </w:tcPr>
          <w:p>
            <w:pPr>
              <w:pStyle w:val="Compact"/>
            </w:pPr>
            <w:r>
              <w:t xml:space="preserve">recovery, chance not excluded</w:t>
            </w:r>
          </w:p>
        </w:tc>
      </w:tr>
      <w:tr>
        <w:tc>
          <w:tcPr>
            <w:tcW w:type="dxa" w:w="1296"/>
          </w:tcPr>
          <w:p>
            <w:pPr>
              <w:pStyle w:val="Compact"/>
            </w:pPr>
            <w:r>
              <w:t xml:space="preserve">Evia→Bejís</w:t>
            </w:r>
          </w:p>
        </w:tc>
        <w:tc>
          <w:tcPr>
            <w:tcW w:type="dxa" w:w="555"/>
          </w:tcPr>
          <w:p>
            <w:pPr>
              <w:pStyle w:val="Compact"/>
            </w:pPr>
            <w:r>
              <w:t xml:space="preserve">0.918</w:t>
            </w:r>
          </w:p>
        </w:tc>
        <w:tc>
          <w:tcPr>
            <w:tcW w:type="dxa" w:w="463"/>
          </w:tcPr>
          <w:p>
            <w:pPr>
              <w:pStyle w:val="Compact"/>
            </w:pPr>
            <w:r>
              <w:t xml:space="preserve">0.448</w:t>
            </w:r>
          </w:p>
        </w:tc>
        <w:tc>
          <w:tcPr>
            <w:tcW w:type="dxa" w:w="1944"/>
          </w:tcPr>
          <w:p>
            <w:pPr>
              <w:pStyle w:val="Compact"/>
            </w:pPr>
            <w:r>
              <w:t xml:space="preserve">0.549 (z-score)</w:t>
            </w:r>
          </w:p>
        </w:tc>
        <w:tc>
          <w:tcPr>
            <w:tcW w:type="dxa" w:w="2129"/>
          </w:tcPr>
          <w:p>
            <w:pPr>
              <w:pStyle w:val="Compact"/>
            </w:pPr>
            <w:r>
              <w:t xml:space="preserve">+0.22 [+0.16, +0.27]</w:t>
            </w:r>
          </w:p>
        </w:tc>
        <w:tc>
          <w:tcPr>
            <w:tcW w:type="dxa" w:w="2684"/>
          </w:tcPr>
          <w:p>
            <w:pPr>
              <w:pStyle w:val="Compact"/>
            </w:pPr>
            <w:r>
              <w:t xml:space="preserve">recovery above chance</w:t>
            </w:r>
          </w:p>
        </w:tc>
      </w:tr>
      <w:tr>
        <w:tc>
          <w:tcPr>
            <w:tcW w:type="dxa" w:w="1296"/>
          </w:tcPr>
          <w:p>
            <w:pPr>
              <w:pStyle w:val="Compact"/>
            </w:pPr>
            <w:r>
              <w:t xml:space="preserve">Bejís→Manavgat</w:t>
            </w:r>
          </w:p>
        </w:tc>
        <w:tc>
          <w:tcPr>
            <w:tcW w:type="dxa" w:w="555"/>
          </w:tcPr>
          <w:p>
            <w:pPr>
              <w:pStyle w:val="Compact"/>
            </w:pPr>
            <w:r>
              <w:t xml:space="preserve">0.908</w:t>
            </w:r>
          </w:p>
        </w:tc>
        <w:tc>
          <w:tcPr>
            <w:tcW w:type="dxa" w:w="463"/>
          </w:tcPr>
          <w:p>
            <w:pPr>
              <w:pStyle w:val="Compact"/>
            </w:pPr>
            <w:r>
              <w:t xml:space="preserve">0.314</w:t>
            </w:r>
          </w:p>
        </w:tc>
        <w:tc>
          <w:tcPr>
            <w:tcW w:type="dxa" w:w="1944"/>
          </w:tcPr>
          <w:p>
            <w:pPr>
              <w:pStyle w:val="Compact"/>
            </w:pPr>
            <w:r>
              <w:t xml:space="preserve">0.406 (CORAL)</w:t>
            </w:r>
          </w:p>
        </w:tc>
        <w:tc>
          <w:tcPr>
            <w:tcW w:type="dxa" w:w="2129"/>
          </w:tcPr>
          <w:p>
            <w:pPr>
              <w:pStyle w:val="Compact"/>
            </w:pPr>
            <w:r>
              <w:t xml:space="preserve">+0.15 [+0.13, +0.18]</w:t>
            </w:r>
          </w:p>
        </w:tc>
        <w:tc>
          <w:tcPr>
            <w:tcW w:type="dxa" w:w="2684"/>
          </w:tcPr>
          <w:p>
            <w:pPr>
              <w:pStyle w:val="Compact"/>
            </w:pPr>
            <w:r>
              <w:t xml:space="preserve">recovery, chance not excluded</w:t>
            </w:r>
          </w:p>
        </w:tc>
      </w:tr>
      <w:tr>
        <w:tc>
          <w:tcPr>
            <w:tcW w:type="dxa" w:w="1296"/>
          </w:tcPr>
          <w:p>
            <w:pPr>
              <w:pStyle w:val="Compact"/>
            </w:pPr>
            <w:r>
              <w:t xml:space="preserve">Manavgat→Bejís</w:t>
            </w:r>
          </w:p>
        </w:tc>
        <w:tc>
          <w:tcPr>
            <w:tcW w:type="dxa" w:w="555"/>
          </w:tcPr>
          <w:p>
            <w:pPr>
              <w:pStyle w:val="Compact"/>
            </w:pPr>
            <w:r>
              <w:t xml:space="preserve">0.918</w:t>
            </w:r>
          </w:p>
        </w:tc>
        <w:tc>
          <w:tcPr>
            <w:tcW w:type="dxa" w:w="463"/>
          </w:tcPr>
          <w:p>
            <w:pPr>
              <w:pStyle w:val="Compact"/>
            </w:pPr>
            <w:r>
              <w:t xml:space="preserve">0.396</w:t>
            </w:r>
          </w:p>
        </w:tc>
        <w:tc>
          <w:tcPr>
            <w:tcW w:type="dxa" w:w="1944"/>
          </w:tcPr>
          <w:p>
            <w:pPr>
              <w:pStyle w:val="Compact"/>
            </w:pPr>
            <w:r>
              <w:t xml:space="preserve">0.467 (CORAL)</w:t>
            </w:r>
          </w:p>
        </w:tc>
        <w:tc>
          <w:tcPr>
            <w:tcW w:type="dxa" w:w="2129"/>
          </w:tcPr>
          <w:p>
            <w:pPr>
              <w:pStyle w:val="Compact"/>
            </w:pPr>
            <w:r>
              <w:t xml:space="preserve">+0.14 [+0.09, +0.17]</w:t>
            </w:r>
          </w:p>
        </w:tc>
        <w:tc>
          <w:tcPr>
            <w:tcW w:type="dxa" w:w="2684"/>
          </w:tcPr>
          <w:p>
            <w:pPr>
              <w:pStyle w:val="Compact"/>
            </w:pPr>
            <w:r>
              <w:t xml:space="preserve">recovery, chance not excluded</w:t>
            </w:r>
          </w:p>
        </w:tc>
      </w:tr>
      <w:tr>
        <w:tc>
          <w:tcPr>
            <w:tcW w:type="dxa" w:w="1296"/>
          </w:tcPr>
          <w:p>
            <w:pPr>
              <w:pStyle w:val="Compact"/>
            </w:pPr>
            <w:r>
              <w:t xml:space="preserve">Manavgat→Muğla</w:t>
            </w:r>
          </w:p>
        </w:tc>
        <w:tc>
          <w:tcPr>
            <w:tcW w:type="dxa" w:w="555"/>
          </w:tcPr>
          <w:p>
            <w:pPr>
              <w:pStyle w:val="Compact"/>
            </w:pPr>
            <w:r>
              <w:t xml:space="preserve">0.859</w:t>
            </w:r>
          </w:p>
        </w:tc>
        <w:tc>
          <w:tcPr>
            <w:tcW w:type="dxa" w:w="463"/>
          </w:tcPr>
          <w:p>
            <w:pPr>
              <w:pStyle w:val="Compact"/>
            </w:pPr>
            <w:r>
              <w:t xml:space="preserve">0.438</w:t>
            </w:r>
          </w:p>
        </w:tc>
        <w:tc>
          <w:tcPr>
            <w:tcW w:type="dxa" w:w="1944"/>
          </w:tcPr>
          <w:p>
            <w:pPr>
              <w:pStyle w:val="Compact"/>
            </w:pPr>
            <w:r>
              <w:t xml:space="preserve">0.427 (z-score)</w:t>
            </w:r>
          </w:p>
        </w:tc>
        <w:tc>
          <w:tcPr>
            <w:tcW w:type="dxa" w:w="2129"/>
          </w:tcPr>
          <w:p>
            <w:pPr>
              <w:pStyle w:val="Compact"/>
            </w:pPr>
            <w:r>
              <w:t xml:space="preserve">−0.03 [−0.06, +0.01]</w:t>
            </w:r>
          </w:p>
        </w:tc>
        <w:tc>
          <w:tcPr>
            <w:tcW w:type="dxa" w:w="2684"/>
          </w:tcPr>
          <w:p>
            <w:pPr>
              <w:pStyle w:val="Compact"/>
            </w:pPr>
            <w:r>
              <w:rPr>
                <w:b/>
                <w:bCs/>
              </w:rPr>
              <w:t xml:space="preserve">negative recovery</w:t>
            </w:r>
          </w:p>
        </w:tc>
      </w:tr>
      <w:tr>
        <w:tc>
          <w:tcPr>
            <w:tcW w:type="dxa" w:w="1296"/>
          </w:tcPr>
          <w:p>
            <w:pPr>
              <w:pStyle w:val="Compact"/>
            </w:pPr>
            <w:r>
              <w:t xml:space="preserve">Muğla→Bejís</w:t>
            </w:r>
          </w:p>
        </w:tc>
        <w:tc>
          <w:tcPr>
            <w:tcW w:type="dxa" w:w="555"/>
          </w:tcPr>
          <w:p>
            <w:pPr>
              <w:pStyle w:val="Compact"/>
            </w:pPr>
            <w:r>
              <w:t xml:space="preserve">0.918</w:t>
            </w:r>
          </w:p>
        </w:tc>
        <w:tc>
          <w:tcPr>
            <w:tcW w:type="dxa" w:w="463"/>
          </w:tcPr>
          <w:p>
            <w:pPr>
              <w:pStyle w:val="Compact"/>
            </w:pPr>
            <w:r>
              <w:t xml:space="preserve">0.583</w:t>
            </w:r>
          </w:p>
        </w:tc>
        <w:tc>
          <w:tcPr>
            <w:tcW w:type="dxa" w:w="1944"/>
          </w:tcPr>
          <w:p>
            <w:pPr>
              <w:pStyle w:val="Compact"/>
            </w:pPr>
            <w:r>
              <w:t xml:space="preserve">0.560 (CORAL)</w:t>
            </w:r>
          </w:p>
        </w:tc>
        <w:tc>
          <w:tcPr>
            <w:tcW w:type="dxa" w:w="2129"/>
          </w:tcPr>
          <w:p>
            <w:pPr>
              <w:pStyle w:val="Compact"/>
            </w:pPr>
            <w:r>
              <w:t xml:space="preserve">−0.07 [−0.16, +0.01]</w:t>
            </w:r>
          </w:p>
        </w:tc>
        <w:tc>
          <w:tcPr>
            <w:tcW w:type="dxa" w:w="2684"/>
          </w:tcPr>
          <w:p>
            <w:pPr>
              <w:pStyle w:val="Compact"/>
            </w:pPr>
            <w:r>
              <w:rPr>
                <w:b/>
                <w:bCs/>
              </w:rPr>
              <w:t xml:space="preserve">negative recovery</w:t>
            </w:r>
          </w:p>
        </w:tc>
      </w:tr>
      <w:tr>
        <w:tc>
          <w:tcPr>
            <w:tcW w:type="dxa" w:w="1296"/>
          </w:tcPr>
          <w:p>
            <w:pPr>
              <w:pStyle w:val="Compact"/>
            </w:pPr>
            <w:r>
              <w:t xml:space="preserve">Evia→Muğla</w:t>
            </w:r>
          </w:p>
        </w:tc>
        <w:tc>
          <w:tcPr>
            <w:tcW w:type="dxa" w:w="555"/>
          </w:tcPr>
          <w:p>
            <w:pPr>
              <w:pStyle w:val="Compact"/>
            </w:pPr>
            <w:r>
              <w:t xml:space="preserve">0.859</w:t>
            </w:r>
          </w:p>
        </w:tc>
        <w:tc>
          <w:tcPr>
            <w:tcW w:type="dxa" w:w="463"/>
          </w:tcPr>
          <w:p>
            <w:pPr>
              <w:pStyle w:val="Compact"/>
            </w:pPr>
            <w:r>
              <w:t xml:space="preserve">0.577</w:t>
            </w:r>
          </w:p>
        </w:tc>
        <w:tc>
          <w:tcPr>
            <w:tcW w:type="dxa" w:w="1944"/>
          </w:tcPr>
          <w:p>
            <w:pPr>
              <w:pStyle w:val="Compact"/>
            </w:pPr>
            <w:r>
              <w:t xml:space="preserve">0.530 (CORAL)</w:t>
            </w:r>
          </w:p>
        </w:tc>
        <w:tc>
          <w:tcPr>
            <w:tcW w:type="dxa" w:w="2129"/>
          </w:tcPr>
          <w:p>
            <w:pPr>
              <w:pStyle w:val="Compact"/>
            </w:pPr>
            <w:r>
              <w:t xml:space="preserve">−0.17 [−0.22, −0.11]</w:t>
            </w:r>
          </w:p>
        </w:tc>
        <w:tc>
          <w:tcPr>
            <w:tcW w:type="dxa" w:w="2684"/>
          </w:tcPr>
          <w:p>
            <w:pPr>
              <w:pStyle w:val="Compact"/>
            </w:pPr>
            <w:r>
              <w:rPr>
                <w:b/>
                <w:bCs/>
              </w:rPr>
              <w:t xml:space="preserve">negative recovery</w:t>
            </w:r>
          </w:p>
        </w:tc>
      </w:tr>
      <w:tr>
        <w:tc>
          <w:tcPr>
            <w:tcW w:type="dxa" w:w="1296"/>
          </w:tcPr>
          <w:p>
            <w:pPr>
              <w:pStyle w:val="Compact"/>
            </w:pPr>
            <w:r>
              <w:t xml:space="preserve">Muğla→Evia</w:t>
            </w:r>
          </w:p>
        </w:tc>
        <w:tc>
          <w:tcPr>
            <w:tcW w:type="dxa" w:w="555"/>
          </w:tcPr>
          <w:p>
            <w:pPr>
              <w:pStyle w:val="Compact"/>
            </w:pPr>
            <w:r>
              <w:t xml:space="preserve">0.912</w:t>
            </w:r>
          </w:p>
        </w:tc>
        <w:tc>
          <w:tcPr>
            <w:tcW w:type="dxa" w:w="463"/>
          </w:tcPr>
          <w:p>
            <w:pPr>
              <w:pStyle w:val="Compact"/>
            </w:pPr>
            <w:r>
              <w:t xml:space="preserve">0.653</w:t>
            </w:r>
          </w:p>
        </w:tc>
        <w:tc>
          <w:tcPr>
            <w:tcW w:type="dxa" w:w="1944"/>
          </w:tcPr>
          <w:p>
            <w:pPr>
              <w:pStyle w:val="Compact"/>
            </w:pPr>
            <w:r>
              <w:t xml:space="preserve">0.563 (CORAL)</w:t>
            </w:r>
          </w:p>
        </w:tc>
        <w:tc>
          <w:tcPr>
            <w:tcW w:type="dxa" w:w="2129"/>
          </w:tcPr>
          <w:p>
            <w:pPr>
              <w:pStyle w:val="Compact"/>
            </w:pPr>
            <w:r>
              <w:t xml:space="preserve">−0.35 [−0.43, −0.27]</w:t>
            </w:r>
          </w:p>
        </w:tc>
        <w:tc>
          <w:tcPr>
            <w:tcW w:type="dxa" w:w="2684"/>
          </w:tcPr>
          <w:p>
            <w:pPr>
              <w:pStyle w:val="Compact"/>
            </w:pPr>
            <w:r>
              <w:rPr>
                <w:b/>
                <w:bCs/>
              </w:rPr>
              <w:t xml:space="preserve">negative recovery</w:t>
            </w:r>
          </w:p>
        </w:tc>
      </w:tr>
      <w:tr>
        <w:tc>
          <w:tcPr>
            <w:tcW w:type="dxa" w:w="1296"/>
          </w:tcPr>
          <w:p>
            <w:pPr>
              <w:pStyle w:val="Compact"/>
            </w:pPr>
            <w:r>
              <w:t xml:space="preserve">Bejís→Muğla</w:t>
            </w:r>
          </w:p>
        </w:tc>
        <w:tc>
          <w:tcPr>
            <w:tcW w:type="dxa" w:w="555"/>
          </w:tcPr>
          <w:p>
            <w:pPr>
              <w:pStyle w:val="Compact"/>
            </w:pPr>
            <w:r>
              <w:t xml:space="preserve">0.859</w:t>
            </w:r>
          </w:p>
        </w:tc>
        <w:tc>
          <w:tcPr>
            <w:tcW w:type="dxa" w:w="463"/>
          </w:tcPr>
          <w:p>
            <w:pPr>
              <w:pStyle w:val="Compact"/>
            </w:pPr>
            <w:r>
              <w:t xml:space="preserve">0.618</w:t>
            </w:r>
          </w:p>
        </w:tc>
        <w:tc>
          <w:tcPr>
            <w:tcW w:type="dxa" w:w="1944"/>
          </w:tcPr>
          <w:p>
            <w:pPr>
              <w:pStyle w:val="Compact"/>
            </w:pPr>
            <w:r>
              <w:t xml:space="preserve">0.518 (z-score)</w:t>
            </w:r>
          </w:p>
        </w:tc>
        <w:tc>
          <w:tcPr>
            <w:tcW w:type="dxa" w:w="2129"/>
          </w:tcPr>
          <w:p>
            <w:pPr>
              <w:pStyle w:val="Compact"/>
            </w:pPr>
            <w:r>
              <w:t xml:space="preserve">−0.42 [−0.51, −0.34]</w:t>
            </w:r>
          </w:p>
        </w:tc>
        <w:tc>
          <w:tcPr>
            <w:tcW w:type="dxa" w:w="2684"/>
          </w:tcPr>
          <w:p>
            <w:pPr>
              <w:pStyle w:val="Compact"/>
            </w:pPr>
            <w:r>
              <w:rPr>
                <w:b/>
                <w:bCs/>
              </w:rPr>
              <w:t xml:space="preserve">negative recovery</w:t>
            </w:r>
          </w:p>
        </w:tc>
      </w:tr>
      <w:tr>
        <w:tc>
          <w:tcPr>
            <w:tcW w:type="dxa" w:w="1296"/>
          </w:tcPr>
          <w:p>
            <w:pPr>
              <w:pStyle w:val="Compact"/>
            </w:pPr>
            <w:r>
              <w:t xml:space="preserve">Manavgat→Evia</w:t>
            </w:r>
          </w:p>
        </w:tc>
        <w:tc>
          <w:tcPr>
            <w:tcW w:type="dxa" w:w="555"/>
          </w:tcPr>
          <w:p>
            <w:pPr>
              <w:pStyle w:val="Compact"/>
            </w:pPr>
            <w:r>
              <w:t xml:space="preserve">0.912</w:t>
            </w:r>
          </w:p>
        </w:tc>
        <w:tc>
          <w:tcPr>
            <w:tcW w:type="dxa" w:w="463"/>
          </w:tcPr>
          <w:p>
            <w:pPr>
              <w:pStyle w:val="Compact"/>
            </w:pPr>
            <w:r>
              <w:t xml:space="preserve">0.654</w:t>
            </w:r>
          </w:p>
        </w:tc>
        <w:tc>
          <w:tcPr>
            <w:tcW w:type="dxa" w:w="1944"/>
          </w:tcPr>
          <w:p>
            <w:pPr>
              <w:pStyle w:val="Compact"/>
            </w:pPr>
            <w:r>
              <w:t xml:space="preserve">0.529 (z-score)</w:t>
            </w:r>
          </w:p>
        </w:tc>
        <w:tc>
          <w:tcPr>
            <w:tcW w:type="dxa" w:w="2129"/>
          </w:tcPr>
          <w:p>
            <w:pPr>
              <w:pStyle w:val="Compact"/>
            </w:pPr>
            <w:r>
              <w:t xml:space="preserve">−0.48 [−0.56, −0.42]</w:t>
            </w:r>
          </w:p>
        </w:tc>
        <w:tc>
          <w:tcPr>
            <w:tcW w:type="dxa" w:w="2684"/>
          </w:tcPr>
          <w:p>
            <w:pPr>
              <w:pStyle w:val="Compact"/>
            </w:pPr>
            <w:r>
              <w:rPr>
                <w:b/>
                <w:bCs/>
              </w:rPr>
              <w:t xml:space="preserve">negative recovery</w:t>
            </w:r>
          </w:p>
        </w:tc>
      </w:tr>
      <w:tr>
        <w:tc>
          <w:tcPr>
            <w:tcW w:type="dxa" w:w="1296"/>
          </w:tcPr>
          <w:p>
            <w:pPr>
              <w:pStyle w:val="Compact"/>
            </w:pPr>
            <w:r>
              <w:t xml:space="preserve">Evia→Manavgat</w:t>
            </w:r>
          </w:p>
        </w:tc>
        <w:tc>
          <w:tcPr>
            <w:tcW w:type="dxa" w:w="555"/>
          </w:tcPr>
          <w:p>
            <w:pPr>
              <w:pStyle w:val="Compact"/>
            </w:pPr>
            <w:r>
              <w:t xml:space="preserve">0.908</w:t>
            </w:r>
          </w:p>
        </w:tc>
        <w:tc>
          <w:tcPr>
            <w:tcW w:type="dxa" w:w="463"/>
          </w:tcPr>
          <w:p>
            <w:pPr>
              <w:pStyle w:val="Compact"/>
            </w:pPr>
            <w:r>
              <w:t xml:space="preserve">0.677</w:t>
            </w:r>
          </w:p>
        </w:tc>
        <w:tc>
          <w:tcPr>
            <w:tcW w:type="dxa" w:w="1944"/>
          </w:tcPr>
          <w:p>
            <w:pPr>
              <w:pStyle w:val="Compact"/>
            </w:pPr>
            <w:r>
              <w:t xml:space="preserve">0.417 (CORAL)</w:t>
            </w:r>
          </w:p>
        </w:tc>
        <w:tc>
          <w:tcPr>
            <w:tcW w:type="dxa" w:w="2129"/>
          </w:tcPr>
          <w:p>
            <w:pPr>
              <w:pStyle w:val="Compact"/>
            </w:pPr>
            <w:r>
              <w:t xml:space="preserve">−1.13 [−1.27, −1.00]</w:t>
            </w:r>
          </w:p>
        </w:tc>
        <w:tc>
          <w:tcPr>
            <w:tcW w:type="dxa" w:w="2684"/>
          </w:tcPr>
          <w:p>
            <w:pPr>
              <w:pStyle w:val="Compact"/>
            </w:pPr>
            <w:r>
              <w:rPr>
                <w:b/>
                <w:bCs/>
              </w:rPr>
              <w:t xml:space="preserve">negative recovery</w:t>
            </w:r>
          </w:p>
        </w:tc>
      </w:tr>
    </w:tbl>
    <w:bookmarkEnd w:id="31"/>
    <w:bookmarkStart w:id="32" w:name="s1.11-the-thermal-sign-stratified"/>
    <w:p>
      <w:pPr>
        <w:pStyle w:val="Heading2"/>
      </w:pPr>
      <w:r>
        <w:t xml:space="preserve">S1.11 The thermal sign, stratified</w:t>
      </w:r>
    </w:p>
    <w:p>
      <w:pPr>
        <w:pStyle w:val="FirstParagraph"/>
      </w:pPr>
      <w:r>
        <w:t xml:space="preserve">Section 4.4 reports that all five regions agree on a negative association between pre-fire surface</w:t>
      </w:r>
      <w:r>
        <w:t xml:space="preserve"> </w:t>
      </w:r>
      <w:r>
        <w:t xml:space="preserve">temperature and burning, and that neither of the two obvious confounders explains it. The</w:t>
      </w:r>
      <w:r>
        <w:t xml:space="preserve"> </w:t>
      </w:r>
      <w:r>
        <w:t xml:space="preserve">per-region values are here. Signed AUC against</w:t>
      </w:r>
      <w:r>
        <w:t xml:space="preserve"> </w:t>
      </w:r>
      <w:r>
        <w:rPr>
          <w:rStyle w:val="VerbatimChar"/>
        </w:rPr>
        <w:t xml:space="preserve">burned</w:t>
      </w:r>
      <w:r>
        <w:t xml:space="preserve"> </w:t>
      </w:r>
      <w:r>
        <w:t xml:space="preserve">within the 10 km collar; stratified columns</w:t>
      </w:r>
      <w:r>
        <w:t xml:space="preserve"> </w:t>
      </w:r>
      <w:r>
        <w:t xml:space="preserve">pool within-stratum concordance over deciles of the named variable, weighting each stratum by its</w:t>
      </w:r>
      <w:r>
        <w:t xml:space="preserve"> </w:t>
      </w:r>
      <w:r>
        <w:t xml:space="preserve">positive-negative pair count. Source</w:t>
      </w:r>
      <w:r>
        <w:t xml:space="preserve"> </w:t>
      </w:r>
      <w:r>
        <w:rPr>
          <w:rStyle w:val="VerbatimChar"/>
        </w:rPr>
        <w:t xml:space="preserve">matched_frame_gap.csv</w:t>
      </w:r>
      <w:r>
        <w:t xml:space="preserve">, recomputable by</w:t>
      </w:r>
      <w:r>
        <w:t xml:space="preserve"> </w:t>
      </w:r>
      <w:r>
        <w:rPr>
          <w:rStyle w:val="VerbatimChar"/>
        </w:rPr>
        <w:t xml:space="preserve">paper/code/verify_matched_gap.py</w:t>
      </w:r>
      <w:r>
        <w:t xml:space="preserve">.</w:t>
      </w:r>
    </w:p>
    <w:tbl>
      <w:tblPr>
        <w:tblStyle w:val="Table"/>
        <w:tblW w:type="auto" w:w="0"/>
        <w:tblLook w:firstRow="1" w:lastRow="0" w:firstColumn="0" w:lastColumn="0" w:noHBand="0" w:noVBand="0" w:val="0020"/>
      </w:tblPr>
      <w:tblGrid>
        <w:gridCol w:w="965"/>
        <w:gridCol w:w="675"/>
        <w:gridCol w:w="1930"/>
        <w:gridCol w:w="1447"/>
        <w:gridCol w:w="1833"/>
        <w:gridCol w:w="772"/>
        <w:gridCol w:w="1447"/>
      </w:tblGrid>
      <w:tr>
        <w:trPr>
          <w:tblHeader w:val="on"/>
        </w:trPr>
        <w:tc>
          <w:tcPr>
            <w:tcW w:type="dxa" w:w="965"/>
          </w:tcPr>
          <w:p>
            <w:pPr>
              <w:pStyle w:val="Compact"/>
            </w:pPr>
            <w:r>
              <w:t xml:space="preserve">Region</w:t>
            </w:r>
          </w:p>
        </w:tc>
        <w:tc>
          <w:tcPr>
            <w:tcW w:type="dxa" w:w="675"/>
          </w:tcPr>
          <w:p>
            <w:pPr>
              <w:pStyle w:val="Compact"/>
              <w:jc w:val="right"/>
            </w:pPr>
            <w:r>
              <w:t xml:space="preserve">LST raw</w:t>
            </w:r>
          </w:p>
        </w:tc>
        <w:tc>
          <w:tcPr>
            <w:tcW w:type="dxa" w:w="1930"/>
          </w:tcPr>
          <w:p>
            <w:pPr>
              <w:pStyle w:val="Compact"/>
              <w:jc w:val="right"/>
            </w:pPr>
            <w:r>
              <w:t xml:space="preserve">LST within elevation</w:t>
            </w:r>
          </w:p>
        </w:tc>
        <w:tc>
          <w:tcPr>
            <w:tcW w:type="dxa" w:w="1447"/>
          </w:tcPr>
          <w:p>
            <w:pPr>
              <w:pStyle w:val="Compact"/>
              <w:jc w:val="right"/>
            </w:pPr>
            <w:r>
              <w:t xml:space="preserve">LST within NDVI</w:t>
            </w:r>
          </w:p>
        </w:tc>
        <w:tc>
          <w:tcPr>
            <w:tcW w:type="dxa" w:w="1833"/>
          </w:tcPr>
          <w:p>
            <w:pPr>
              <w:pStyle w:val="Compact"/>
              <w:jc w:val="right"/>
            </w:pPr>
            <w:r>
              <w:t xml:space="preserve">LST within distance</w:t>
            </w:r>
          </w:p>
        </w:tc>
        <w:tc>
          <w:tcPr>
            <w:tcW w:type="dxa" w:w="772"/>
          </w:tcPr>
          <w:p>
            <w:pPr>
              <w:pStyle w:val="Compact"/>
              <w:jc w:val="right"/>
            </w:pPr>
            <w:r>
              <w:t xml:space="preserve">NDVI raw</w:t>
            </w:r>
          </w:p>
        </w:tc>
        <w:tc>
          <w:tcPr>
            <w:tcW w:type="dxa" w:w="1447"/>
          </w:tcPr>
          <w:p>
            <w:pPr>
              <w:pStyle w:val="Compact"/>
              <w:jc w:val="right"/>
            </w:pPr>
            <w:r>
              <w:t xml:space="preserve">NDVI within LST</w:t>
            </w:r>
          </w:p>
        </w:tc>
      </w:tr>
      <w:tr>
        <w:tc>
          <w:tcPr>
            <w:tcW w:type="dxa" w:w="965"/>
          </w:tcPr>
          <w:p>
            <w:pPr>
              <w:pStyle w:val="Compact"/>
            </w:pPr>
            <w:r>
              <w:t xml:space="preserve">Manavgat</w:t>
            </w:r>
          </w:p>
        </w:tc>
        <w:tc>
          <w:tcPr>
            <w:tcW w:type="dxa" w:w="675"/>
          </w:tcPr>
          <w:p>
            <w:pPr>
              <w:pStyle w:val="Compact"/>
              <w:jc w:val="right"/>
            </w:pPr>
            <w:r>
              <w:t xml:space="preserve">0.386</w:t>
            </w:r>
          </w:p>
        </w:tc>
        <w:tc>
          <w:tcPr>
            <w:tcW w:type="dxa" w:w="1930"/>
          </w:tcPr>
          <w:p>
            <w:pPr>
              <w:pStyle w:val="Compact"/>
              <w:jc w:val="right"/>
            </w:pPr>
            <w:r>
              <w:t xml:space="preserve">0.402</w:t>
            </w:r>
          </w:p>
        </w:tc>
        <w:tc>
          <w:tcPr>
            <w:tcW w:type="dxa" w:w="1447"/>
          </w:tcPr>
          <w:p>
            <w:pPr>
              <w:pStyle w:val="Compact"/>
              <w:jc w:val="right"/>
            </w:pPr>
            <w:r>
              <w:t xml:space="preserve">0.440</w:t>
            </w:r>
          </w:p>
        </w:tc>
        <w:tc>
          <w:tcPr>
            <w:tcW w:type="dxa" w:w="1833"/>
          </w:tcPr>
          <w:p>
            <w:pPr>
              <w:pStyle w:val="Compact"/>
              <w:jc w:val="right"/>
            </w:pPr>
            <w:r>
              <w:rPr>
                <w:b/>
                <w:bCs/>
              </w:rPr>
              <w:t xml:space="preserve">0.505</w:t>
            </w:r>
          </w:p>
        </w:tc>
        <w:tc>
          <w:tcPr>
            <w:tcW w:type="dxa" w:w="772"/>
          </w:tcPr>
          <w:p>
            <w:pPr>
              <w:pStyle w:val="Compact"/>
              <w:jc w:val="right"/>
            </w:pPr>
            <w:r>
              <w:t xml:space="preserve">0.621</w:t>
            </w:r>
          </w:p>
        </w:tc>
        <w:tc>
          <w:tcPr>
            <w:tcW w:type="dxa" w:w="1447"/>
          </w:tcPr>
          <w:p>
            <w:pPr>
              <w:pStyle w:val="Compact"/>
              <w:jc w:val="right"/>
            </w:pPr>
            <w:r>
              <w:t xml:space="preserve">0.542</w:t>
            </w:r>
          </w:p>
        </w:tc>
      </w:tr>
      <w:tr>
        <w:tc>
          <w:tcPr>
            <w:tcW w:type="dxa" w:w="965"/>
          </w:tcPr>
          <w:p>
            <w:pPr>
              <w:pStyle w:val="Compact"/>
            </w:pPr>
            <w:r>
              <w:t xml:space="preserve">Bejís</w:t>
            </w:r>
          </w:p>
        </w:tc>
        <w:tc>
          <w:tcPr>
            <w:tcW w:type="dxa" w:w="675"/>
          </w:tcPr>
          <w:p>
            <w:pPr>
              <w:pStyle w:val="Compact"/>
              <w:jc w:val="right"/>
            </w:pPr>
            <w:r>
              <w:t xml:space="preserve">0.405</w:t>
            </w:r>
          </w:p>
        </w:tc>
        <w:tc>
          <w:tcPr>
            <w:tcW w:type="dxa" w:w="1930"/>
          </w:tcPr>
          <w:p>
            <w:pPr>
              <w:pStyle w:val="Compact"/>
              <w:jc w:val="right"/>
            </w:pPr>
            <w:r>
              <w:t xml:space="preserve">0.509</w:t>
            </w:r>
          </w:p>
        </w:tc>
        <w:tc>
          <w:tcPr>
            <w:tcW w:type="dxa" w:w="1447"/>
          </w:tcPr>
          <w:p>
            <w:pPr>
              <w:pStyle w:val="Compact"/>
              <w:jc w:val="right"/>
            </w:pPr>
            <w:r>
              <w:t xml:space="preserve">0.486</w:t>
            </w:r>
          </w:p>
        </w:tc>
        <w:tc>
          <w:tcPr>
            <w:tcW w:type="dxa" w:w="1833"/>
          </w:tcPr>
          <w:p>
            <w:pPr>
              <w:pStyle w:val="Compact"/>
              <w:jc w:val="right"/>
            </w:pPr>
            <w:r>
              <w:t xml:space="preserve">0.350</w:t>
            </w:r>
          </w:p>
        </w:tc>
        <w:tc>
          <w:tcPr>
            <w:tcW w:type="dxa" w:w="772"/>
          </w:tcPr>
          <w:p>
            <w:pPr>
              <w:pStyle w:val="Compact"/>
              <w:jc w:val="right"/>
            </w:pPr>
            <w:r>
              <w:t xml:space="preserve">0.618</w:t>
            </w:r>
          </w:p>
        </w:tc>
        <w:tc>
          <w:tcPr>
            <w:tcW w:type="dxa" w:w="1447"/>
          </w:tcPr>
          <w:p>
            <w:pPr>
              <w:pStyle w:val="Compact"/>
              <w:jc w:val="right"/>
            </w:pPr>
            <w:r>
              <w:t xml:space="preserve">0.574</w:t>
            </w:r>
          </w:p>
        </w:tc>
      </w:tr>
      <w:tr>
        <w:tc>
          <w:tcPr>
            <w:tcW w:type="dxa" w:w="965"/>
          </w:tcPr>
          <w:p>
            <w:pPr>
              <w:pStyle w:val="Compact"/>
            </w:pPr>
            <w:r>
              <w:t xml:space="preserve">Muğla</w:t>
            </w:r>
          </w:p>
        </w:tc>
        <w:tc>
          <w:tcPr>
            <w:tcW w:type="dxa" w:w="675"/>
          </w:tcPr>
          <w:p>
            <w:pPr>
              <w:pStyle w:val="Compact"/>
              <w:jc w:val="right"/>
            </w:pPr>
            <w:r>
              <w:t xml:space="preserve">0.332</w:t>
            </w:r>
          </w:p>
        </w:tc>
        <w:tc>
          <w:tcPr>
            <w:tcW w:type="dxa" w:w="1930"/>
          </w:tcPr>
          <w:p>
            <w:pPr>
              <w:pStyle w:val="Compact"/>
              <w:jc w:val="right"/>
            </w:pPr>
            <w:r>
              <w:t xml:space="preserve">0.363</w:t>
            </w:r>
          </w:p>
        </w:tc>
        <w:tc>
          <w:tcPr>
            <w:tcW w:type="dxa" w:w="1447"/>
          </w:tcPr>
          <w:p>
            <w:pPr>
              <w:pStyle w:val="Compact"/>
              <w:jc w:val="right"/>
            </w:pPr>
            <w:r>
              <w:t xml:space="preserve">0.404</w:t>
            </w:r>
          </w:p>
        </w:tc>
        <w:tc>
          <w:tcPr>
            <w:tcW w:type="dxa" w:w="1833"/>
          </w:tcPr>
          <w:p>
            <w:pPr>
              <w:pStyle w:val="Compact"/>
              <w:jc w:val="right"/>
            </w:pPr>
            <w:r>
              <w:t xml:space="preserve">0.367</w:t>
            </w:r>
          </w:p>
        </w:tc>
        <w:tc>
          <w:tcPr>
            <w:tcW w:type="dxa" w:w="772"/>
          </w:tcPr>
          <w:p>
            <w:pPr>
              <w:pStyle w:val="Compact"/>
              <w:jc w:val="right"/>
            </w:pPr>
            <w:r>
              <w:t xml:space="preserve">0.652</w:t>
            </w:r>
          </w:p>
        </w:tc>
        <w:tc>
          <w:tcPr>
            <w:tcW w:type="dxa" w:w="1447"/>
          </w:tcPr>
          <w:p>
            <w:pPr>
              <w:pStyle w:val="Compact"/>
              <w:jc w:val="right"/>
            </w:pPr>
            <w:r>
              <w:t xml:space="preserve">0.547</w:t>
            </w:r>
          </w:p>
        </w:tc>
      </w:tr>
      <w:tr>
        <w:tc>
          <w:tcPr>
            <w:tcW w:type="dxa" w:w="965"/>
          </w:tcPr>
          <w:p>
            <w:pPr>
              <w:pStyle w:val="Compact"/>
            </w:pPr>
            <w:r>
              <w:t xml:space="preserve">Evia</w:t>
            </w:r>
          </w:p>
        </w:tc>
        <w:tc>
          <w:tcPr>
            <w:tcW w:type="dxa" w:w="675"/>
          </w:tcPr>
          <w:p>
            <w:pPr>
              <w:pStyle w:val="Compact"/>
              <w:jc w:val="right"/>
            </w:pPr>
            <w:r>
              <w:t xml:space="preserve">0.286</w:t>
            </w:r>
          </w:p>
        </w:tc>
        <w:tc>
          <w:tcPr>
            <w:tcW w:type="dxa" w:w="1930"/>
          </w:tcPr>
          <w:p>
            <w:pPr>
              <w:pStyle w:val="Compact"/>
              <w:jc w:val="right"/>
            </w:pPr>
            <w:r>
              <w:t xml:space="preserve">0.327</w:t>
            </w:r>
          </w:p>
        </w:tc>
        <w:tc>
          <w:tcPr>
            <w:tcW w:type="dxa" w:w="1447"/>
          </w:tcPr>
          <w:p>
            <w:pPr>
              <w:pStyle w:val="Compact"/>
              <w:jc w:val="right"/>
            </w:pPr>
            <w:r>
              <w:t xml:space="preserve">0.279</w:t>
            </w:r>
          </w:p>
        </w:tc>
        <w:tc>
          <w:tcPr>
            <w:tcW w:type="dxa" w:w="1833"/>
          </w:tcPr>
          <w:p>
            <w:pPr>
              <w:pStyle w:val="Compact"/>
              <w:jc w:val="right"/>
            </w:pPr>
            <w:r>
              <w:t xml:space="preserve">0.319</w:t>
            </w:r>
          </w:p>
        </w:tc>
        <w:tc>
          <w:tcPr>
            <w:tcW w:type="dxa" w:w="772"/>
          </w:tcPr>
          <w:p>
            <w:pPr>
              <w:pStyle w:val="Compact"/>
              <w:jc w:val="right"/>
            </w:pPr>
            <w:r>
              <w:t xml:space="preserve">0.663</w:t>
            </w:r>
          </w:p>
        </w:tc>
        <w:tc>
          <w:tcPr>
            <w:tcW w:type="dxa" w:w="1447"/>
          </w:tcPr>
          <w:p>
            <w:pPr>
              <w:pStyle w:val="Compact"/>
              <w:jc w:val="right"/>
            </w:pPr>
            <w:r>
              <w:rPr>
                <w:b/>
                <w:bCs/>
              </w:rPr>
              <w:t xml:space="preserve">0.380</w:t>
            </w:r>
          </w:p>
        </w:tc>
      </w:tr>
      <w:tr>
        <w:tc>
          <w:tcPr>
            <w:tcW w:type="dxa" w:w="965"/>
          </w:tcPr>
          <w:p>
            <w:pPr>
              <w:pStyle w:val="Compact"/>
            </w:pPr>
            <w:r>
              <w:t xml:space="preserve">Montiferru</w:t>
            </w:r>
          </w:p>
        </w:tc>
        <w:tc>
          <w:tcPr>
            <w:tcW w:type="dxa" w:w="675"/>
          </w:tcPr>
          <w:p>
            <w:pPr>
              <w:pStyle w:val="Compact"/>
              <w:jc w:val="right"/>
            </w:pPr>
            <w:r>
              <w:t xml:space="preserve">0.376</w:t>
            </w:r>
          </w:p>
        </w:tc>
        <w:tc>
          <w:tcPr>
            <w:tcW w:type="dxa" w:w="1930"/>
          </w:tcPr>
          <w:p>
            <w:pPr>
              <w:pStyle w:val="Compact"/>
              <w:jc w:val="right"/>
            </w:pPr>
            <w:r>
              <w:t xml:space="preserve">0.392</w:t>
            </w:r>
          </w:p>
        </w:tc>
        <w:tc>
          <w:tcPr>
            <w:tcW w:type="dxa" w:w="1447"/>
          </w:tcPr>
          <w:p>
            <w:pPr>
              <w:pStyle w:val="Compact"/>
              <w:jc w:val="right"/>
            </w:pPr>
            <w:r>
              <w:t xml:space="preserve">0.368</w:t>
            </w:r>
          </w:p>
        </w:tc>
        <w:tc>
          <w:tcPr>
            <w:tcW w:type="dxa" w:w="1833"/>
          </w:tcPr>
          <w:p>
            <w:pPr>
              <w:pStyle w:val="Compact"/>
              <w:jc w:val="right"/>
            </w:pPr>
            <w:r>
              <w:rPr>
                <w:b/>
                <w:bCs/>
              </w:rPr>
              <w:t xml:space="preserve">0.485</w:t>
            </w:r>
          </w:p>
        </w:tc>
        <w:tc>
          <w:tcPr>
            <w:tcW w:type="dxa" w:w="772"/>
          </w:tcPr>
          <w:p>
            <w:pPr>
              <w:pStyle w:val="Compact"/>
              <w:jc w:val="right"/>
            </w:pPr>
            <w:r>
              <w:t xml:space="preserve">0.582</w:t>
            </w:r>
          </w:p>
        </w:tc>
        <w:tc>
          <w:tcPr>
            <w:tcW w:type="dxa" w:w="1447"/>
          </w:tcPr>
          <w:p>
            <w:pPr>
              <w:pStyle w:val="Compact"/>
              <w:jc w:val="right"/>
            </w:pPr>
            <w:r>
              <w:rPr>
                <w:b/>
                <w:bCs/>
              </w:rPr>
              <w:t xml:space="preserve">0.405</w:t>
            </w:r>
          </w:p>
        </w:tc>
      </w:tr>
    </w:tbl>
    <w:p>
      <w:pPr>
        <w:pStyle w:val="BodyText"/>
      </w:pPr>
      <w:r>
        <w:t xml:space="preserve">Three readings follow. The LST sign survives stratification within elevation in four of five regions</w:t>
      </w:r>
      <w:r>
        <w:t xml:space="preserve"> </w:t>
      </w:r>
      <w:r>
        <w:t xml:space="preserve">and within greenness in all five, despite r(LST, NDVI) reaching −0.92, so it is neither a lapse-rate</w:t>
      </w:r>
      <w:r>
        <w:t xml:space="preserve"> </w:t>
      </w:r>
      <w:r>
        <w:t xml:space="preserve">proxy nor an inverse-greenness proxy. Within distance to the nearest burned cell it crosses 0.5 in</w:t>
      </w:r>
      <w:r>
        <w:t xml:space="preserve"> </w:t>
      </w:r>
      <w:r>
        <w:t xml:space="preserve">Manavgat, at 0.505, and is attenuated to near-null in Montiferru, at 0.485 from an unstratified</w:t>
      </w:r>
      <w:r>
        <w:t xml:space="preserve"> </w:t>
      </w:r>
      <w:r>
        <w:t xml:space="preserve">0.376 — the two regions where the collar leaves the least residual gradient — so in those two the</w:t>
      </w:r>
      <w:r>
        <w:t xml:space="preserve"> </w:t>
      </w:r>
      <w:r>
        <w:t xml:space="preserve">agreed sign is largely a weaker version of the same spatial effect the collar was introduced to</w:t>
      </w:r>
      <w:r>
        <w:t xml:space="preserve"> </w:t>
      </w:r>
      <w:r>
        <w:t xml:space="preserve">remove, entirely so in Manavgat. And the reciprocal adjustment runs one way only: NDVI</w:t>
      </w:r>
      <w:r>
        <w:t xml:space="preserve"> </w:t>
      </w:r>
      <w:r>
        <w:t xml:space="preserve">reverses in two regions once temperature is held, while LST reverses in none once greenness is held.</w:t>
      </w:r>
    </w:p>
    <w:bookmarkEnd w:id="32"/>
    <w:bookmarkStart w:id="33" w:name="X6c949bad1ad745231c930c98eb348d985538fe7"/>
    <w:p>
      <w:pPr>
        <w:pStyle w:val="Heading2"/>
      </w:pPr>
      <w:r>
        <w:t xml:space="preserve">S1.12 The LST anomaly under the difference instrument</w:t>
      </w:r>
    </w:p>
    <w:p>
      <w:pPr>
        <w:pStyle w:val="FirstParagraph"/>
      </w:pPr>
      <w:r>
        <w:t xml:space="preserve">Section 4.4 reports that two elevation reversals, both involving Manavgat, meet this paper’s strict</w:t>
      </w:r>
      <w:r>
        <w:t xml:space="preserve"> </w:t>
      </w:r>
      <w:r>
        <w:t xml:space="preserve">criterion once evaluation frames are equalised, and that the LST anomaly differs between regions on</w:t>
      </w:r>
      <w:r>
        <w:t xml:space="preserve"> </w:t>
      </w:r>
      <w:r>
        <w:t xml:space="preserve">the weaker instrument Table S10’s note commits the paper to. These are the three pairs that have opposite-sided point</w:t>
      </w:r>
      <w:r>
        <w:t xml:space="preserve"> </w:t>
      </w:r>
      <w:r>
        <w:t xml:space="preserve">estimates and a difference interval excluding zero, all on</w:t>
      </w:r>
      <w:r>
        <w:t xml:space="preserve"> </w:t>
      </w:r>
      <w:r>
        <w:rPr>
          <w:rStyle w:val="VerbatimChar"/>
        </w:rPr>
        <w:t xml:space="preserve">lst_anomaly_mean</w:t>
      </w:r>
      <w:r>
        <w:t xml:space="preserve">. Signed AUC within the</w:t>
      </w:r>
      <w:r>
        <w:t xml:space="preserve"> </w:t>
      </w:r>
      <w:r>
        <w:t xml:space="preserve">10 km collar; the two regions are bootstrapped independently under the 10-cell spatial-block scheme</w:t>
      </w:r>
      <w:r>
        <w:t xml:space="preserve"> </w:t>
      </w:r>
      <w:r>
        <w:t xml:space="preserve">and differenced, 1000 replicates, seed 42. Source</w:t>
      </w:r>
      <w:r>
        <w:t xml:space="preserve"> </w:t>
      </w:r>
      <w:r>
        <w:rPr>
          <w:rStyle w:val="VerbatimChar"/>
        </w:rPr>
        <w:t xml:space="preserve">matched_frame_gap.csv</w:t>
      </w:r>
      <w:r>
        <w:t xml:space="preserve">, recomputable by</w:t>
      </w:r>
      <w:r>
        <w:t xml:space="preserve"> </w:t>
      </w:r>
      <w:r>
        <w:rPr>
          <w:rStyle w:val="VerbatimChar"/>
        </w:rPr>
        <w:t xml:space="preserve">paper/code/verify_matched_gap.py</w:t>
      </w:r>
      <w:r>
        <w:t xml:space="preserve">.</w:t>
      </w:r>
    </w:p>
    <w:p>
      <w:pPr>
        <w:pStyle w:val="BodyText"/>
      </w:pPr>
      <w:r>
        <w:rPr>
          <w:b/>
          <w:bCs/>
        </w:rPr>
        <w:t xml:space="preserve">Table S7. Between-region differences in the signed LST-anomaly association, 10 km collar.</w:t>
      </w:r>
      <w:r>
        <w:t xml:space="preserve"> </w:t>
      </w:r>
      <w:r>
        <w:t xml:space="preserve">Pairs with opposite-sided point estimates and a difference interval excluding zero. Corrected</w:t>
      </w:r>
      <w:r>
        <w:t xml:space="preserve"> </w:t>
      </w:r>
      <w:r>
        <w:t xml:space="preserve">Manavgat label; source</w:t>
      </w:r>
      <w:r>
        <w:t xml:space="preserve"> </w:t>
      </w:r>
      <w:r>
        <w:rPr>
          <w:rStyle w:val="VerbatimChar"/>
        </w:rPr>
        <w:t xml:space="preserve">paper/labelfix_rerun/inference/reversal_family_holm.csv</w:t>
      </w:r>
      <w:r>
        <w:t xml:space="preserve"> </w:t>
      </w:r>
      <w:r>
        <w:t xml:space="preserve">(collar frame). Checked row by row by</w:t>
      </w:r>
      <w:r>
        <w:t xml:space="preserve"> </w:t>
      </w:r>
      <w:r>
        <w:rPr>
          <w:rStyle w:val="VerbatimChar"/>
        </w:rPr>
        <w:t xml:space="preserve">paper/code/appendix_tables.py</w:t>
      </w:r>
      <w:r>
        <w:t xml:space="preserve">.</w:t>
      </w:r>
    </w:p>
    <w:tbl>
      <w:tblPr>
        <w:tblStyle w:val="Table"/>
        <w:tblW w:type="auto" w:w="0"/>
        <w:tblLook w:firstRow="1" w:lastRow="0" w:firstColumn="0" w:lastColumn="0" w:noHBand="0" w:noVBand="0" w:val="0020"/>
      </w:tblPr>
      <w:tblGrid>
        <w:gridCol w:w="3023"/>
        <w:gridCol w:w="840"/>
        <w:gridCol w:w="840"/>
        <w:gridCol w:w="1680"/>
        <w:gridCol w:w="2687"/>
      </w:tblGrid>
      <w:tr>
        <w:trPr>
          <w:tblHeader w:val="on"/>
        </w:trPr>
        <w:tc>
          <w:tcPr>
            <w:tcW w:type="dxa" w:w="3023"/>
          </w:tcPr>
          <w:p>
            <w:pPr>
              <w:pStyle w:val="Compact"/>
            </w:pPr>
            <w:r>
              <w:t xml:space="preserve">Pair</w:t>
            </w:r>
          </w:p>
        </w:tc>
        <w:tc>
          <w:tcPr>
            <w:tcW w:type="dxa" w:w="840"/>
          </w:tcPr>
          <w:p>
            <w:pPr>
              <w:pStyle w:val="Compact"/>
              <w:jc w:val="right"/>
            </w:pPr>
            <w:r>
              <w:t xml:space="preserve">AUC A</w:t>
            </w:r>
          </w:p>
        </w:tc>
        <w:tc>
          <w:tcPr>
            <w:tcW w:type="dxa" w:w="840"/>
          </w:tcPr>
          <w:p>
            <w:pPr>
              <w:pStyle w:val="Compact"/>
              <w:jc w:val="right"/>
            </w:pPr>
            <w:r>
              <w:t xml:space="preserve">AUC B</w:t>
            </w:r>
          </w:p>
        </w:tc>
        <w:tc>
          <w:tcPr>
            <w:tcW w:type="dxa" w:w="1680"/>
          </w:tcPr>
          <w:p>
            <w:pPr>
              <w:pStyle w:val="Compact"/>
              <w:jc w:val="right"/>
            </w:pPr>
            <w:r>
              <w:t xml:space="preserve">Difference</w:t>
            </w:r>
          </w:p>
        </w:tc>
        <w:tc>
          <w:tcPr>
            <w:tcW w:type="dxa" w:w="2687"/>
          </w:tcPr>
          <w:p>
            <w:pPr>
              <w:pStyle w:val="Compact"/>
            </w:pPr>
            <w:r>
              <w:t xml:space="preserve">95 % CI</w:t>
            </w:r>
          </w:p>
        </w:tc>
      </w:tr>
      <w:tr>
        <w:tc>
          <w:tcPr>
            <w:tcW w:type="dxa" w:w="3023"/>
          </w:tcPr>
          <w:p>
            <w:pPr>
              <w:pStyle w:val="Compact"/>
            </w:pPr>
            <w:r>
              <w:t xml:space="preserve">Bejís vs Evia</w:t>
            </w:r>
          </w:p>
        </w:tc>
        <w:tc>
          <w:tcPr>
            <w:tcW w:type="dxa" w:w="840"/>
          </w:tcPr>
          <w:p>
            <w:pPr>
              <w:pStyle w:val="Compact"/>
              <w:jc w:val="right"/>
            </w:pPr>
            <w:r>
              <w:t xml:space="preserve">0.392</w:t>
            </w:r>
          </w:p>
        </w:tc>
        <w:tc>
          <w:tcPr>
            <w:tcW w:type="dxa" w:w="840"/>
          </w:tcPr>
          <w:p>
            <w:pPr>
              <w:pStyle w:val="Compact"/>
              <w:jc w:val="right"/>
            </w:pPr>
            <w:r>
              <w:t xml:space="preserve">0.584</w:t>
            </w:r>
          </w:p>
        </w:tc>
        <w:tc>
          <w:tcPr>
            <w:tcW w:type="dxa" w:w="1680"/>
          </w:tcPr>
          <w:p>
            <w:pPr>
              <w:pStyle w:val="Compact"/>
              <w:jc w:val="right"/>
            </w:pPr>
            <w:r>
              <w:t xml:space="preserve">−0.191</w:t>
            </w:r>
          </w:p>
        </w:tc>
        <w:tc>
          <w:tcPr>
            <w:tcW w:type="dxa" w:w="2687"/>
          </w:tcPr>
          <w:p>
            <w:pPr>
              <w:pStyle w:val="Compact"/>
            </w:pPr>
            <w:r>
              <w:t xml:space="preserve">[−0.295, −0.083]</w:t>
            </w:r>
          </w:p>
        </w:tc>
      </w:tr>
      <w:tr>
        <w:tc>
          <w:tcPr>
            <w:tcW w:type="dxa" w:w="3023"/>
          </w:tcPr>
          <w:p>
            <w:pPr>
              <w:pStyle w:val="Compact"/>
            </w:pPr>
            <w:r>
              <w:t xml:space="preserve">Evia vs Montiferru</w:t>
            </w:r>
          </w:p>
        </w:tc>
        <w:tc>
          <w:tcPr>
            <w:tcW w:type="dxa" w:w="840"/>
          </w:tcPr>
          <w:p>
            <w:pPr>
              <w:pStyle w:val="Compact"/>
              <w:jc w:val="right"/>
            </w:pPr>
            <w:r>
              <w:t xml:space="preserve">0.584</w:t>
            </w:r>
          </w:p>
        </w:tc>
        <w:tc>
          <w:tcPr>
            <w:tcW w:type="dxa" w:w="840"/>
          </w:tcPr>
          <w:p>
            <w:pPr>
              <w:pStyle w:val="Compact"/>
              <w:jc w:val="right"/>
            </w:pPr>
            <w:r>
              <w:t xml:space="preserve">0.400</w:t>
            </w:r>
          </w:p>
        </w:tc>
        <w:tc>
          <w:tcPr>
            <w:tcW w:type="dxa" w:w="1680"/>
          </w:tcPr>
          <w:p>
            <w:pPr>
              <w:pStyle w:val="Compact"/>
              <w:jc w:val="right"/>
            </w:pPr>
            <w:r>
              <w:t xml:space="preserve">+0.184</w:t>
            </w:r>
          </w:p>
        </w:tc>
        <w:tc>
          <w:tcPr>
            <w:tcW w:type="dxa" w:w="2687"/>
          </w:tcPr>
          <w:p>
            <w:pPr>
              <w:pStyle w:val="Compact"/>
            </w:pPr>
            <w:r>
              <w:t xml:space="preserve">[+0.012, +0.321]</w:t>
            </w:r>
          </w:p>
        </w:tc>
      </w:tr>
      <w:tr>
        <w:tc>
          <w:tcPr>
            <w:tcW w:type="dxa" w:w="3023"/>
          </w:tcPr>
          <w:p>
            <w:pPr>
              <w:pStyle w:val="Compact"/>
            </w:pPr>
            <w:r>
              <w:t xml:space="preserve">Bejís vs Muğla</w:t>
            </w:r>
          </w:p>
        </w:tc>
        <w:tc>
          <w:tcPr>
            <w:tcW w:type="dxa" w:w="840"/>
          </w:tcPr>
          <w:p>
            <w:pPr>
              <w:pStyle w:val="Compact"/>
              <w:jc w:val="right"/>
            </w:pPr>
            <w:r>
              <w:t xml:space="preserve">0.392</w:t>
            </w:r>
          </w:p>
        </w:tc>
        <w:tc>
          <w:tcPr>
            <w:tcW w:type="dxa" w:w="840"/>
          </w:tcPr>
          <w:p>
            <w:pPr>
              <w:pStyle w:val="Compact"/>
              <w:jc w:val="right"/>
            </w:pPr>
            <w:r>
              <w:t xml:space="preserve">0.507</w:t>
            </w:r>
          </w:p>
        </w:tc>
        <w:tc>
          <w:tcPr>
            <w:tcW w:type="dxa" w:w="1680"/>
          </w:tcPr>
          <w:p>
            <w:pPr>
              <w:pStyle w:val="Compact"/>
              <w:jc w:val="right"/>
            </w:pPr>
            <w:r>
              <w:t xml:space="preserve">−0.115</w:t>
            </w:r>
          </w:p>
        </w:tc>
        <w:tc>
          <w:tcPr>
            <w:tcW w:type="dxa" w:w="2687"/>
          </w:tcPr>
          <w:p>
            <w:pPr>
              <w:pStyle w:val="Compact"/>
            </w:pPr>
            <w:r>
              <w:t xml:space="preserve">[−0.219, −0.002]</w:t>
            </w:r>
          </w:p>
        </w:tc>
      </w:tr>
    </w:tbl>
    <w:p>
      <w:pPr>
        <w:pStyle w:val="BodyText"/>
      </w:pPr>
      <w:r>
        <w:t xml:space="preserve">Twenty-seven of the ninety feature-by-pair differences clear zero, against about 4.5 expected at</w:t>
      </w:r>
      <w:r>
        <w:t xml:space="preserve"> </w:t>
      </w:r>
      <w:r>
        <w:t xml:space="preserve">nominal 5 % under the null, and no multiplicity correction is applied; four of the twenty-seven are</w:t>
      </w:r>
      <w:r>
        <w:t xml:space="preserve"> </w:t>
      </w:r>
      <w:r>
        <w:t xml:space="preserve">this feature, three of those have opposite-sided point estimates, and two of the three involve</w:t>
      </w:r>
      <w:r>
        <w:t xml:space="preserve"> </w:t>
      </w:r>
      <w:r>
        <w:t xml:space="preserve">Evia. Under the frozen label the counts were nine, four and three; Manavgat versus Evia</w:t>
      </w:r>
      <w:r>
        <w:t xml:space="preserve"> </w:t>
      </w:r>
      <w:r>
        <w:t xml:space="preserve">(0.487 against 0.584) no longer clears zero. The nine features are effectively two to three dimensions (Section 4.4), so the ninety comparisons are not independent either. This is reported as a weaker result</w:t>
      </w:r>
      <w:r>
        <w:t xml:space="preserve"> </w:t>
      </w:r>
      <w:r>
        <w:t xml:space="preserve">than a reversal, not as a restored one.</w:t>
      </w:r>
    </w:p>
    <w:bookmarkEnd w:id="33"/>
    <w:bookmarkStart w:id="34" w:name="s1.13-the-same-geography-event-pair"/>
    <w:p>
      <w:pPr>
        <w:pStyle w:val="Heading2"/>
      </w:pPr>
      <w:r>
        <w:t xml:space="preserve">S1.13 The same-geography event pair</w:t>
      </w:r>
    </w:p>
    <w:p>
      <w:pPr>
        <w:pStyle w:val="FirstParagraph"/>
      </w:pPr>
      <w:r>
        <w:t xml:space="preserve">Section S1.13 states the result and its withdrawal; the design, the two structural asymmetries that</w:t>
      </w:r>
      <w:r>
        <w:t xml:space="preserve"> </w:t>
      </w:r>
      <w:r>
        <w:t xml:space="preserve">have no analogue in the twenty-direction matrix, and the direction of the bias they impose are here.</w:t>
      </w:r>
    </w:p>
    <w:p>
      <w:pPr>
        <w:pStyle w:val="BodyText"/>
      </w:pPr>
      <w:r>
        <w:t xml:space="preserve">This arm was designed to hold place fixed and vary only the fire, which would have separated</w:t>
      </w:r>
      <w:r>
        <w:t xml:space="preserve"> </w:t>
      </w:r>
      <w:r>
        <w:t xml:space="preserve">regional concept shift from everything that differs between study areas. Muğla burned twice, in 2021</w:t>
      </w:r>
      <w:r>
        <w:t xml:space="preserve"> </w:t>
      </w:r>
      <w:r>
        <w:t xml:space="preserve">and again eleven months later, on the same grid and through the same processing chain, and the 2022</w:t>
      </w:r>
      <w:r>
        <w:t xml:space="preserve"> </w:t>
      </w:r>
      <w:r>
        <w:t xml:space="preserve">arm is the 2021 population with the 2021 scar removed: 41,730 rows / 2,911 burned for 2021 against</w:t>
      </w:r>
      <w:r>
        <w:t xml:space="preserve"> </w:t>
      </w:r>
      <w:r>
        <w:t xml:space="preserve">38,790 rows / 331 burned for 2022.</w:t>
      </w:r>
      <w:r>
        <w:t xml:space="preserve"> </w:t>
      </w:r>
      <w:r>
        <w:rPr>
          <w:b/>
          <w:bCs/>
        </w:rPr>
        <w:t xml:space="preserve">Positive-carrying 5 km blocks: 70 for the 2021 arm and 11 for</w:t>
      </w:r>
      <w:r>
        <w:rPr>
          <w:b/>
          <w:bCs/>
        </w:rPr>
        <w:t xml:space="preserve"> </w:t>
      </w:r>
      <w:r>
        <w:rPr>
          <w:b/>
          <w:bCs/>
        </w:rPr>
        <w:t xml:space="preserve">the 2022 arm</w:t>
      </w:r>
      <w:r>
        <w:t xml:space="preserve">, and eleven is below the sixteen this design sets as its own floor, so the 2022</w:t>
      </w:r>
      <w:r>
        <w:t xml:space="preserve"> </w:t>
      </w:r>
      <w:r>
        <w:t xml:space="preserve">intervals are read as indicative exactly as the 20-cell row of Table 1 is. Full per-feature values are in Table S12.</w:t>
      </w:r>
    </w:p>
    <w:p>
      <w:pPr>
        <w:pStyle w:val="BodyText"/>
      </w:pPr>
      <w:r>
        <w:rPr>
          <w:b/>
          <w:bCs/>
        </w:rPr>
        <w:t xml:space="preserve">On the frame as drawn, elevation reverses with bootstrap support.</w:t>
      </w:r>
      <w:r>
        <w:t xml:space="preserve"> </w:t>
      </w:r>
      <w:r>
        <w:t xml:space="preserve">In 2021 higher ground burned</w:t>
      </w:r>
      <w:r>
        <w:t xml:space="preserve"> </w:t>
      </w:r>
      <w:r>
        <w:t xml:space="preserve">preferentially, at 0.611 [0.532, 0.690]; in 2022 lower ground did, at 0.296 [0.230, 0.355]. The</w:t>
      </w:r>
      <w:r>
        <w:t xml:space="preserve"> </w:t>
      </w:r>
      <w:r>
        <w:t xml:space="preserve">intervals are disjoint and the difference is −0.317 [−0.414, −0.220]: the same predictor, region and</w:t>
      </w:r>
      <w:r>
        <w:t xml:space="preserve"> </w:t>
      </w:r>
      <w:r>
        <w:t xml:space="preserve">grid, and an association pointing the opposite way in two fires eleven months apart. The four</w:t>
      </w:r>
      <w:r>
        <w:t xml:space="preserve"> </w:t>
      </w:r>
      <w:r>
        <w:t xml:space="preserve">absolute thermal channels change side as well.</w:t>
      </w:r>
    </w:p>
    <w:p>
      <w:pPr>
        <w:pStyle w:val="BodyText"/>
      </w:pPr>
      <w:r>
        <w:rPr>
          <w:b/>
          <w:bCs/>
        </w:rPr>
        <w:t xml:space="preserve">Section 4.4 has already withdrawn it.</w:t>
      </w:r>
      <w:r>
        <w:t xml:space="preserve"> </w:t>
      </w:r>
      <w:r>
        <w:t xml:space="preserve">The 2022 arm is one compact scar inside the whole Muğla box, so</w:t>
      </w:r>
      <w:r>
        <w:t xml:space="preserve"> </w:t>
      </w:r>
      <w:r>
        <w:t xml:space="preserve">93.2 % of its cells lie beyond 10 km of any burned cell against 55.3 % for the 2021 arm — the most</w:t>
      </w:r>
      <w:r>
        <w:t xml:space="preserve"> </w:t>
      </w:r>
      <w:r>
        <w:t xml:space="preserve">extreme far field in the cohort. Under the same 10 km collar the 2021 figure barely moves, 0.611 to</w:t>
      </w:r>
      <w:r>
        <w:t xml:space="preserve"> </w:t>
      </w:r>
      <w:r>
        <w:t xml:space="preserve">0.606 and still supported, while the 2022 figure moves from 0.297 to 0.565, onto the same side of</w:t>
      </w:r>
      <w:r>
        <w:t xml:space="preserve"> </w:t>
      </w:r>
      <w:r>
        <w:t xml:space="preserve">0.5 as 2021 with an interval covering chance. The arm shows the same artefact as the cross-region</w:t>
      </w:r>
      <w:r>
        <w:t xml:space="preserve"> </w:t>
      </w:r>
      <w:r>
        <w:t xml:space="preserve">reversals rather than confirming them. That verdict covers</w:t>
      </w:r>
      <w:r>
        <w:t xml:space="preserve"> </w:t>
      </w:r>
      <w:r>
        <w:rPr>
          <w:b/>
          <w:bCs/>
        </w:rPr>
        <w:t xml:space="preserve">elevation</w:t>
      </w:r>
      <w:r>
        <w:t xml:space="preserve">, and slope, which behaves</w:t>
      </w:r>
      <w:r>
        <w:t xml:space="preserve"> </w:t>
      </w:r>
      <w:r>
        <w:t xml:space="preserve">the same way; the arm’s thermal channels carry no verdict at all, because the 2022 event’s own</w:t>
      </w:r>
      <w:r>
        <w:t xml:space="preserve"> </w:t>
      </w:r>
      <w:r>
        <w:t xml:space="preserve">predictors are not exported and the reconstruction used here is valid only for the year-invariant</w:t>
      </w:r>
      <w:r>
        <w:t xml:space="preserve"> </w:t>
      </w:r>
      <w:r>
        <w:t xml:space="preserve">ones (Section S1.15). We keep the section because the structural properties below</w:t>
      </w:r>
      <w:r>
        <w:t xml:space="preserve"> </w:t>
      </w:r>
      <w:r>
        <w:t xml:space="preserve">have no analogue elsewhere in the paper, and because this arm is what motivated the frame test.</w:t>
      </w:r>
    </w:p>
    <w:p>
      <w:pPr>
        <w:pStyle w:val="BodyText"/>
      </w:pPr>
      <w:r>
        <w:t xml:space="preserve">The two arms are not disjoint samples: they share 38,789 of the 2022 arm’s 38,790 cells, and</w:t>
      </w:r>
      <w:r>
        <w:t xml:space="preserve"> </w:t>
      </w:r>
      <w:r>
        <w:t xml:space="preserve">elevation, slope and land cover are identical to the digit across all 73,098 grid cells, so only</w:t>
      </w:r>
      <w:r>
        <w:t xml:space="preserve"> </w:t>
      </w:r>
      <w:r>
        <w:t xml:space="preserve">NDVI and the six thermal channels carry new information between them. And the removal is the</w:t>
      </w:r>
      <w:r>
        <w:t xml:space="preserve"> </w:t>
      </w:r>
      <w:r>
        <w:t xml:space="preserve">target’s own positive class, so in the 2022-to-2021 direction not one target positive is in the</w:t>
      </w:r>
      <w:r>
        <w:t xml:space="preserve"> </w:t>
      </w:r>
      <w:r>
        <w:t xml:space="preserve">source training population while 38,789 of 38,819 target negatives are, and membership of the source</w:t>
      </w:r>
      <w:r>
        <w:t xml:space="preserve"> </w:t>
      </w:r>
      <w:r>
        <w:t xml:space="preserve">training set alone separates the 2021 target’s classes at ROC-AUC 0.9996.</w:t>
      </w:r>
      <w:r>
        <w:t xml:space="preserve"> </w:t>
      </w:r>
      <w:r>
        <w:rPr>
          <w:b/>
          <w:bCs/>
        </w:rPr>
        <w:t xml:space="preserve">We therefore cannot</w:t>
      </w:r>
      <w:r>
        <w:rPr>
          <w:b/>
          <w:bCs/>
        </w:rPr>
        <w:t xml:space="preserve"> </w:t>
      </w:r>
      <w:r>
        <w:rPr>
          <w:b/>
          <w:bCs/>
        </w:rPr>
        <w:t xml:space="preserve">bound what that asymmetry does to a transfer estimate between the two arms.</w:t>
      </w:r>
      <w:r>
        <w:t xml:space="preserve"> </w:t>
      </w:r>
      <w:r>
        <w:t xml:space="preserve">The known part of the</w:t>
      </w:r>
      <w:r>
        <w:t xml:space="preserve"> </w:t>
      </w:r>
      <w:r>
        <w:t xml:space="preserve">bias runs the safe way: the removed cells are high, with a median of 563 m against the population’s</w:t>
      </w:r>
      <w:r>
        <w:t xml:space="preserve"> </w:t>
      </w:r>
      <w:r>
        <w:t xml:space="preserve">lower centre, so removing them strips high negatives from the 2022 arm and makes the observed</w:t>
      </w:r>
      <w:r>
        <w:t xml:space="preserve"> </w:t>
      </w:r>
      <w:r>
        <w:t xml:space="preserve">reversal smaller rather than larger.</w:t>
      </w:r>
    </w:p>
    <w:bookmarkEnd w:id="34"/>
    <w:bookmarkStart w:id="36" w:name="s1.14-the-two-interventions-in-full"/>
    <w:p>
      <w:pPr>
        <w:pStyle w:val="Heading2"/>
      </w:pPr>
      <w:r>
        <w:t xml:space="preserve">S1.14 The two interventions, in full</w:t>
      </w:r>
    </w:p>
    <w:p>
      <w:pPr>
        <w:pStyle w:val="FirstParagraph"/>
      </w:pPr>
      <w:r>
        <w:t xml:space="preserve">Section S1.14 states both results; the four feature-set configurations, the per-region deltas and the</w:t>
      </w:r>
      <w:r>
        <w:t xml:space="preserve"> </w:t>
      </w:r>
      <w:r>
        <w:t xml:space="preserve">pooled per-target shortfalls are here.</w:t>
      </w:r>
    </w:p>
    <w:p>
      <w:pPr>
        <w:pStyle w:val="BodyText"/>
      </w:pPr>
      <w:r>
        <w:rPr>
          <w:b/>
          <w:bCs/>
        </w:rPr>
        <w:t xml:space="preserve">(a) Pooled multi-region training</w:t>
      </w:r>
      <w:r>
        <w:t xml:space="preserve"> </w:t>
      </w:r>
      <w:r>
        <w:t xml:space="preserve">(Fig. 6). At the point estimate, training on the pooled primary</w:t>
      </w:r>
      <w:r>
        <w:t xml:space="preserve"> </w:t>
      </w:r>
      <w:r>
        <w:t xml:space="preserve">populations of the other four regions does not beat the best single-source transfer for four of</w:t>
      </w:r>
      <w:r>
        <w:t xml:space="preserve"> </w:t>
      </w:r>
      <w:r>
        <w:t xml:space="preserve">five targets, with shortfalls of 0.09 to 0.25. For Evia the pooled model exceeds the best single</w:t>
      </w:r>
      <w:r>
        <w:t xml:space="preserve"> </w:t>
      </w:r>
      <w:r>
        <w:t xml:space="preserve">source, at 0.715 [0.668, 0.757] against 0.654 (Manavgat); Section 5.3 records what that pairing</w:t>
      </w:r>
      <w:r>
        <w:t xml:space="preserve"> </w:t>
      </w:r>
      <w:r>
        <w:t xml:space="preserve">shares. In every target the pooled model stays 0.20 to 0.48 AUC below the within-region ceiling.</w:t>
      </w:r>
      <w:r>
        <w:t xml:space="preserve"> </w:t>
      </w:r>
      <w:r>
        <w:t xml:space="preserve">For two targets, Manavgat and Bejís, it falls below the pairwise mean and below chance, though only</w:t>
      </w:r>
      <w:r>
        <w:t xml:space="preserve"> </w:t>
      </w:r>
      <w:r>
        <w:t xml:space="preserve">Manavgat is below chance with interval support, at 0.426 [0.369, 0.486]. Outside Evia, aggregation</w:t>
      </w:r>
      <w:r>
        <w:t xml:space="preserve"> </w:t>
      </w:r>
      <w:r>
        <w:t xml:space="preserve">does not recover what single-source transfer loses. Values are on the corrected Manavgat label</w:t>
      </w:r>
      <w:r>
        <w:t xml:space="preserve"> </w:t>
      </w:r>
      <w:r>
        <w:t xml:space="preserve">(</w:t>
      </w:r>
      <w:r>
        <w:rPr>
          <w:rStyle w:val="VerbatimChar"/>
        </w:rPr>
        <w:t xml:space="preserve">paper/labelfix_rerun/round3/loro_pooled_transfer.json</w:t>
      </w:r>
      <w:r>
        <w:t xml:space="preserve">); under the frozen label the pooled model</w:t>
      </w:r>
      <w:r>
        <w:t xml:space="preserve"> </w:t>
      </w:r>
      <w:r>
        <w:t xml:space="preserve">beat no target.</w:t>
      </w:r>
    </w:p>
    <w:p>
      <w:pPr>
        <w:pStyle w:val="BodyText"/>
      </w:pPr>
      <w:r>
        <w:rPr>
          <w:b/>
          <w:bCs/>
        </w:rPr>
        <w:t xml:space="preserve">(b) Removing the direction-reversing features.</w:t>
      </w:r>
      <w:r>
        <w:t xml:space="preserve"> </w:t>
      </w:r>
      <w:r>
        <w:t xml:space="preserve">The two predictors whose signed association</w:t>
      </w:r>
      <w:r>
        <w:t xml:space="preserve"> </w:t>
      </w:r>
      <w:r>
        <w:t xml:space="preserve">reverses between regions</w:t>
      </w:r>
      <w:r>
        <w:t xml:space="preserve"> </w:t>
      </w:r>
      <w:r>
        <w:rPr>
          <w:b/>
          <w:bCs/>
        </w:rPr>
        <w:t xml:space="preserve">with bootstrap support on the frames as drawn</w:t>
      </w:r>
      <w:r>
        <w:t xml:space="preserve"> </w:t>
      </w:r>
      <w:r>
        <w:t xml:space="preserve">are</w:t>
      </w:r>
      <w:r>
        <w:t xml:space="preserve"> </w:t>
      </w:r>
      <w:r>
        <w:rPr>
          <w:rStyle w:val="VerbatimChar"/>
          <w:b/>
          <w:bCs/>
        </w:rPr>
        <w:t xml:space="preserve">elevation_mean</w:t>
      </w:r>
      <w:r>
        <w:rPr>
          <w:b/>
          <w:bCs/>
        </w:rPr>
        <w:t xml:space="preserve"> </w:t>
      </w:r>
      <w:r>
        <w:rPr>
          <w:b/>
          <w:bCs/>
        </w:rPr>
        <w:t xml:space="preserve">and</w:t>
      </w:r>
      <w:r>
        <w:rPr>
          <w:b/>
          <w:bCs/>
        </w:rPr>
        <w:t xml:space="preserve"> </w:t>
      </w:r>
      <w:r>
        <w:rPr>
          <w:rStyle w:val="VerbatimChar"/>
          <w:b/>
          <w:bCs/>
        </w:rPr>
        <w:t xml:space="preserve">lst_anomaly_mean</w:t>
      </w:r>
      <w:r>
        <w:t xml:space="preserve">. Section 4.4 withdraws that support under an equalised frame, so this selection</w:t>
      </w:r>
      <w:r>
        <w:t xml:space="preserve"> </w:t>
      </w:r>
      <w:r>
        <w:t xml:space="preserve">rule is frame-dependent and the arm below measures what the removal costs under the original</w:t>
      </w:r>
      <w:r>
        <w:t xml:space="preserve"> </w:t>
      </w:r>
      <w:r>
        <w:t xml:space="preserve">protocol, not a consequence of an established reversal.</w:t>
      </w:r>
      <w:r>
        <w:t xml:space="preserve"> </w:t>
      </w:r>
      <w:r>
        <w:t xml:space="preserve">The per-region signed associations and the three pair-level reversals that meet that criterion are in</w:t>
      </w:r>
      <w:r>
        <w:t xml:space="preserve"> </w:t>
      </w:r>
      <w:r>
        <w:t xml:space="preserve">Tables S9 and S10. Retraining without them</w:t>
      </w:r>
      <w:r>
        <w:t xml:space="preserve"> </w:t>
      </w:r>
      <w:r>
        <w:t xml:space="preserve">costs</w:t>
      </w:r>
      <w:r>
        <w:t xml:space="preserve"> </w:t>
      </w:r>
      <w:r>
        <w:rPr>
          <w:b/>
          <w:bCs/>
        </w:rPr>
        <w:t xml:space="preserve">−0.081</w:t>
      </w:r>
      <w:r>
        <w:t xml:space="preserve"> </w:t>
      </w:r>
      <w:r>
        <w:t xml:space="preserve">of mean within-region AUC, supported in every region (per-region deltas −0.060,</w:t>
      </w:r>
      <w:r>
        <w:t xml:space="preserve"> </w:t>
      </w:r>
      <w:r>
        <w:t xml:space="preserve">−0.130, −0.074, −0.063, −0.079, every interval entirely below zero), and changes mean transfer by</w:t>
      </w:r>
      <w:r>
        <w:t xml:space="preserve"> </w:t>
      </w:r>
      <w:r>
        <w:rPr>
          <w:b/>
          <w:bCs/>
        </w:rPr>
        <w:t xml:space="preserve">+0.014 [−0.017, +0.045]</w:t>
      </w:r>
      <w:r>
        <w:t xml:space="preserve">, which spans zero.</w:t>
      </w:r>
    </w:p>
    <w:p>
      <w:pPr>
        <w:pStyle w:val="BodyText"/>
      </w:pPr>
      <w:r>
        <w:t xml:space="preserve">Two qualifications belong with those numbers rather than after them. First, the debit is not the</w:t>
      </w:r>
      <w:r>
        <w:t xml:space="preserve"> </w:t>
      </w:r>
      <w:r>
        <w:t xml:space="preserve">thermal block’s. Dropping elevation alone accounts for −0.061 of it, from 0.888 to 0.827. Dropping</w:t>
      </w:r>
      <w:r>
        <w:t xml:space="preserve"> </w:t>
      </w:r>
      <w:r>
        <w:t xml:space="preserve">the LST anomaly alone accounts for −0.013, from 0.888 to 0.875. Roughly three quarters of the cost</w:t>
      </w:r>
      <w:r>
        <w:t xml:space="preserve"> </w:t>
      </w:r>
      <w:r>
        <w:t xml:space="preserve">is therefore the removal of a</w:t>
      </w:r>
      <w:r>
        <w:t xml:space="preserve"> </w:t>
      </w:r>
      <w:r>
        <w:rPr>
          <w:b/>
          <w:bCs/>
        </w:rPr>
        <w:t xml:space="preserve">baseline</w:t>
      </w:r>
      <w:r>
        <w:t xml:space="preserve"> </w:t>
      </w:r>
      <w:r>
        <w:t xml:space="preserve">terrain variable, not of a thermal channel. Second, both</w:t>
      </w:r>
      <w:r>
        <w:t xml:space="preserve"> </w:t>
      </w:r>
      <w:r>
        <w:t xml:space="preserve">figures are post-selection. The two predictors were chosen because they reverse, using the same data</w:t>
      </w:r>
      <w:r>
        <w:t xml:space="preserve"> </w:t>
      </w:r>
      <w:r>
        <w:t xml:space="preserve">on which the −0.081 and the +0.014 are then estimated. No correction for that selection is applied.</w:t>
      </w:r>
    </w:p>
    <w:tbl>
      <w:tblPr>
        <w:tblStyle w:val="Table"/>
        <w:tblW w:type="auto" w:w="0"/>
        <w:tblLook w:firstRow="1" w:lastRow="0" w:firstColumn="0" w:lastColumn="0" w:noHBand="0" w:noVBand="0" w:val="0020"/>
      </w:tblPr>
      <w:tblGrid>
        <w:gridCol w:w="3174"/>
        <w:gridCol w:w="3326"/>
        <w:gridCol w:w="2570"/>
      </w:tblGrid>
      <w:tr>
        <w:trPr>
          <w:tblHeader w:val="on"/>
        </w:trPr>
        <w:tc>
          <w:tcPr>
            <w:tcW w:type="dxa" w:w="3174"/>
          </w:tcPr>
          <w:p>
            <w:pPr>
              <w:pStyle w:val="Compact"/>
            </w:pPr>
            <w:r>
              <w:t xml:space="preserve">Configuration</w:t>
            </w:r>
          </w:p>
        </w:tc>
        <w:tc>
          <w:tcPr>
            <w:tcW w:type="dxa" w:w="3326"/>
          </w:tcPr>
          <w:p>
            <w:pPr>
              <w:pStyle w:val="Compact"/>
            </w:pPr>
            <w:r>
              <w:t xml:space="preserve">Mean within-region AUC</w:t>
            </w:r>
          </w:p>
        </w:tc>
        <w:tc>
          <w:tcPr>
            <w:tcW w:type="dxa" w:w="2570"/>
          </w:tcPr>
          <w:p>
            <w:pPr>
              <w:pStyle w:val="Compact"/>
            </w:pPr>
            <w:r>
              <w:t xml:space="preserve">Mean transfer AUC</w:t>
            </w:r>
          </w:p>
        </w:tc>
      </w:tr>
      <w:tr>
        <w:tc>
          <w:tcPr>
            <w:tcW w:type="dxa" w:w="3174"/>
          </w:tcPr>
          <w:p>
            <w:pPr>
              <w:pStyle w:val="Compact"/>
            </w:pPr>
            <w:r>
              <w:t xml:space="preserve">full</w:t>
            </w:r>
          </w:p>
        </w:tc>
        <w:tc>
          <w:tcPr>
            <w:tcW w:type="dxa" w:w="3326"/>
          </w:tcPr>
          <w:p>
            <w:pPr>
              <w:pStyle w:val="Compact"/>
            </w:pPr>
            <w:r>
              <w:t xml:space="preserve">0.888</w:t>
            </w:r>
          </w:p>
        </w:tc>
        <w:tc>
          <w:tcPr>
            <w:tcW w:type="dxa" w:w="2570"/>
          </w:tcPr>
          <w:p>
            <w:pPr>
              <w:pStyle w:val="Compact"/>
            </w:pPr>
            <w:r>
              <w:t xml:space="preserve">0.541</w:t>
            </w:r>
          </w:p>
        </w:tc>
      </w:tr>
      <w:tr>
        <w:tc>
          <w:tcPr>
            <w:tcW w:type="dxa" w:w="3174"/>
          </w:tcPr>
          <w:p>
            <w:pPr>
              <w:pStyle w:val="Compact"/>
            </w:pPr>
            <w:r>
              <w:t xml:space="preserve">drop</w:t>
            </w:r>
            <w:r>
              <w:t xml:space="preserve"> </w:t>
            </w:r>
            <w:r>
              <w:rPr>
                <w:rStyle w:val="VerbatimChar"/>
              </w:rPr>
              <w:t xml:space="preserve">elevation_mean</w:t>
            </w:r>
          </w:p>
        </w:tc>
        <w:tc>
          <w:tcPr>
            <w:tcW w:type="dxa" w:w="3326"/>
          </w:tcPr>
          <w:p>
            <w:pPr>
              <w:pStyle w:val="Compact"/>
            </w:pPr>
            <w:r>
              <w:t xml:space="preserve">0.827</w:t>
            </w:r>
          </w:p>
        </w:tc>
        <w:tc>
          <w:tcPr>
            <w:tcW w:type="dxa" w:w="2570"/>
          </w:tcPr>
          <w:p>
            <w:pPr>
              <w:pStyle w:val="Compact"/>
            </w:pPr>
            <w:r>
              <w:t xml:space="preserve">0.546</w:t>
            </w:r>
          </w:p>
        </w:tc>
      </w:tr>
      <w:tr>
        <w:tc>
          <w:tcPr>
            <w:tcW w:type="dxa" w:w="3174"/>
          </w:tcPr>
          <w:p>
            <w:pPr>
              <w:pStyle w:val="Compact"/>
            </w:pPr>
            <w:r>
              <w:t xml:space="preserve">drop</w:t>
            </w:r>
            <w:r>
              <w:t xml:space="preserve"> </w:t>
            </w:r>
            <w:r>
              <w:rPr>
                <w:rStyle w:val="VerbatimChar"/>
              </w:rPr>
              <w:t xml:space="preserve">lst_anomaly_mean</w:t>
            </w:r>
          </w:p>
        </w:tc>
        <w:tc>
          <w:tcPr>
            <w:tcW w:type="dxa" w:w="3326"/>
          </w:tcPr>
          <w:p>
            <w:pPr>
              <w:pStyle w:val="Compact"/>
            </w:pPr>
            <w:r>
              <w:t xml:space="preserve">0.875</w:t>
            </w:r>
          </w:p>
        </w:tc>
        <w:tc>
          <w:tcPr>
            <w:tcW w:type="dxa" w:w="2570"/>
          </w:tcPr>
          <w:p>
            <w:pPr>
              <w:pStyle w:val="Compact"/>
            </w:pPr>
            <w:r>
              <w:t xml:space="preserve">0.544</w:t>
            </w:r>
          </w:p>
        </w:tc>
      </w:tr>
      <w:tr>
        <w:tc>
          <w:tcPr>
            <w:tcW w:type="dxa" w:w="3174"/>
          </w:tcPr>
          <w:p>
            <w:pPr>
              <w:pStyle w:val="Compact"/>
            </w:pPr>
            <w:r>
              <w:t xml:space="preserve">drop both</w:t>
            </w:r>
          </w:p>
        </w:tc>
        <w:tc>
          <w:tcPr>
            <w:tcW w:type="dxa" w:w="3326"/>
          </w:tcPr>
          <w:p>
            <w:pPr>
              <w:pStyle w:val="Compact"/>
            </w:pPr>
            <w:r>
              <w:t xml:space="preserve">0.807</w:t>
            </w:r>
          </w:p>
        </w:tc>
        <w:tc>
          <w:tcPr>
            <w:tcW w:type="dxa" w:w="2570"/>
          </w:tcPr>
          <w:p>
            <w:pPr>
              <w:pStyle w:val="Compact"/>
            </w:pPr>
            <w:r>
              <w:t xml:space="preserve">0.556</w:t>
            </w:r>
          </w:p>
        </w:tc>
      </w:tr>
    </w:tbl>
    <w:p>
      <w:pPr>
        <w:pStyle w:val="BodyText"/>
      </w:pPr>
      <w:r>
        <w:t xml:space="preserve">Figure 7 shows the four configurations together. What this measures is a local cost with no</w:t>
      </w:r>
      <w:r>
        <w:t xml:space="preserve"> </w:t>
      </w:r>
      <w:r>
        <w:t xml:space="preserve">compensating transfer gain. It does not measure an</w:t>
      </w:r>
      <w:r>
        <w:t xml:space="preserve"> </w:t>
      </w:r>
      <w:r>
        <w:t xml:space="preserve">exchange, because the transfer side is a null on both arms. The thermal block’s own contribution to</w:t>
      </w:r>
      <w:r>
        <w:t xml:space="preserve"> </w:t>
      </w:r>
      <w:r>
        <w:t xml:space="preserve">transfer is +0.004, with an interval spanning zero (Section 4.5). Removing the reversing predictors</w:t>
      </w:r>
      <w:r>
        <w:t xml:space="preserve"> </w:t>
      </w:r>
      <w:r>
        <w:t xml:space="preserve">returns +0.014, with an interval spanning zero. Two nulls on the portability axis are not a price</w:t>
      </w:r>
      <w:r>
        <w:t xml:space="preserve"> </w:t>
      </w:r>
      <w:r>
        <w:t xml:space="preserve">paid.</w:t>
      </w:r>
    </w:p>
    <w:bookmarkStart w:id="35" w:name="X3b97e06b6f3d6e1045f28c9f955193f42ced98c"/>
    <w:p>
      <w:pPr>
        <w:pStyle w:val="Heading3"/>
      </w:pPr>
      <w:r>
        <w:t xml:space="preserve">S1.14.1 Pooling helps Evia: an observation</w:t>
      </w:r>
    </w:p>
    <w:p>
      <w:pPr>
        <w:pStyle w:val="FirstParagraph"/>
      </w:pPr>
      <w:r>
        <w:t xml:space="preserve">Manavgat’s corrected label appears to carry conditional</w:t>
      </w:r>
      <w:r>
        <w:t xml:space="preserve"> </w:t>
      </w:r>
      <w:r>
        <w:t xml:space="preserve">information for Evia, and it shows in two separate analyses: raw transfer from Manavgat to Evia</w:t>
      </w:r>
      <w:r>
        <w:t xml:space="preserve"> </w:t>
      </w:r>
      <w:r>
        <w:t xml:space="preserve">rises from 0.613 to 0.654, and the pooled model that includes Manavgat reaches 0.715. Both use</w:t>
      </w:r>
      <w:r>
        <w:t xml:space="preserve"> </w:t>
      </w:r>
      <w:r>
        <w:t xml:space="preserve">Manavgat as a source, so they are not independent confirmations. We record one observation about</w:t>
      </w:r>
      <w:r>
        <w:t xml:space="preserve"> </w:t>
      </w:r>
      <w:r>
        <w:t xml:space="preserve">the pairing, as an observation and not as a return to the regime hypothesis of Section 5.4. The</w:t>
      </w:r>
      <w:r>
        <w:t xml:space="preserve"> </w:t>
      </w:r>
      <w:r>
        <w:t xml:space="preserve">only target where pooling helps shares an event structure with one of its sources. Manavgat and</w:t>
      </w:r>
      <w:r>
        <w:t xml:space="preserve"> </w:t>
      </w:r>
      <w:r>
        <w:t xml:space="preserve">Evia are the two fires in the cohort that burned as a single large scar, of 2,934 and 2,653 cells,</w:t>
      </w:r>
      <w:r>
        <w:t xml:space="preserve"> </w:t>
      </w:r>
      <w:r>
        <w:t xml:space="preserve">in late July and early August 2021. Muğla burned in the same weeks but as ten separate scars, and</w:t>
      </w:r>
      <w:r>
        <w:t xml:space="preserve"> </w:t>
      </w:r>
      <w:r>
        <w:t xml:space="preserve">Bejís burned as a single scar of 1,100 cells in 2022.</w:t>
      </w:r>
    </w:p>
    <w:bookmarkEnd w:id="35"/>
    <w:bookmarkEnd w:id="36"/>
    <w:bookmarkStart w:id="37" w:name="X273a0f00fdf5b4132f7a9dfc0446bd7f7afef53"/>
    <w:p>
      <w:pPr>
        <w:pStyle w:val="Heading2"/>
      </w:pPr>
      <w:r>
        <w:t xml:space="preserve">S1.15 The thermal sign and the anomaly difference, in full</w:t>
      </w:r>
    </w:p>
    <w:p>
      <w:pPr>
        <w:pStyle w:val="FirstParagraph"/>
      </w:pPr>
      <w:r>
        <w:t xml:space="preserve">Section 4.4 states both results; the per-region values, the reciprocal stratification and the</w:t>
      </w:r>
      <w:r>
        <w:t xml:space="preserve"> </w:t>
      </w:r>
      <w:r>
        <w:t xml:space="preserve">difference-instrument argument are here.</w:t>
      </w:r>
    </w:p>
    <w:p>
      <w:pPr>
        <w:pStyle w:val="BodyText"/>
      </w:pPr>
      <w:r>
        <w:rPr>
          <w:b/>
          <w:bCs/>
        </w:rPr>
        <w:t xml:space="preserve">A weaker instrument does support the anomaly result.</w:t>
      </w:r>
      <w:r>
        <w:t xml:space="preserve"> </w:t>
      </w:r>
      <w:r>
        <w:t xml:space="preserve">Table S10’s note commits this paper to a</w:t>
      </w:r>
      <w:r>
        <w:t xml:space="preserve"> </w:t>
      </w:r>
      <w:r>
        <w:t xml:space="preserve">difference interval on the pair as the sharper test, and it is applied here. Bootstrapping the two regions independently under the collar and differencing,</w:t>
      </w:r>
      <w:r>
        <w:t xml:space="preserve"> </w:t>
      </w:r>
      <w:r>
        <w:t xml:space="preserve">three pairs have opposite-sided point estimates</w:t>
      </w:r>
      <w:r>
        <w:t xml:space="preserve"> </w:t>
      </w:r>
      <w:r>
        <w:rPr>
          <w:b/>
          <w:bCs/>
        </w:rPr>
        <w:t xml:space="preserve">and</w:t>
      </w:r>
      <w:r>
        <w:t xml:space="preserve"> </w:t>
      </w:r>
      <w:r>
        <w:t xml:space="preserve">a difference interval excluding zero, all on</w:t>
      </w:r>
      <w:r>
        <w:t xml:space="preserve"> </w:t>
      </w:r>
      <w:r>
        <w:rPr>
          <w:rStyle w:val="VerbatimChar"/>
        </w:rPr>
        <w:t xml:space="preserve">lst_anomaly_mean</w:t>
      </w:r>
      <w:r>
        <w:t xml:space="preserve"> </w:t>
      </w:r>
      <w:r>
        <w:t xml:space="preserve">and two of the three involving Evia, the largest being Bejís against Evia at</w:t>
      </w:r>
      <w:r>
        <w:t xml:space="preserve"> </w:t>
      </w:r>
      <w:r>
        <w:t xml:space="preserve">−0.191 [−0.295, −0.083] (Section S1.12, Table S7). The anomaly is the one channel the</w:t>
      </w:r>
      <w:r>
        <w:t xml:space="preserve"> </w:t>
      </w:r>
      <w:r>
        <w:t xml:space="preserve">frame-and-terrain mechanism of this section cannot explain, being decorrelated from elevation.</w:t>
      </w:r>
      <w:r>
        <w:t xml:space="preserve"> </w:t>
      </w:r>
      <w:r>
        <w:t xml:space="preserve">Three caveats keep it weak and all three are stated rather than buried: twenty-seven of ninety</w:t>
      </w:r>
      <w:r>
        <w:t xml:space="preserve"> </w:t>
      </w:r>
      <w:r>
        <w:t xml:space="preserve">feature-by-pair differences clear zero against about 4.5 expected under the null with no</w:t>
      </w:r>
      <w:r>
        <w:t xml:space="preserve"> </w:t>
      </w:r>
      <w:r>
        <w:t xml:space="preserve">multiplicity correction; the nine features are effectively two to three dimensions, as the</w:t>
      </w:r>
      <w:r>
        <w:t xml:space="preserve"> </w:t>
      </w:r>
      <w:r>
        <w:t xml:space="preserve">collinearity paragraph below shows; and Evia’s own interval-support status turns on 0.003.</w:t>
      </w:r>
      <w:r>
        <w:t xml:space="preserve"> </w:t>
      </w:r>
      <w:r>
        <w:rPr>
          <w:b/>
          <w:bCs/>
        </w:rPr>
        <w:t xml:space="preserve">The</w:t>
      </w:r>
      <w:r>
        <w:rPr>
          <w:b/>
          <w:bCs/>
        </w:rPr>
        <w:t xml:space="preserve"> </w:t>
      </w:r>
      <w:r>
        <w:rPr>
          <w:b/>
          <w:bCs/>
        </w:rPr>
        <w:t xml:space="preserve">honest statement is that two reversals meet this paper’s strict criterion under the collar, both on</w:t>
      </w:r>
      <w:r>
        <w:rPr>
          <w:b/>
          <w:bCs/>
        </w:rPr>
        <w:t xml:space="preserve"> </w:t>
      </w:r>
      <w:r>
        <w:rPr>
          <w:b/>
          <w:bCs/>
        </w:rPr>
        <w:t xml:space="preserve">elevation and both involving Manavgat, and that the LST anomaly differs between regions on the</w:t>
      </w:r>
      <w:r>
        <w:rPr>
          <w:b/>
          <w:bCs/>
        </w:rPr>
        <w:t xml:space="preserve"> </w:t>
      </w:r>
      <w:r>
        <w:rPr>
          <w:b/>
          <w:bCs/>
        </w:rPr>
        <w:t xml:space="preserve">weaker difference instrument.</w:t>
      </w:r>
      <w:r>
        <w:t xml:space="preserve"> </w:t>
      </w:r>
      <w:r>
        <w:t xml:space="preserve">On the full frame Table S10 counts fourteen supported pair-level</w:t>
      </w:r>
      <w:r>
        <w:t xml:space="preserve"> </w:t>
      </w:r>
      <w:r>
        <w:t xml:space="preserve">reversals across seven features, every one but the anomaly pair involving Manavgat. We apply the</w:t>
      </w:r>
      <w:r>
        <w:t xml:space="preserve"> </w:t>
      </w:r>
      <w:r>
        <w:t xml:space="preserve">same criterion to the collar arm as to Table S10, rather than a looser one. Elevation under the</w:t>
      </w:r>
      <w:r>
        <w:t xml:space="preserve"> </w:t>
      </w:r>
      <w:r>
        <w:t xml:space="preserve">collar is below 0.5 in Manavgat, at 0.376 [0.300, 0.465], and above it in the other four,</w:t>
      </w:r>
      <w:r>
        <w:t xml:space="preserve"> </w:t>
      </w:r>
      <w:r>
        <w:t xml:space="preserve">individually supported in two, Muğla at 0.606 [0.525, 0.685] and Evia at 0.648 [0.550, 0.740]</w:t>
      </w:r>
      <w:r>
        <w:t xml:space="preserve"> </w:t>
      </w:r>
      <w:r>
        <w:t xml:space="preserve">(</w:t>
      </w:r>
      <w:r>
        <w:rPr>
          <w:rStyle w:val="VerbatimChar"/>
        </w:rPr>
        <w:t xml:space="preserve">paper/labelfix_rerun/code/collar_frame_bootstrap.csv</w:t>
      </w:r>
      <w:r>
        <w:t xml:space="preserve">).</w:t>
      </w:r>
    </w:p>
    <w:p>
      <w:pPr>
        <w:pStyle w:val="BodyText"/>
      </w:pPr>
      <w:r>
        <w:rPr>
          <w:b/>
          <w:bCs/>
        </w:rPr>
        <w:t xml:space="preserve">The sign most regions share is not the one the dryness framing predicts.</w:t>
      </w:r>
      <w:r>
        <w:t xml:space="preserve"> </w:t>
      </w:r>
      <w:r>
        <w:t xml:space="preserve">Under the collar, LST</w:t>
      </w:r>
      <w:r>
        <w:t xml:space="preserve"> </w:t>
      </w:r>
      <w:r>
        <w:t xml:space="preserve">lies</w:t>
      </w:r>
      <w:r>
        <w:t xml:space="preserve"> </w:t>
      </w:r>
      <w:r>
        <w:rPr>
          <w:i/>
          <w:iCs/>
        </w:rPr>
        <w:t xml:space="preserve">below</w:t>
      </w:r>
      <w:r>
        <w:t xml:space="preserve"> </w:t>
      </w:r>
      <w:r>
        <w:t xml:space="preserve">0.5 in four of five regions, at 0.405, 0.332, 0.286 and 0.376 in Bejís, Muğla, Evia and</w:t>
      </w:r>
      <w:r>
        <w:t xml:space="preserve"> </w:t>
      </w:r>
      <w:r>
        <w:t xml:space="preserve">Montiferru: a hotter pre-fire surface is associated with</w:t>
      </w:r>
      <w:r>
        <w:t xml:space="preserve"> </w:t>
      </w:r>
      <w:r>
        <w:rPr>
          <w:b/>
          <w:bCs/>
        </w:rPr>
        <w:t xml:space="preserve">less</w:t>
      </w:r>
      <w:r>
        <w:t xml:space="preserve"> </w:t>
      </w:r>
      <w:r>
        <w:t xml:space="preserve">burning there, and the same holds</w:t>
      </w:r>
      <w:r>
        <w:t xml:space="preserve"> </w:t>
      </w:r>
      <w:r>
        <w:t xml:space="preserve">for TVDI. Manavgat is the exception, at 0.522 for LST and 0.527 for TVDI. It is not a</w:t>
      </w:r>
      <w:r>
        <w:t xml:space="preserve"> </w:t>
      </w:r>
      <w:r>
        <w:t xml:space="preserve">lapse-rate artefact and it is not greenness acting through fuel load. On mutual adjustment the</w:t>
      </w:r>
      <w:r>
        <w:t xml:space="preserve"> </w:t>
      </w:r>
      <w:r>
        <w:t xml:space="preserve">surviving channel is LST, not NDVI: holding NDVI, LST never reverses in any region, while holding</w:t>
      </w:r>
      <w:r>
        <w:t xml:space="preserve"> </w:t>
      </w:r>
      <w:r>
        <w:t xml:space="preserve">LST, NDVI’s own association reverses in Evia and Montiferru. Greenness is therefore not the mechanism. Two caveats bound what the sign is: in Manavgat and</w:t>
      </w:r>
      <w:r>
        <w:t xml:space="preserve"> </w:t>
      </w:r>
      <w:r>
        <w:t xml:space="preserve">Montiferru it is a residual spatial gradient that disappears when distance to the nearest burned cell</w:t>
      </w:r>
      <w:r>
        <w:t xml:space="preserve"> </w:t>
      </w:r>
      <w:r>
        <w:t xml:space="preserve">is stratified within the collar (0.454 and 0.485), and interval support is not uniform, LST being</w:t>
      </w:r>
      <w:r>
        <w:t xml:space="preserve"> </w:t>
      </w:r>
      <w:r>
        <w:t xml:space="preserve">supported in three of the four and TVDI in two, so</w:t>
      </w:r>
      <w:r>
        <w:t xml:space="preserve"> </w:t>
      </w:r>
      <w:r>
        <w:t xml:space="preserve">“four of five agree”</w:t>
      </w:r>
      <w:r>
        <w:t xml:space="preserve"> </w:t>
      </w:r>
      <w:r>
        <w:t xml:space="preserve">is a statement about point</w:t>
      </w:r>
      <w:r>
        <w:t xml:space="preserve"> </w:t>
      </w:r>
      <w:r>
        <w:t xml:space="preserve">estimates. What we can</w:t>
      </w:r>
      <w:r>
        <w:t xml:space="preserve"> </w:t>
      </w:r>
      <w:r>
        <w:t xml:space="preserve">defend is that the absolute thermal channels behave here as</w:t>
      </w:r>
      <w:r>
        <w:t xml:space="preserve"> </w:t>
      </w:r>
      <w:r>
        <w:rPr>
          <w:b/>
          <w:bCs/>
        </w:rPr>
        <w:t xml:space="preserve">static land-surface descriptors</w:t>
      </w:r>
      <w:r>
        <w:t xml:space="preserve"> </w:t>
      </w:r>
      <w:r>
        <w:t xml:space="preserve">rather than as a dryness index, and that the two internally differenced channels carry no consistent</w:t>
      </w:r>
      <w:r>
        <w:t xml:space="preserve"> </w:t>
      </w:r>
      <w:r>
        <w:t xml:space="preserve">cross-region direction at all. Compositing depth was not tested and remains an open alternative.</w:t>
      </w:r>
      <w:r>
        <w:t xml:space="preserve"> </w:t>
      </w:r>
      <w:r>
        <w:t xml:space="preserve">Per-region stratifications are in Section S1.11, and Section 5.2 states the consequence for the</w:t>
      </w:r>
      <w:r>
        <w:t xml:space="preserve"> </w:t>
      </w:r>
      <w:r>
        <w:t xml:space="preserve">moisture-stress motivation of Section 1.2.</w:t>
      </w:r>
    </w:p>
    <w:p>
      <w:pPr>
        <w:pStyle w:val="BodyText"/>
      </w:pPr>
      <w:r>
        <w:rPr>
          <w:b/>
          <w:bCs/>
        </w:rPr>
        <w:t xml:space="preserve">The same-geography arm of Section S1.13 is the most extreme case in the cohort, and it does not</w:t>
      </w:r>
      <w:r>
        <w:rPr>
          <w:b/>
          <w:bCs/>
        </w:rPr>
        <w:t xml:space="preserve"> </w:t>
      </w:r>
      <w:r>
        <w:rPr>
          <w:b/>
          <w:bCs/>
        </w:rPr>
        <w:t xml:space="preserve">survive either.</w:t>
      </w:r>
      <w:r>
        <w:t xml:space="preserve"> </w:t>
      </w:r>
      <w:r>
        <w:t xml:space="preserve">A fixed study area does not mean a fixed evaluation frame: its 2022 arm has</w:t>
      </w:r>
      <w:r>
        <w:t xml:space="preserve"> </w:t>
      </w:r>
      <w:r>
        <w:rPr>
          <w:b/>
          <w:bCs/>
        </w:rPr>
        <w:t xml:space="preserve">93.2 % of cells beyond 10 km of any burned cell, median 43.6 km</w:t>
      </w:r>
      <w:r>
        <w:t xml:space="preserve">, a larger far field than any</w:t>
      </w:r>
      <w:r>
        <w:t xml:space="preserve"> </w:t>
      </w:r>
      <w:r>
        <w:t xml:space="preserve">cross-region arm. Applying the same</w:t>
      </w:r>
      <w:r>
        <w:t xml:space="preserve"> </w:t>
      </w:r>
      <w:r>
        <w:t xml:space="preserve">collar (</w:t>
      </w:r>
      <w:r>
        <w:rPr>
          <w:rStyle w:val="VerbatimChar"/>
        </w:rPr>
        <w:t xml:space="preserve">mugla_two_event_collar.csv</w:t>
      </w:r>
      <w:r>
        <w:t xml:space="preserve">; the full-frame values reproduce Table S12 on the</w:t>
      </w:r>
      <w:r>
        <w:t xml:space="preserve"> </w:t>
      </w:r>
      <w:r>
        <w:t xml:space="preserve">year-invariant channels only, for the reason given below):</w:t>
      </w:r>
    </w:p>
    <w:p>
      <w:pPr>
        <w:pStyle w:val="BodyText"/>
      </w:pPr>
      <w:r>
        <w:rPr>
          <w:b/>
          <w:bCs/>
        </w:rPr>
        <w:t xml:space="preserve">What this arm can and cannot evaluate.</w:t>
      </w:r>
      <w:r>
        <w:t xml:space="preserve"> </w:t>
      </w:r>
      <w:r>
        <w:t xml:space="preserve">The 2022 event’s own step8a export is not in this tree.</w:t>
      </w:r>
      <w:r>
        <w:t xml:space="preserve"> </w:t>
      </w:r>
      <w:r>
        <w:t xml:space="preserve">The released script (</w:t>
      </w:r>
      <w:r>
        <w:rPr>
          <w:rStyle w:val="VerbatimChar"/>
        </w:rPr>
        <w:t xml:space="preserve">code/verify_mugla_collar.py</w:t>
      </w:r>
      <w:r>
        <w:t xml:space="preserve">) reconstructs the arm by taking the</w:t>
      </w:r>
      <w:r>
        <w:t xml:space="preserve"> </w:t>
      </w:r>
      <w:r>
        <w:rPr>
          <w:b/>
          <w:bCs/>
        </w:rPr>
        <w:t xml:space="preserve">2021</w:t>
      </w:r>
      <w:r>
        <w:t xml:space="preserve"> </w:t>
      </w:r>
      <w:r>
        <w:t xml:space="preserve">predictor file and substituting the 2022 burned mask, justified on the ground that elevation, slope</w:t>
      </w:r>
      <w:r>
        <w:t xml:space="preserve"> </w:t>
      </w:r>
      <w:r>
        <w:t xml:space="preserve">and land cover are identical between the arms. That justification holds for those channels and</w:t>
      </w:r>
      <w:r>
        <w:t xml:space="preserve"> </w:t>
      </w:r>
      <w:r>
        <w:rPr>
          <w:b/>
          <w:bCs/>
        </w:rPr>
        <w:t xml:space="preserve">not</w:t>
      </w:r>
      <w:r>
        <w:rPr>
          <w:b/>
          <w:bCs/>
        </w:rPr>
        <w:t xml:space="preserve"> </w:t>
      </w:r>
      <w:r>
        <w:rPr>
          <w:b/>
          <w:bCs/>
        </w:rPr>
        <w:t xml:space="preserve">for the state-dependent ones</w:t>
      </w:r>
      <w:r>
        <w:t xml:space="preserve">, which the script nonetheless computes. Checked against the frozen</w:t>
      </w:r>
      <w:r>
        <w:t xml:space="preserve"> </w:t>
      </w:r>
      <w:r>
        <w:t xml:space="preserve">step9g export, which uses the 2022 arm’s own predictors, the reconstruction agrees on the</w:t>
      </w:r>
      <w:r>
        <w:t xml:space="preserve"> </w:t>
      </w:r>
      <w:r>
        <w:t xml:space="preserve">year-invariant channels — elevation 0.297 against 0.296, slope 0.559 against 0.558 — and diverges on</w:t>
      </w:r>
      <w:r>
        <w:t xml:space="preserve"> </w:t>
      </w:r>
      <w:r>
        <w:t xml:space="preserve">every seasonal one, by +0.136 on</w:t>
      </w:r>
      <w:r>
        <w:t xml:space="preserve"> </w:t>
      </w:r>
      <w:r>
        <w:rPr>
          <w:rStyle w:val="VerbatimChar"/>
        </w:rPr>
        <w:t xml:space="preserve">lst_anomaly_mean</w:t>
      </w:r>
      <w:r>
        <w:t xml:space="preserve">, +0.092 on</w:t>
      </w:r>
      <w:r>
        <w:t xml:space="preserve"> </w:t>
      </w:r>
      <w:r>
        <w:rPr>
          <w:rStyle w:val="VerbatimChar"/>
        </w:rPr>
        <w:t xml:space="preserve">tvdi_difference_mean</w:t>
      </w:r>
      <w:r>
        <w:t xml:space="preserve">, −0.078 on</w:t>
      </w:r>
      <w:r>
        <w:t xml:space="preserve"> </w:t>
      </w:r>
      <w:r>
        <w:rPr>
          <w:rStyle w:val="VerbatimChar"/>
        </w:rPr>
        <w:t xml:space="preserve">ndvi_mean</w:t>
      </w:r>
      <w:r>
        <w:t xml:space="preserve"> </w:t>
      </w:r>
      <w:r>
        <w:t xml:space="preserve">and −0.025 on</w:t>
      </w:r>
      <w:r>
        <w:t xml:space="preserve"> </w:t>
      </w:r>
      <w:r>
        <w:rPr>
          <w:rStyle w:val="VerbatimChar"/>
        </w:rPr>
        <w:t xml:space="preserve">current_tvdi_mean</w:t>
      </w:r>
      <w:r>
        <w:t xml:space="preserve">.</w:t>
      </w:r>
      <w:r>
        <w:t xml:space="preserve"> </w:t>
      </w:r>
      <w:r>
        <w:rPr>
          <w:b/>
          <w:bCs/>
        </w:rPr>
        <w:t xml:space="preserve">So only elevation and slope can be given a collar</w:t>
      </w:r>
      <w:r>
        <w:rPr>
          <w:b/>
          <w:bCs/>
        </w:rPr>
        <w:t xml:space="preserve"> </w:t>
      </w:r>
      <w:r>
        <w:rPr>
          <w:b/>
          <w:bCs/>
        </w:rPr>
        <w:t xml:space="preserve">verdict for this arm</w:t>
      </w:r>
      <w:r>
        <w:t xml:space="preserve">, and the thermal channels cannot until the 2022 arm’s own predictors are</w:t>
      </w:r>
      <w:r>
        <w:t xml:space="preserve"> </w:t>
      </w:r>
      <w:r>
        <w:t xml:space="preserve">exported.</w:t>
      </w:r>
    </w:p>
    <w:tbl>
      <w:tblPr>
        <w:tblStyle w:val="Table"/>
        <w:tblW w:type="auto" w:w="0"/>
        <w:tblLook w:firstRow="1" w:lastRow="0" w:firstColumn="0" w:lastColumn="0" w:noHBand="0" w:noVBand="0" w:val="0020"/>
      </w:tblPr>
      <w:tblGrid>
        <w:gridCol w:w="2009"/>
        <w:gridCol w:w="1217"/>
        <w:gridCol w:w="1217"/>
        <w:gridCol w:w="1096"/>
        <w:gridCol w:w="1217"/>
        <w:gridCol w:w="1217"/>
        <w:gridCol w:w="1096"/>
      </w:tblGrid>
      <w:tr>
        <w:trPr>
          <w:tblHeader w:val="on"/>
        </w:trPr>
        <w:tc>
          <w:tcPr>
            <w:tcW w:type="dxa" w:w="2009"/>
          </w:tcPr>
          <w:p>
            <w:pPr>
              <w:pStyle w:val="Compact"/>
            </w:pPr>
            <w:r>
              <w:t xml:space="preserve">Feature</w:t>
            </w:r>
          </w:p>
        </w:tc>
        <w:tc>
          <w:tcPr>
            <w:tcW w:type="dxa" w:w="1217"/>
          </w:tcPr>
          <w:p>
            <w:pPr>
              <w:pStyle w:val="Compact"/>
            </w:pPr>
            <w:r>
              <w:t xml:space="preserve">2021, full</w:t>
            </w:r>
          </w:p>
        </w:tc>
        <w:tc>
          <w:tcPr>
            <w:tcW w:type="dxa" w:w="1217"/>
          </w:tcPr>
          <w:p>
            <w:pPr>
              <w:pStyle w:val="Compact"/>
            </w:pPr>
            <w:r>
              <w:t xml:space="preserve">2022, full</w:t>
            </w:r>
          </w:p>
        </w:tc>
        <w:tc>
          <w:tcPr>
            <w:tcW w:type="dxa" w:w="1096"/>
          </w:tcPr>
          <w:p>
            <w:pPr>
              <w:pStyle w:val="Compact"/>
            </w:pPr>
            <w:r>
              <w:t xml:space="preserve">full verdict</w:t>
            </w:r>
          </w:p>
        </w:tc>
        <w:tc>
          <w:tcPr>
            <w:tcW w:type="dxa" w:w="1217"/>
          </w:tcPr>
          <w:p>
            <w:pPr>
              <w:pStyle w:val="Compact"/>
            </w:pPr>
            <w:r>
              <w:t xml:space="preserve">2021, collar</w:t>
            </w:r>
          </w:p>
        </w:tc>
        <w:tc>
          <w:tcPr>
            <w:tcW w:type="dxa" w:w="1217"/>
          </w:tcPr>
          <w:p>
            <w:pPr>
              <w:pStyle w:val="Compact"/>
            </w:pPr>
            <w:r>
              <w:t xml:space="preserve">2022, collar</w:t>
            </w:r>
          </w:p>
        </w:tc>
        <w:tc>
          <w:tcPr>
            <w:tcW w:type="dxa" w:w="1096"/>
          </w:tcPr>
          <w:p>
            <w:pPr>
              <w:pStyle w:val="Compact"/>
            </w:pPr>
            <w:r>
              <w:t xml:space="preserve">collar verdict</w:t>
            </w:r>
          </w:p>
        </w:tc>
      </w:tr>
      <w:tr>
        <w:tc>
          <w:tcPr>
            <w:tcW w:type="dxa" w:w="2009"/>
          </w:tcPr>
          <w:p>
            <w:pPr>
              <w:pStyle w:val="Compact"/>
            </w:pPr>
            <w:r>
              <w:rPr>
                <w:b/>
                <w:bCs/>
              </w:rPr>
              <w:t xml:space="preserve">elevation_mean</w:t>
            </w:r>
          </w:p>
        </w:tc>
        <w:tc>
          <w:tcPr>
            <w:tcW w:type="dxa" w:w="1217"/>
          </w:tcPr>
          <w:p>
            <w:pPr>
              <w:pStyle w:val="Compact"/>
            </w:pPr>
            <w:r>
              <w:t xml:space="preserve">0.611 [0.529, 0.692]</w:t>
            </w:r>
          </w:p>
        </w:tc>
        <w:tc>
          <w:tcPr>
            <w:tcW w:type="dxa" w:w="1217"/>
          </w:tcPr>
          <w:p>
            <w:pPr>
              <w:pStyle w:val="Compact"/>
            </w:pPr>
            <w:r>
              <w:t xml:space="preserve">0.297 [0.229, 0.363]</w:t>
            </w:r>
          </w:p>
        </w:tc>
        <w:tc>
          <w:tcPr>
            <w:tcW w:type="dxa" w:w="1096"/>
          </w:tcPr>
          <w:p>
            <w:pPr>
              <w:pStyle w:val="Compact"/>
            </w:pPr>
            <w:r>
              <w:rPr>
                <w:b/>
                <w:bCs/>
              </w:rPr>
              <w:t xml:space="preserve">supported reversal</w:t>
            </w:r>
          </w:p>
        </w:tc>
        <w:tc>
          <w:tcPr>
            <w:tcW w:type="dxa" w:w="1217"/>
          </w:tcPr>
          <w:p>
            <w:pPr>
              <w:pStyle w:val="Compact"/>
            </w:pPr>
            <w:r>
              <w:t xml:space="preserve">0.606 [0.525, 0.685]</w:t>
            </w:r>
          </w:p>
        </w:tc>
        <w:tc>
          <w:tcPr>
            <w:tcW w:type="dxa" w:w="1217"/>
          </w:tcPr>
          <w:p>
            <w:pPr>
              <w:pStyle w:val="Compact"/>
            </w:pPr>
            <w:r>
              <w:t xml:space="preserve">0.565 [0.450, 0.677]</w:t>
            </w:r>
          </w:p>
        </w:tc>
        <w:tc>
          <w:tcPr>
            <w:tcW w:type="dxa" w:w="1096"/>
          </w:tcPr>
          <w:p>
            <w:pPr>
              <w:pStyle w:val="Compact"/>
            </w:pPr>
            <w:r>
              <w:t xml:space="preserve">none</w:t>
            </w:r>
          </w:p>
        </w:tc>
      </w:tr>
      <w:tr>
        <w:tc>
          <w:tcPr>
            <w:tcW w:type="dxa" w:w="2009"/>
          </w:tcPr>
          <w:p>
            <w:pPr>
              <w:pStyle w:val="Compact"/>
            </w:pPr>
            <w:r>
              <w:t xml:space="preserve">slope_mean</w:t>
            </w:r>
          </w:p>
        </w:tc>
        <w:tc>
          <w:tcPr>
            <w:tcW w:type="dxa" w:w="1217"/>
          </w:tcPr>
          <w:p>
            <w:pPr>
              <w:pStyle w:val="Compact"/>
            </w:pPr>
            <w:r>
              <w:t xml:space="preserve">0.637 [0.584, 0.689]</w:t>
            </w:r>
          </w:p>
        </w:tc>
        <w:tc>
          <w:tcPr>
            <w:tcW w:type="dxa" w:w="1217"/>
          </w:tcPr>
          <w:p>
            <w:pPr>
              <w:pStyle w:val="Compact"/>
            </w:pPr>
            <w:r>
              <w:t xml:space="preserve">0.559 [0.463, 0.643]</w:t>
            </w:r>
          </w:p>
        </w:tc>
        <w:tc>
          <w:tcPr>
            <w:tcW w:type="dxa" w:w="1096"/>
          </w:tcPr>
          <w:p>
            <w:pPr>
              <w:pStyle w:val="Compact"/>
            </w:pPr>
            <w:r>
              <w:t xml:space="preserve">none</w:t>
            </w:r>
          </w:p>
        </w:tc>
        <w:tc>
          <w:tcPr>
            <w:tcW w:type="dxa" w:w="1217"/>
          </w:tcPr>
          <w:p>
            <w:pPr>
              <w:pStyle w:val="Compact"/>
            </w:pPr>
            <w:r>
              <w:t xml:space="preserve">0.635 [0.578, 0.692]</w:t>
            </w:r>
          </w:p>
        </w:tc>
        <w:tc>
          <w:tcPr>
            <w:tcW w:type="dxa" w:w="1217"/>
          </w:tcPr>
          <w:p>
            <w:pPr>
              <w:pStyle w:val="Compact"/>
            </w:pPr>
            <w:r>
              <w:t xml:space="preserve">0.457 [0.356, 0.548]</w:t>
            </w:r>
          </w:p>
        </w:tc>
        <w:tc>
          <w:tcPr>
            <w:tcW w:type="dxa" w:w="1096"/>
          </w:tcPr>
          <w:p>
            <w:pPr>
              <w:pStyle w:val="Compact"/>
            </w:pPr>
            <w:r>
              <w:t xml:space="preserve">none</w:t>
            </w:r>
          </w:p>
        </w:tc>
      </w:tr>
      <w:tr>
        <w:tc>
          <w:tcPr>
            <w:tcW w:type="dxa" w:w="2009"/>
          </w:tcPr>
          <w:p>
            <w:pPr>
              <w:pStyle w:val="Compact"/>
            </w:pPr>
            <w:r>
              <w:t xml:space="preserve">the five state-dependent channels</w:t>
            </w:r>
          </w:p>
        </w:tc>
        <w:tc>
          <w:tcPr>
            <w:tcW w:type="dxa" w:w="1217"/>
          </w:tcPr>
          <w:p>
            <w:pPr>
              <w:pStyle w:val="Compact"/>
            </w:pPr>
            <w:r>
              <w:t xml:space="preserve">—</w:t>
            </w:r>
          </w:p>
        </w:tc>
        <w:tc>
          <w:tcPr>
            <w:tcW w:type="dxa" w:w="1217"/>
          </w:tcPr>
          <w:p>
            <w:pPr>
              <w:pStyle w:val="Compact"/>
            </w:pPr>
            <w:r>
              <w:t xml:space="preserve">—</w:t>
            </w:r>
          </w:p>
        </w:tc>
        <w:tc>
          <w:tcPr>
            <w:tcW w:type="dxa" w:w="1096"/>
          </w:tcPr>
          <w:p>
            <w:pPr>
              <w:pStyle w:val="Compact"/>
            </w:pPr>
            <w:r>
              <w:t xml:space="preserve">—</w:t>
            </w:r>
          </w:p>
        </w:tc>
        <w:tc>
          <w:tcPr>
            <w:tcW w:type="dxa" w:w="1217"/>
          </w:tcPr>
          <w:p>
            <w:pPr>
              <w:pStyle w:val="Compact"/>
            </w:pPr>
            <w:r>
              <w:t xml:space="preserve">—</w:t>
            </w:r>
          </w:p>
        </w:tc>
        <w:tc>
          <w:tcPr>
            <w:tcW w:type="dxa" w:w="1217"/>
          </w:tcPr>
          <w:p>
            <w:pPr>
              <w:pStyle w:val="Compact"/>
            </w:pPr>
            <w:r>
              <w:t xml:space="preserve">—</w:t>
            </w:r>
          </w:p>
        </w:tc>
        <w:tc>
          <w:tcPr>
            <w:tcW w:type="dxa" w:w="1096"/>
          </w:tcPr>
          <w:p>
            <w:pPr>
              <w:pStyle w:val="Compact"/>
            </w:pPr>
            <w:r>
              <w:rPr>
                <w:b/>
                <w:bCs/>
              </w:rPr>
              <w:t xml:space="preserve">not evaluable here</w:t>
            </w:r>
          </w:p>
        </w:tc>
      </w:tr>
    </w:tbl>
    <w:p>
      <w:pPr>
        <w:pStyle w:val="BodyText"/>
      </w:pPr>
      <w:r>
        <w:rPr>
          <w:b/>
          <w:bCs/>
        </w:rPr>
        <w:t xml:space="preserve">On the two channels this arm can evaluate, the collar removes the reversal.</w:t>
      </w:r>
      <w:r>
        <w:t xml:space="preserve"> </w:t>
      </w:r>
      <w:r>
        <w:t xml:space="preserve">Elevation’s 2022 arm</w:t>
      </w:r>
      <w:r>
        <w:t xml:space="preserve"> </w:t>
      </w:r>
      <w:r>
        <w:t xml:space="preserve">crosses to the same side of 0.5 with an interval covering chance, while the 2021 arm is nearly</w:t>
      </w:r>
      <w:r>
        <w:t xml:space="preserve"> </w:t>
      </w:r>
      <w:r>
        <w:t xml:space="preserve">frame-invariant, which isolates the effect to the 2022 arm’s far field rather than to the collar.</w:t>
      </w:r>
      <w:r>
        <w:t xml:space="preserve"> </w:t>
      </w:r>
      <w:r>
        <w:t xml:space="preserve">Slope reverses on neither frame.</w:t>
      </w:r>
    </w:p>
    <w:p>
      <w:pPr>
        <w:pStyle w:val="BodyText"/>
      </w:pPr>
      <w:r>
        <w:t xml:space="preserve">Two corrections to earlier statements belong here. First, an earlier version generalised the</w:t>
      </w:r>
      <w:r>
        <w:t xml:space="preserve"> </w:t>
      </w:r>
      <w:r>
        <w:t xml:space="preserve">elevation row to</w:t>
      </w:r>
      <w:r>
        <w:t xml:space="preserve"> </w:t>
      </w:r>
      <w:r>
        <w:t xml:space="preserve">“no bootstrap-supported sign reversal survives anywhere in this paper once</w:t>
      </w:r>
      <w:r>
        <w:t xml:space="preserve"> </w:t>
      </w:r>
      <w:r>
        <w:t xml:space="preserve">evaluation frames are equalised”</w:t>
      </w:r>
      <w:r>
        <w:t xml:space="preserve">.</w:t>
      </w:r>
      <w:r>
        <w:t xml:space="preserve"> </w:t>
      </w:r>
      <w:r>
        <w:rPr>
          <w:b/>
          <w:bCs/>
        </w:rPr>
        <w:t xml:space="preserve">That generalisation is withdrawn</w:t>
      </w:r>
      <w:r>
        <w:t xml:space="preserve">: it was computed for one</w:t>
      </w:r>
      <w:r>
        <w:t xml:space="preserve"> </w:t>
      </w:r>
      <w:r>
        <w:t xml:space="preserve">feature and the other five could not have supported it either way. Second, a subsequent version</w:t>
      </w:r>
      <w:r>
        <w:t xml:space="preserve"> </w:t>
      </w:r>
      <w:r>
        <w:t xml:space="preserve">reported</w:t>
      </w:r>
      <w:r>
        <w:t xml:space="preserve"> </w:t>
      </w:r>
      <w:r>
        <w:rPr>
          <w:rStyle w:val="VerbatimChar"/>
        </w:rPr>
        <w:t xml:space="preserve">current_lst_mean</w:t>
      </w:r>
      <w:r>
        <w:t xml:space="preserve"> </w:t>
      </w:r>
      <w:r>
        <w:t xml:space="preserve">and</w:t>
      </w:r>
      <w:r>
        <w:t xml:space="preserve"> </w:t>
      </w:r>
      <w:r>
        <w:rPr>
          <w:rStyle w:val="VerbatimChar"/>
        </w:rPr>
        <w:t xml:space="preserve">current_tvdi_mean</w:t>
      </w:r>
      <w:r>
        <w:t xml:space="preserve"> </w:t>
      </w:r>
      <w:r>
        <w:t xml:space="preserve">as supported reversals appearing under the</w:t>
      </w:r>
      <w:r>
        <w:t xml:space="preserve"> </w:t>
      </w:r>
      <w:r>
        <w:t xml:space="preserve">collar.</w:t>
      </w:r>
      <w:r>
        <w:t xml:space="preserve"> </w:t>
      </w:r>
      <w:r>
        <w:rPr>
          <w:b/>
          <w:bCs/>
        </w:rPr>
        <w:t xml:space="preserve">Those are withdrawn too</w:t>
      </w:r>
      <w:r>
        <w:t xml:space="preserve"> </w:t>
      </w:r>
      <w:r>
        <w:t xml:space="preserve">— they are the 2021 pre-fire surface scored against the 2022</w:t>
      </w:r>
      <w:r>
        <w:t xml:space="preserve"> </w:t>
      </w:r>
      <w:r>
        <w:t xml:space="preserve">scar, not the 2022 fire’s own state. The defensible statement is narrower than either:</w:t>
      </w:r>
      <w:r>
        <w:t xml:space="preserve"> </w:t>
      </w:r>
      <w:r>
        <w:rPr>
          <w:b/>
          <w:bCs/>
        </w:rPr>
        <w:t xml:space="preserve">on the</w:t>
      </w:r>
      <w:r>
        <w:rPr>
          <w:b/>
          <w:bCs/>
        </w:rPr>
        <w:t xml:space="preserve"> </w:t>
      </w:r>
      <w:r>
        <w:rPr>
          <w:b/>
          <w:bCs/>
        </w:rPr>
        <w:t xml:space="preserve">channels this design can evaluate, the collar removes this arm’s reversal; on the rest the arm is</w:t>
      </w:r>
      <w:r>
        <w:rPr>
          <w:b/>
          <w:bCs/>
        </w:rPr>
        <w:t xml:space="preserve"> </w:t>
      </w:r>
      <w:r>
        <w:rPr>
          <w:b/>
          <w:bCs/>
        </w:rPr>
        <w:t xml:space="preserve">silent.</w:t>
      </w:r>
      <w:r>
        <w:t xml:space="preserve"> </w:t>
      </w:r>
      <w:r>
        <w:t xml:space="preserve">Whatever it shows rests on eleven positive-carrying blocks against this design’s own floor</w:t>
      </w:r>
      <w:r>
        <w:t xml:space="preserve"> </w:t>
      </w:r>
      <w:r>
        <w:t xml:space="preserve">of sixteen, so no verdict from it is strong.</w:t>
      </w:r>
    </w:p>
    <w:p>
      <w:pPr>
        <w:pStyle w:val="BodyText"/>
      </w:pPr>
      <w:r>
        <w:t xml:space="preserve">Two points bound how many independent reversals could have been counted in the first place. The</w:t>
      </w:r>
      <w:r>
        <w:t xml:space="preserve"> </w:t>
      </w:r>
      <w:r>
        <w:t xml:space="preserve">channels whose reversal vanishes are the ones partly measuring terrain: current LST correlates with</w:t>
      </w:r>
      <w:r>
        <w:t xml:space="preserve"> </w:t>
      </w:r>
      <w:r>
        <w:t xml:space="preserve">elevation at −0.695 to −0.125 across the regions and TVDI at −0.722 to −0.298, so their proxy</w:t>
      </w:r>
      <w:r>
        <w:t xml:space="preserve"> </w:t>
      </w:r>
      <w:r>
        <w:t xml:space="preserve">strength varies fivefold and a frame that shifts the elevation distribution shifts them with it. And</w:t>
      </w:r>
      <w:r>
        <w:t xml:space="preserve"> </w:t>
      </w:r>
      <w:r>
        <w:t xml:space="preserve">within the collar</w:t>
      </w:r>
      <w:r>
        <w:t xml:space="preserve"> </w:t>
      </w:r>
      <w:r>
        <w:rPr>
          <w:rStyle w:val="VerbatimChar"/>
        </w:rPr>
        <w:t xml:space="preserve">fused_lst_mean</w:t>
      </w:r>
      <w:r>
        <w:t xml:space="preserve"> </w:t>
      </w:r>
      <w:r>
        <w:t xml:space="preserve">correlates with</w:t>
      </w:r>
      <w:r>
        <w:t xml:space="preserve"> </w:t>
      </w:r>
      <w:r>
        <w:rPr>
          <w:rStyle w:val="VerbatimChar"/>
        </w:rPr>
        <w:t xml:space="preserve">current_lst_mean</w:t>
      </w:r>
      <w:r>
        <w:t xml:space="preserve"> </w:t>
      </w:r>
      <w:r>
        <w:t xml:space="preserve">at 0.99 to 1.00,</w:t>
      </w:r>
      <w:r>
        <w:t xml:space="preserve"> </w:t>
      </w:r>
      <w:r>
        <w:rPr>
          <w:rStyle w:val="VerbatimChar"/>
        </w:rPr>
        <w:t xml:space="preserve">downscaled_lst_mean</w:t>
      </w:r>
      <w:r>
        <w:t xml:space="preserve"> </w:t>
      </w:r>
      <w:r>
        <w:t xml:space="preserve">at 0.97 to 0.99 and</w:t>
      </w:r>
      <w:r>
        <w:t xml:space="preserve"> </w:t>
      </w:r>
      <w:r>
        <w:rPr>
          <w:rStyle w:val="VerbatimChar"/>
        </w:rPr>
        <w:t xml:space="preserve">current_tvdi_mean</w:t>
      </w:r>
      <w:r>
        <w:t xml:space="preserve"> </w:t>
      </w:r>
      <w:r>
        <w:t xml:space="preserve">at 0.87 to 0.98, so the four absolute</w:t>
      </w:r>
      <w:r>
        <w:t xml:space="preserve"> </w:t>
      </w:r>
      <w:r>
        <w:t xml:space="preserve">channels are close to one axis and the two differenced channels correlate at 0.64 to 0.94: the</w:t>
      </w:r>
      <w:r>
        <w:t xml:space="preserve"> </w:t>
      </w:r>
      <w:r>
        <w:t xml:space="preserve">“seven</w:t>
      </w:r>
      <w:r>
        <w:t xml:space="preserve"> </w:t>
      </w:r>
      <w:r>
        <w:t xml:space="preserve">of nine directions point opposite”</w:t>
      </w:r>
      <w:r>
        <w:t xml:space="preserve"> </w:t>
      </w:r>
      <w:r>
        <w:t xml:space="preserve">count of Section S1.16 counts features, not independent quantities, and</w:t>
      </w:r>
      <w:r>
        <w:t xml:space="preserve"> </w:t>
      </w:r>
      <w:r>
        <w:rPr>
          <w:b/>
          <w:bCs/>
        </w:rPr>
        <w:t xml:space="preserve">in effective dimensions it is closer to two</w:t>
      </w:r>
      <w:r>
        <w:t xml:space="preserve">.</w:t>
      </w:r>
    </w:p>
    <w:p>
      <w:pPr>
        <w:pStyle w:val="BodyText"/>
      </w:pPr>
      <w:r>
        <w:t xml:space="preserve">Two scope statements belong with the table. The full-frame support flags of the collar diagnostics</w:t>
      </w:r>
      <w:r>
        <w:t xml:space="preserve"> </w:t>
      </w:r>
      <w:r>
        <w:t xml:space="preserve">are taken from the pipeline’s Step9G, the source of Section S4, so the full-frame values equal the</w:t>
      </w:r>
      <w:r>
        <w:t xml:space="preserve"> </w:t>
      </w:r>
      <w:r>
        <w:t xml:space="preserve">published ones; the collar side uses its own bootstrap, because there is no Step9G collar run. And</w:t>
      </w:r>
      <w:r>
        <w:t xml:space="preserve"> </w:t>
      </w:r>
      <w:r>
        <w:rPr>
          <w:b/>
          <w:bCs/>
        </w:rPr>
        <w:t xml:space="preserve">only these diagnostics were recomputed on the collar</w:t>
      </w:r>
      <w:r>
        <w:t xml:space="preserve">:</w:t>
      </w:r>
      <w:r>
        <w:t xml:space="preserve"> </w:t>
      </w:r>
      <w:r>
        <w:t xml:space="preserve">the other eighteen failed on the frames as drawn and were not rerun, so their correlations against</w:t>
      </w:r>
      <w:r>
        <w:t xml:space="preserve"> </w:t>
      </w:r>
      <w:r>
        <w:t xml:space="preserve">the equalised transfer vector are unknown rather than shown to be null.</w:t>
      </w:r>
    </w:p>
    <w:p>
      <w:pPr>
        <w:pStyle w:val="BodyText"/>
      </w:pPr>
      <w:r>
        <w:rPr>
          <w:b/>
          <w:bCs/>
        </w:rPr>
        <w:t xml:space="preserve">The thermal block’s paired contribution to transfer, with its interval.</w:t>
      </w:r>
      <w:r>
        <w:t xml:space="preserve"> </w:t>
      </w:r>
      <w:r>
        <w:t xml:space="preserve">The two matrices were</w:t>
      </w:r>
      <w:r>
        <w:t xml:space="preserve"> </w:t>
      </w:r>
      <w:r>
        <w:t xml:space="preserve">differenced direction by direction. The mean is</w:t>
      </w:r>
      <w:r>
        <w:t xml:space="preserve"> </w:t>
      </w:r>
      <w:r>
        <w:rPr>
          <w:b/>
          <w:bCs/>
        </w:rPr>
        <w:t xml:space="preserve">+0.007</w:t>
      </w:r>
      <w:r>
        <w:t xml:space="preserve">, but the mean is not the informative</w:t>
      </w:r>
      <w:r>
        <w:t xml:space="preserve"> </w:t>
      </w:r>
      <w:r>
        <w:t xml:space="preserve">statistic here. The individual paired contributions span</w:t>
      </w:r>
      <w:r>
        <w:t xml:space="preserve"> </w:t>
      </w:r>
      <w:r>
        <w:rPr>
          <w:b/>
          <w:bCs/>
        </w:rPr>
        <w:t xml:space="preserve">−0.148 to +0.133</w:t>
      </w:r>
      <w:r>
        <w:t xml:space="preserve">, with</w:t>
      </w:r>
      <w:r>
        <w:t xml:space="preserve"> </w:t>
      </w:r>
      <w:r>
        <w:rPr>
          <w:b/>
          <w:bCs/>
        </w:rPr>
        <w:t xml:space="preserve">twelve</w:t>
      </w:r>
      <w:r>
        <w:rPr>
          <w:b/>
          <w:bCs/>
        </w:rPr>
        <w:t xml:space="preserve"> </w:t>
      </w:r>
      <w:r>
        <w:rPr>
          <w:b/>
          <w:bCs/>
        </w:rPr>
        <w:t xml:space="preserve">positive and eight negative</w:t>
      </w:r>
      <w:r>
        <w:t xml:space="preserve"> </w:t>
      </w:r>
      <w:r>
        <w:t xml:space="preserve">(</w:t>
      </w:r>
      <w:r>
        <w:rPr>
          <w:rStyle w:val="VerbatimChar"/>
        </w:rPr>
        <w:t xml:space="preserve">baseline_vs_thermal_transfer.csv</w:t>
      </w:r>
      <w:r>
        <w:t xml:space="preserve">). The spread is about twenty times the</w:t>
      </w:r>
      <w:r>
        <w:t xml:space="preserve"> </w:t>
      </w:r>
      <w:r>
        <w:t xml:space="preserve">mean, and the sign is not a property of the block but of the pair it is asked to cross: the same six</w:t>
      </w:r>
      <w:r>
        <w:t xml:space="preserve"> </w:t>
      </w:r>
      <w:r>
        <w:t xml:space="preserve">predictors that add +0.133 in one direction subtract 0.148 in another. A mean near zero here records</w:t>
      </w:r>
      <w:r>
        <w:t xml:space="preserve"> </w:t>
      </w:r>
      <w:r>
        <w:t xml:space="preserve">cancellation, not consistent absence of effect. The directions are not independent,</w:t>
      </w:r>
      <w:r>
        <w:t xml:space="preserve"> </w:t>
      </w:r>
      <w:r>
        <w:t xml:space="preserve">because each region appears in eight of the twenty. The interval therefore depends on what is</w:t>
      </w:r>
      <w:r>
        <w:t xml:space="preserve"> </w:t>
      </w:r>
      <w:r>
        <w:t xml:space="preserve">treated as the resampling unit. All four units the design permits give the same answer:</w:t>
      </w:r>
    </w:p>
    <w:tbl>
      <w:tblPr>
        <w:tblStyle w:val="Table"/>
        <w:tblW w:type="auto" w:w="0"/>
        <w:tblLook w:firstRow="1" w:lastRow="0" w:firstColumn="0" w:lastColumn="0" w:noHBand="0" w:noVBand="0" w:val="0020"/>
      </w:tblPr>
      <w:tblGrid>
        <w:gridCol w:w="3715"/>
        <w:gridCol w:w="437"/>
        <w:gridCol w:w="4917"/>
      </w:tblGrid>
      <w:tr>
        <w:trPr>
          <w:tblHeader w:val="on"/>
        </w:trPr>
        <w:tc>
          <w:tcPr>
            <w:tcW w:type="dxa" w:w="3715"/>
          </w:tcPr>
          <w:p>
            <w:pPr>
              <w:pStyle w:val="Compact"/>
            </w:pPr>
            <w:r>
              <w:t xml:space="preserve">Resampling unit</w:t>
            </w:r>
          </w:p>
        </w:tc>
        <w:tc>
          <w:tcPr>
            <w:tcW w:type="dxa" w:w="437"/>
          </w:tcPr>
          <w:p>
            <w:pPr>
              <w:pStyle w:val="Compact"/>
              <w:jc w:val="right"/>
            </w:pPr>
            <w:r>
              <w:t xml:space="preserve">n</w:t>
            </w:r>
          </w:p>
        </w:tc>
        <w:tc>
          <w:tcPr>
            <w:tcW w:type="dxa" w:w="4917"/>
          </w:tcPr>
          <w:p>
            <w:pPr>
              <w:pStyle w:val="Compact"/>
            </w:pPr>
            <w:r>
              <w:t xml:space="preserve">95 % interval on the mean paired contribution</w:t>
            </w:r>
          </w:p>
        </w:tc>
      </w:tr>
      <w:tr>
        <w:tc>
          <w:tcPr>
            <w:tcW w:type="dxa" w:w="3715"/>
          </w:tcPr>
          <w:p>
            <w:pPr>
              <w:pStyle w:val="Compact"/>
            </w:pPr>
            <w:r>
              <w:t xml:space="preserve">Directions, naive</w:t>
            </w:r>
          </w:p>
        </w:tc>
        <w:tc>
          <w:tcPr>
            <w:tcW w:type="dxa" w:w="437"/>
          </w:tcPr>
          <w:p>
            <w:pPr>
              <w:pStyle w:val="Compact"/>
              <w:jc w:val="right"/>
            </w:pPr>
            <w:r>
              <w:t xml:space="preserve">20</w:t>
            </w:r>
          </w:p>
        </w:tc>
        <w:tc>
          <w:tcPr>
            <w:tcW w:type="dxa" w:w="4917"/>
          </w:tcPr>
          <w:p>
            <w:pPr>
              <w:pStyle w:val="Compact"/>
            </w:pPr>
            <w:r>
              <w:t xml:space="preserve">[−0.023, +0.037]</w:t>
            </w:r>
          </w:p>
        </w:tc>
      </w:tr>
      <w:tr>
        <w:tc>
          <w:tcPr>
            <w:tcW w:type="dxa" w:w="3715"/>
          </w:tcPr>
          <w:p>
            <w:pPr>
              <w:pStyle w:val="Compact"/>
            </w:pPr>
            <w:r>
              <w:t xml:space="preserve">Unordered pairs, cluster bootstrap</w:t>
            </w:r>
          </w:p>
        </w:tc>
        <w:tc>
          <w:tcPr>
            <w:tcW w:type="dxa" w:w="437"/>
          </w:tcPr>
          <w:p>
            <w:pPr>
              <w:pStyle w:val="Compact"/>
              <w:jc w:val="right"/>
            </w:pPr>
            <w:r>
              <w:t xml:space="preserve">10</w:t>
            </w:r>
          </w:p>
        </w:tc>
        <w:tc>
          <w:tcPr>
            <w:tcW w:type="dxa" w:w="4917"/>
          </w:tcPr>
          <w:p>
            <w:pPr>
              <w:pStyle w:val="Compact"/>
            </w:pPr>
            <w:r>
              <w:t xml:space="preserve">[−0.021, +0.037]</w:t>
            </w:r>
          </w:p>
        </w:tc>
      </w:tr>
      <w:tr>
        <w:tc>
          <w:tcPr>
            <w:tcW w:type="dxa" w:w="3715"/>
          </w:tcPr>
          <w:p>
            <w:pPr>
              <w:pStyle w:val="Compact"/>
            </w:pPr>
            <w:r>
              <w:t xml:space="preserve">Unordered pairs, t on pair means</w:t>
            </w:r>
          </w:p>
        </w:tc>
        <w:tc>
          <w:tcPr>
            <w:tcW w:type="dxa" w:w="437"/>
          </w:tcPr>
          <w:p>
            <w:pPr>
              <w:pStyle w:val="Compact"/>
              <w:jc w:val="right"/>
            </w:pPr>
            <w:r>
              <w:t xml:space="preserve">10</w:t>
            </w:r>
          </w:p>
        </w:tc>
        <w:tc>
          <w:tcPr>
            <w:tcW w:type="dxa" w:w="4917"/>
          </w:tcPr>
          <w:p>
            <w:pPr>
              <w:pStyle w:val="Compact"/>
            </w:pPr>
            <w:r>
              <w:t xml:space="preserve">[−0.028, +0.043]</w:t>
            </w:r>
          </w:p>
        </w:tc>
      </w:tr>
      <w:tr>
        <w:tc>
          <w:tcPr>
            <w:tcW w:type="dxa" w:w="3715"/>
          </w:tcPr>
          <w:p>
            <w:pPr>
              <w:pStyle w:val="Compact"/>
            </w:pPr>
            <w:r>
              <w:t xml:space="preserve">Regions, leave-one-out jackknife</w:t>
            </w:r>
          </w:p>
        </w:tc>
        <w:tc>
          <w:tcPr>
            <w:tcW w:type="dxa" w:w="437"/>
          </w:tcPr>
          <w:p>
            <w:pPr>
              <w:pStyle w:val="Compact"/>
              <w:jc w:val="right"/>
            </w:pPr>
            <w:r>
              <w:t xml:space="preserve">5</w:t>
            </w:r>
          </w:p>
        </w:tc>
        <w:tc>
          <w:tcPr>
            <w:tcW w:type="dxa" w:w="4917"/>
          </w:tcPr>
          <w:p>
            <w:pPr>
              <w:pStyle w:val="Compact"/>
            </w:pPr>
            <w:r>
              <w:t xml:space="preserve">[−0.018, +0.033]</w:t>
            </w:r>
          </w:p>
        </w:tc>
      </w:tr>
    </w:tbl>
    <w:p>
      <w:pPr>
        <w:pStyle w:val="BodyText"/>
      </w:pPr>
      <w:r>
        <w:t xml:space="preserve">Every interval spans zero, and the point estimate is a small fraction of each width. Holding out</w:t>
      </w:r>
      <w:r>
        <w:t xml:space="preserve"> </w:t>
      </w:r>
      <w:r>
        <w:t xml:space="preserve">Manavgat, Bejís, Muğla, Evia and Montiferru in turn gives +0.0148, +0.0050, +0.0072, +0.0010 and</w:t>
      </w:r>
      <w:r>
        <w:t xml:space="preserve"> </w:t>
      </w:r>
      <w:r>
        <w:t xml:space="preserve">+0.0087, so no single region carries the mean or reverses its sign</w:t>
      </w:r>
      <w:r>
        <w:t xml:space="preserve"> </w:t>
      </w:r>
      <w:r>
        <w:t xml:space="preserve">(</w:t>
      </w:r>
      <w:r>
        <w:rPr>
          <w:rStyle w:val="VerbatimChar"/>
        </w:rPr>
        <w:t xml:space="preserve">paper/labelfix_rerun/code/transfer_delta_ci.json</w:t>
      </w:r>
      <w:r>
        <w:t xml:space="preserve">). None of these four units propagates within-direction sampling</w:t>
      </w:r>
      <w:r>
        <w:t xml:space="preserve"> </w:t>
      </w:r>
      <w:r>
        <w:t xml:space="preserve">variability. They resample between directions only.</w:t>
      </w:r>
    </w:p>
    <w:p>
      <w:pPr>
        <w:pStyle w:val="BodyText"/>
      </w:pPr>
      <w:r>
        <w:rPr>
          <w:b/>
          <w:bCs/>
        </w:rPr>
        <w:t xml:space="preserve">In precision terms the transfer is worse than the ROC figures suggest.</w:t>
      </w:r>
      <w:r>
        <w:t xml:space="preserve"> </w:t>
      </w:r>
      <w:r>
        <w:t xml:space="preserve">ROC-AUC is the metric</w:t>
      </w:r>
      <w:r>
        <w:t xml:space="preserve"> </w:t>
      </w:r>
      <w:r>
        <w:t xml:space="preserve">used throughout this paper, for comparability with the literature, but a susceptibility surface is</w:t>
      </w:r>
      <w:r>
        <w:t xml:space="preserve"> </w:t>
      </w:r>
      <w:r>
        <w:t xml:space="preserve">used as a ranked area budget, so precision-recall is the operational quantity. Across the twenty</w:t>
      </w:r>
      <w:r>
        <w:t xml:space="preserve"> </w:t>
      </w:r>
      <w:r>
        <w:t xml:space="preserve">directions the thermal model’s PR-AUC averages</w:t>
      </w:r>
      <w:r>
        <w:t xml:space="preserve"> </w:t>
      </w:r>
      <w:r>
        <w:rPr>
          <w:b/>
          <w:bCs/>
        </w:rPr>
        <w:t xml:space="preserve">0.181 against a no-skill baseline of 0.157</w:t>
      </w:r>
      <w:r>
        <w:t xml:space="preserve">. The</w:t>
      </w:r>
      <w:r>
        <w:t xml:space="preserve"> </w:t>
      </w:r>
      <w:r>
        <w:t xml:space="preserve">mean of the twenty per-direction lifts is 1.13; the ratio of the two means just quoted is 1.152.</w:t>
      </w:r>
      <w:r>
        <w:t xml:space="preserve"> </w:t>
      </w:r>
      <w:r>
        <w:rPr>
          <w:b/>
          <w:bCs/>
        </w:rPr>
        <w:t xml:space="preserve">Seven of the twenty fall below their own no-skill baseline at the point estimate, all seven with</w:t>
      </w:r>
      <w:r>
        <w:rPr>
          <w:b/>
          <w:bCs/>
        </w:rPr>
        <w:t xml:space="preserve"> </w:t>
      </w:r>
      <w:r>
        <w:rPr>
          <w:b/>
          <w:bCs/>
        </w:rPr>
        <w:t xml:space="preserve">intervals entirely below it.</w:t>
      </w:r>
      <w:r>
        <w:t xml:space="preserve"> </w:t>
      </w:r>
      <w:r>
        <w:t xml:space="preserve">Only one direction, Evia to Manavgat, exceeds twice its baseline, at</w:t>
      </w:r>
      <w:r>
        <w:t xml:space="preserve"> </w:t>
      </w:r>
      <w:r>
        <w:t xml:space="preserve">0.321 against 0.143. A transferred model therefore ranks burned cells about 15 % better than random</w:t>
      </w:r>
      <w:r>
        <w:t xml:space="preserve"> </w:t>
      </w:r>
      <w:r>
        <w:t xml:space="preserve">on average, and worse than random in seven directions with interval support. This is a</w:t>
      </w:r>
      <w:r>
        <w:t xml:space="preserve"> </w:t>
      </w:r>
      <w:r>
        <w:t xml:space="preserve">sharper statement than the ROC means support and it should be the one a practitioner reads.</w:t>
      </w:r>
    </w:p>
    <w:p>
      <w:pPr>
        <w:pStyle w:val="BodyText"/>
      </w:pPr>
      <w:r>
        <w:rPr>
          <w:b/>
          <w:bCs/>
        </w:rPr>
        <w:t xml:space="preserve">The within-region increment survives the same correction, and is reported here because Section 4.2</w:t>
      </w:r>
      <w:r>
        <w:rPr>
          <w:b/>
          <w:bCs/>
        </w:rPr>
        <w:t xml:space="preserve"> </w:t>
      </w:r>
      <w:r>
        <w:rPr>
          <w:b/>
          <w:bCs/>
        </w:rPr>
        <w:t xml:space="preserve">establishes it on the frames this section calls incomparable.</w:t>
      </w:r>
      <w:r>
        <w:t xml:space="preserve"> </w:t>
      </w:r>
      <w:r>
        <w:t xml:space="preserve">Running the baseline arm on the</w:t>
      </w:r>
      <w:r>
        <w:t xml:space="preserve"> </w:t>
      </w:r>
      <w:r>
        <w:t xml:space="preserve">collar as well (</w:t>
      </w:r>
      <w:r>
        <w:rPr>
          <w:rStyle w:val="VerbatimChar"/>
        </w:rPr>
        <w:t xml:space="preserve">collar_increment_and_cosine.csv</w:t>
      </w:r>
      <w:r>
        <w:t xml:space="preserve">,</w:t>
      </w:r>
      <w:r>
        <w:t xml:space="preserve"> </w:t>
      </w:r>
      <w:r>
        <w:rPr>
          <w:rStyle w:val="VerbatimChar"/>
        </w:rPr>
        <w:t xml:space="preserve">paper/code/verify_collar_increment.py</w:t>
      </w:r>
      <w:r>
        <w:t xml:space="preserve">), the</w:t>
      </w:r>
      <w:r>
        <w:t xml:space="preserve"> </w:t>
      </w:r>
      <w:r>
        <w:t xml:space="preserve">thermal increment at 5 km blocking is +0.073, +0.030, +0.088, +0.134 and +0.090 across the five</w:t>
      </w:r>
      <w:r>
        <w:t xml:space="preserve"> </w:t>
      </w:r>
      <w:r>
        <w:t xml:space="preserve">regions,</w:t>
      </w:r>
      <w:r>
        <w:t xml:space="preserve"> </w:t>
      </w:r>
      <w:r>
        <w:rPr>
          <w:b/>
          <w:bCs/>
        </w:rPr>
        <w:t xml:space="preserve">positive in all five</w:t>
      </w:r>
      <w:r>
        <w:t xml:space="preserve">, with a mean of +0.083 against +0.087 on the frame as drawn. It</w:t>
      </w:r>
      <w:r>
        <w:t xml:space="preserve"> </w:t>
      </w:r>
      <w:r>
        <w:t xml:space="preserve">does erode as the frame tightens further: at a 5 km collar the mean halves to +0.042, still positive</w:t>
      </w:r>
      <w:r>
        <w:t xml:space="preserve"> </w:t>
      </w:r>
      <w:r>
        <w:t xml:space="preserve">in all five (official outputs in</w:t>
      </w:r>
      <w:r>
        <w:t xml:space="preserve"> </w:t>
      </w:r>
      <w:r>
        <w:rPr>
          <w:rStyle w:val="VerbatimChar"/>
        </w:rPr>
        <w:t xml:space="preserve">paper/labelfix_rerun/round6/cosine/</w:t>
      </w:r>
      <w:r>
        <w:t xml:space="preserve">). These are point estimates; the intervals in Table 1 are computed on the frame as drawn.</w:t>
      </w:r>
      <w:r>
        <w:t xml:space="preserve"> </w:t>
      </w:r>
      <w:r>
        <w:t xml:space="preserve">The paper’s one surviving predictor-level positive claim therefore holds on the frame it argues is</w:t>
      </w:r>
      <w:r>
        <w:t xml:space="preserve"> </w:t>
      </w:r>
      <w:r>
        <w:t xml:space="preserve">the correct one.</w:t>
      </w:r>
    </w:p>
    <w:p>
      <w:pPr>
        <w:pStyle w:val="BodyText"/>
      </w:pPr>
      <w:r>
        <w:rPr>
          <w:b/>
          <w:bCs/>
        </w:rPr>
        <w:t xml:space="preserve">The five areas of interest are not comparable frames.</w:t>
      </w:r>
      <w:r>
        <w:t xml:space="preserve"> </w:t>
      </w:r>
      <w:r>
        <w:t xml:space="preserve">Each region is a rectangle drawn around a</w:t>
      </w:r>
      <w:r>
        <w:t xml:space="preserve"> </w:t>
      </w:r>
      <w:r>
        <w:t xml:space="preserve">fire, and the rectangles differ by an order of magnitude in how much unburnt far field they enclose.</w:t>
      </w:r>
    </w:p>
    <w:p>
      <w:pPr>
        <w:pStyle w:val="BodyText"/>
      </w:pPr>
      <w:r>
        <w:t xml:space="preserve">The share of modelled cells lying beyond 10 km of any burned cell is 58.5 % in Manavgat, 63.1 % in</w:t>
      </w:r>
      <w:r>
        <w:t xml:space="preserve"> </w:t>
      </w:r>
      <w:r>
        <w:t xml:space="preserve">Bejís, 55.3 % in Muğla, 43.7 % in Evia and</w:t>
      </w:r>
      <w:r>
        <w:t xml:space="preserve"> </w:t>
      </w:r>
      <w:r>
        <w:rPr>
          <w:b/>
          <w:bCs/>
        </w:rPr>
        <w:t xml:space="preserve">2.1 %</w:t>
      </w:r>
      <w:r>
        <w:t xml:space="preserve"> </w:t>
      </w:r>
      <w:r>
        <w:t xml:space="preserve">in Montiferru, with median distances of 13.1,</w:t>
      </w:r>
      <w:r>
        <w:t xml:space="preserve"> </w:t>
      </w:r>
      <w:r>
        <w:t xml:space="preserve">13.5, 11.3, 8.0 and 2.7 km (Table S13). Montiferru’s frame is fire-scale; Manavgat’s and Bejís’s are roughly three-fifths far field. The</w:t>
      </w:r>
      <w:r>
        <w:t xml:space="preserve"> </w:t>
      </w:r>
      <w:r>
        <w:t xml:space="preserve">far field is not a neutral addition. In Manavgat the median elevation of modelled cells rises from</w:t>
      </w:r>
      <w:r>
        <w:t xml:space="preserve"> </w:t>
      </w:r>
      <w:r>
        <w:t xml:space="preserve">330 m within 5 km of the fire to 995 m at 10 to 20 km and 1,273 m at 20 to 50 km, against 287 m for</w:t>
      </w:r>
      <w:r>
        <w:t xml:space="preserve"> </w:t>
      </w:r>
      <w:r>
        <w:t xml:space="preserve">the burned cells themselves, in Taurus terrain that no plausible spread model would place at risk.</w:t>
      </w:r>
    </w:p>
    <w:bookmarkEnd w:id="37"/>
    <w:bookmarkStart w:id="38" w:name="s1.16-the-contrast-pair-in-full"/>
    <w:p>
      <w:pPr>
        <w:pStyle w:val="Heading2"/>
      </w:pPr>
      <w:r>
        <w:t xml:space="preserve">S1.16 The contrast pair, in full</w:t>
      </w:r>
    </w:p>
    <w:p>
      <w:pPr>
        <w:pStyle w:val="FirstParagraph"/>
      </w:pPr>
      <w:r>
        <w:t xml:space="preserve">The clearest single view needs no ranking at all (Fig. 8). Manavgat and Muğla lie in the same</w:t>
      </w:r>
      <w:r>
        <w:t xml:space="preserve"> </w:t>
      </w:r>
      <w:r>
        <w:t xml:space="preserve">country and fire year, 306 km apart by centroid, and their burned cells occupy the most similar</w:t>
      </w:r>
      <w:r>
        <w:t xml:space="preserve"> </w:t>
      </w:r>
      <w:r>
        <w:t xml:space="preserve">environmental envelope of any pair in the matrix; Bejís and Montiferru occupy the least similar.</w:t>
      </w:r>
    </w:p>
    <w:p>
      <w:pPr>
        <w:pStyle w:val="BodyText"/>
      </w:pPr>
      <w:r>
        <w:t xml:space="preserve">Per-quantity values for both pairs, on both frames, are in Table S18.</w:t>
      </w:r>
    </w:p>
    <w:p>
      <w:pPr>
        <w:pStyle w:val="BodyText"/>
      </w:pPr>
      <w:r>
        <w:t xml:space="preserve">On the corrected label both readings of this pair hold on both frames. On the frames as drawn seven</w:t>
      </w:r>
      <w:r>
        <w:t xml:space="preserve"> </w:t>
      </w:r>
      <w:r>
        <w:t xml:space="preserve">of nine feature-response directions point opposite ways, and all six features supported in both</w:t>
      </w:r>
      <w:r>
        <w:t xml:space="preserve"> </w:t>
      </w:r>
      <w:r>
        <w:t xml:space="preserve">regions have opposite signs, elevation among them. Under the collar the elevation reversal persists,</w:t>
      </w:r>
      <w:r>
        <w:t xml:space="preserve"> </w:t>
      </w:r>
      <w:r>
        <w:t xml:space="preserve">at 0.376 [0.300, 0.465] in Manavgat against 0.606 [0.525, 0.685] in Muğla (Section 4.4). Transfer</w:t>
      </w:r>
      <w:r>
        <w:t xml:space="preserve"> </w:t>
      </w:r>
      <w:r>
        <w:t xml:space="preserve">is below chance in both directions on both frames: 0.438 and 0.345 as drawn, 0.493 and 0.433 under</w:t>
      </w:r>
      <w:r>
        <w:t xml:space="preserve"> </w:t>
      </w:r>
      <w:r>
        <w:t xml:space="preserve">the collar, where Muğla to Manavgat’s interval, [0.381, 0.491], excludes chance. The most similar</w:t>
      </w:r>
      <w:r>
        <w:t xml:space="preserve"> </w:t>
      </w:r>
      <w:r>
        <w:t xml:space="preserve">pair is among the weakest in the matrix and the least similar among the stronger, while neither is</w:t>
      </w:r>
      <w:r>
        <w:t xml:space="preserve"> </w:t>
      </w:r>
      <w:r>
        <w:t xml:space="preserve">the extreme: under the collar the weakest direction is Manavgat to Bejís at 0.407 and the strongest</w:t>
      </w:r>
      <w:r>
        <w:t xml:space="preserve"> </w:t>
      </w:r>
      <w:r>
        <w:t xml:space="preserve">Muğla to Evia at 0.728. The claim this supports is that high envelope overlap does not buy transfer;</w:t>
      </w:r>
      <w:r>
        <w:t xml:space="preserve"> </w:t>
      </w:r>
      <w:r>
        <w:t xml:space="preserve">anti-prediction is interval-supported in one of the four directions only. The AoA shares are</w:t>
      </w:r>
      <w:r>
        <w:t xml:space="preserve"> </w:t>
      </w:r>
      <w:r>
        <w:t xml:space="preserve">full-frame quantities. Under the frozen label the collar had moved both readings (elevation 0.561</w:t>
      </w:r>
      <w:r>
        <w:t xml:space="preserve"> </w:t>
      </w:r>
      <w:r>
        <w:t xml:space="preserve">against 0.606, transfer 0.551 and 0.510); the label correction reverses that.</w:t>
      </w:r>
    </w:p>
    <w:p>
      <w:pPr>
        <w:pStyle w:val="BodyText"/>
      </w:pPr>
      <w:r>
        <w:t xml:space="preserve">Bejís and Montiferru sit at the opposite extreme. Their burned envelopes barely overlap, and they</w:t>
      </w:r>
      <w:r>
        <w:t xml:space="preserve"> </w:t>
      </w:r>
      <w:r>
        <w:t xml:space="preserve">carry the most dissimilar values on every overlap measure. They transfer above chance in both</w:t>
      </w:r>
      <w:r>
        <w:t xml:space="preserve"> </w:t>
      </w:r>
      <w:r>
        <w:t xml:space="preserve">directions. That half of the contrast rests on point estimates: neither direction carries a verdict</w:t>
      </w:r>
      <w:r>
        <w:t xml:space="preserve"> </w:t>
      </w:r>
      <w:r>
        <w:t xml:space="preserve">at 5 km blocking, and the marginal applicability audit was never produced for Montiferru. The claim</w:t>
      </w:r>
      <w:r>
        <w:t xml:space="preserve"> </w:t>
      </w:r>
      <w:r>
        <w:t xml:space="preserve">is one of</w:t>
      </w:r>
      <w:r>
        <w:t xml:space="preserve"> </w:t>
      </w:r>
      <w:r>
        <w:rPr>
          <w:i/>
          <w:iCs/>
        </w:rPr>
        <w:t xml:space="preserve">sufficiency</w:t>
      </w:r>
      <w:r>
        <w:t xml:space="preserve">. Similarity does not guarantee transfer, and dissimilarity does not preclude</w:t>
      </w:r>
      <w:r>
        <w:t xml:space="preserve"> </w:t>
      </w:r>
      <w:r>
        <w:t xml:space="preserve">it. The claim rests on two coexisting counterexamples, so it does not depend on the number of pairs</w:t>
      </w:r>
      <w:r>
        <w:t xml:space="preserve"> </w:t>
      </w:r>
      <w:r>
        <w:t xml:space="preserve">available.</w:t>
      </w:r>
    </w:p>
    <w:bookmarkEnd w:id="38"/>
    <w:bookmarkStart w:id="39" w:name="s1.17-the-sensitivity-arms-summarised"/>
    <w:p>
      <w:pPr>
        <w:pStyle w:val="Heading2"/>
      </w:pPr>
      <w:r>
        <w:t xml:space="preserve">S1.17 The sensitivity arms, summarised</w:t>
      </w:r>
    </w:p>
    <w:p>
      <w:pPr>
        <w:pStyle w:val="FirstParagraph"/>
      </w:pPr>
      <w:r>
        <w:t xml:space="preserve">Eight design choices were varied with everything else held fixed. They are the Evia AOI and its</w:t>
      </w:r>
      <w:r>
        <w:t xml:space="preserve"> </w:t>
      </w:r>
      <w:r>
        <w:t xml:space="preserve">prevalence, the CORAL regularisation constant, the blocking scale, the closure date of the predictor</w:t>
      </w:r>
      <w:r>
        <w:t xml:space="preserve"> </w:t>
      </w:r>
      <w:r>
        <w:t xml:space="preserve">window, the quality screening of the coarse thermal input, the contrast between the normalised and</w:t>
      </w:r>
      <w:r>
        <w:t xml:space="preserve"> </w:t>
      </w:r>
      <w:r>
        <w:t xml:space="preserve">the absolute dryness channels, the removal of the coordinate-informed channels, and the capacity of</w:t>
      </w:r>
      <w:r>
        <w:t xml:space="preserve"> </w:t>
      </w:r>
      <w:r>
        <w:t xml:space="preserve">the classifier. None changes a conclusion above. Two</w:t>
      </w:r>
      <w:r>
        <w:t xml:space="preserve"> </w:t>
      </w:r>
      <w:r>
        <w:t xml:space="preserve">bound how the results should be read, so they are carried into the main text here.</w:t>
      </w:r>
    </w:p>
    <w:p>
      <w:pPr>
        <w:pStyle w:val="BodyText"/>
      </w:pPr>
      <w:r>
        <w:rPr>
          <w:b/>
          <w:bCs/>
        </w:rPr>
        <w:t xml:space="preserve">The secondary population.</w:t>
      </w:r>
      <w:r>
        <w:t xml:space="preserve"> </w:t>
      </w:r>
      <w:r>
        <w:t xml:space="preserve">Section 3.5 defines a secondary population of all valid cells,</w:t>
      </w:r>
      <w:r>
        <w:t xml:space="preserve"> </w:t>
      </w:r>
      <w:r>
        <w:t xml:space="preserve">including cropland. The frozen export carries it for the within-region arm in Manavgat and Bejís</w:t>
      </w:r>
      <w:r>
        <w:t xml:space="preserve"> </w:t>
      </w:r>
      <w:r>
        <w:t xml:space="preserve">only, so it is a two-region sensitivity rather than a cohort-wide one, and no transfer quantity is</w:t>
      </w:r>
      <w:r>
        <w:t xml:space="preserve"> </w:t>
      </w:r>
      <w:r>
        <w:t xml:space="preserve">defined on it. Across the two regions and the three block sizes the thermal increment runs +0.044 to</w:t>
      </w:r>
      <w:r>
        <w:t xml:space="preserve"> </w:t>
      </w:r>
      <w:r>
        <w:t xml:space="preserve">+0.061 with every bootstrap interval above zero, against +0.046 to +0.067 on the primary population,</w:t>
      </w:r>
      <w:r>
        <w:t xml:space="preserve"> </w:t>
      </w:r>
      <w:r>
        <w:t xml:space="preserve">and the paired difference between populations runs −0.008 to +0.011 with no consistent sign</w:t>
      </w:r>
      <w:r>
        <w:t xml:space="preserve"> </w:t>
      </w:r>
      <w:r>
        <w:t xml:space="preserve">(</w:t>
      </w:r>
      <w:r>
        <w:rPr>
          <w:rStyle w:val="VerbatimChar"/>
        </w:rPr>
        <w:t xml:space="preserve">experiments/&lt;region&gt;/step10/within_robustness.json</w:t>
      </w:r>
      <w:r>
        <w:t xml:space="preserve">,</w:t>
      </w:r>
      <w:r>
        <w:t xml:space="preserve"> </w:t>
      </w:r>
      <w:r>
        <w:rPr>
          <w:rStyle w:val="VerbatimChar"/>
        </w:rPr>
        <w:t xml:space="preserve">by_population</w:t>
      </w:r>
      <w:r>
        <w:t xml:space="preserve">). The increment is therefore</w:t>
      </w:r>
      <w:r>
        <w:t xml:space="preserve"> </w:t>
      </w:r>
      <w:r>
        <w:t xml:space="preserve">not an artefact of excluding cropland, which is what this arm was run to test; it says nothing about</w:t>
      </w:r>
      <w:r>
        <w:t xml:space="preserve"> </w:t>
      </w:r>
      <w:r>
        <w:t xml:space="preserve">the transfer results, where the primary population is the only one available.</w:t>
      </w:r>
    </w:p>
    <w:p>
      <w:pPr>
        <w:pStyle w:val="BodyText"/>
      </w:pPr>
      <w:r>
        <w:t xml:space="preserve">Coarsening the blocks from 1 km to 5 km moves the</w:t>
      </w:r>
      <w:r>
        <w:t xml:space="preserve"> </w:t>
      </w:r>
      <w:r>
        <w:rPr>
          <w:b/>
          <w:bCs/>
        </w:rPr>
        <w:t xml:space="preserve">paired thermal-minus-baseline delta</w:t>
      </w:r>
      <w:r>
        <w:t xml:space="preserve"> </w:t>
      </w:r>
      <w:r>
        <w:t xml:space="preserve">verdicts</w:t>
      </w:r>
      <w:r>
        <w:t xml:space="preserve"> </w:t>
      </w:r>
      <w:r>
        <w:t xml:space="preserve">from ten positive, seven negative and three uncertain to six, four and ten. The above-chance</w:t>
      </w:r>
      <w:r>
        <w:t xml:space="preserve"> </w:t>
      </w:r>
      <w:r>
        <w:t xml:space="preserve">verdicts on the thermal arm itself, a different quantity, move from twelve, six and two to nine,</w:t>
      </w:r>
      <w:r>
        <w:t xml:space="preserve"> </w:t>
      </w:r>
      <w:r>
        <w:t xml:space="preserve">four and seven. Support is removed from seven verdicts and added to none.</w:t>
      </w:r>
      <w:r>
        <w:t xml:space="preserve"> </w:t>
      </w:r>
      <w:r>
        <w:t xml:space="preserve">The point estimates are unchanged, but that is an identity rather than a result. The blocking scale</w:t>
      </w:r>
      <w:r>
        <w:t xml:space="preserve"> </w:t>
      </w:r>
      <w:r>
        <w:t xml:space="preserve">is the resampling unit, and it cannot move an estimate computed once over all target cells.</w:t>
      </w:r>
    </w:p>
    <w:p>
      <w:pPr>
        <w:pStyle w:val="BodyText"/>
      </w:pPr>
      <w:r>
        <w:t xml:space="preserve">Manavgat’s downstream chain was rebuilt from a quality-screened MODIS input on 14 August 2026, under</w:t>
      </w:r>
      <w:r>
        <w:t xml:space="preserve"> </w:t>
      </w:r>
      <w:r>
        <w:t xml:space="preserve">the frozen label. That changed the downscaled surface on 22,304 of 24,150 cells, by up to 10.9 °C,</w:t>
      </w:r>
      <w:r>
        <w:t xml:space="preserve"> </w:t>
      </w:r>
      <w:r>
        <w:t xml:space="preserve">and no signed univariate association by more than +0.0003. The two arms differed in code version as</w:t>
      </w:r>
      <w:r>
        <w:t xml:space="preserve"> </w:t>
      </w:r>
      <w:r>
        <w:t xml:space="preserve">well as in screening, and its Muğla arm was not re-examined (Section 3.4). On the corrected label the</w:t>
      </w:r>
      <w:r>
        <w:t xml:space="preserve"> </w:t>
      </w:r>
      <w:r>
        <w:t xml:space="preserve">comparison is reported in Section 3.4. Either way, it closes the one processing-artefact candidate</w:t>
      </w:r>
      <w:r>
        <w:t xml:space="preserve"> </w:t>
      </w:r>
      <w:r>
        <w:t xml:space="preserve">for that region’s behaviour. Section S1 reports all eight arms, including one that tests a claim of Section 1.2 and does not uphold it.</w:t>
      </w:r>
    </w:p>
    <w:bookmarkEnd w:id="39"/>
    <w:bookmarkStart w:id="40" w:name="s1.18-distance-within-a-region"/>
    <w:p>
      <w:pPr>
        <w:pStyle w:val="Heading2"/>
      </w:pPr>
      <w:r>
        <w:t xml:space="preserve">S1.18 Distance within a region</w:t>
      </w:r>
    </w:p>
    <w:p>
      <w:pPr>
        <w:pStyle w:val="FirstParagraph"/>
      </w:pPr>
      <w:r>
        <w:t xml:space="preserve">One further arm measures how skill decays with distance inside a single region. A model is fitted on</w:t>
      </w:r>
      <w:r>
        <w:t xml:space="preserve"> </w:t>
      </w:r>
      <w:r>
        <w:t xml:space="preserve">one half of a region and applied to the other, and target cells are binned by their distance from the</w:t>
      </w:r>
      <w:r>
        <w:t xml:space="preserve"> </w:t>
      </w:r>
      <w:r>
        <w:t xml:space="preserve">training cells (</w:t>
      </w:r>
      <w:r>
        <w:rPr>
          <w:rStyle w:val="VerbatimChar"/>
        </w:rPr>
        <w:t xml:space="preserve">distance_curve.md</w:t>
      </w:r>
      <w:r>
        <w:t xml:space="preserve">,</w:t>
      </w:r>
      <w:r>
        <w:t xml:space="preserve"> </w:t>
      </w:r>
      <w:r>
        <w:rPr>
          <w:rStyle w:val="VerbatimChar"/>
        </w:rPr>
        <w:t xml:space="preserve">paper/code/distance_curve.py</w:t>
      </w:r>
      <w:r>
        <w:t xml:space="preserve">). Means are unweighted over bins,</w:t>
      </w:r>
      <w:r>
        <w:t xml:space="preserve"> </w:t>
      </w:r>
      <w:r>
        <w:t xml:space="preserve">whose positive counts range from 1 to 2,564, and the bins carry no intervals.</w:t>
      </w:r>
    </w:p>
    <w:tbl>
      <w:tblPr>
        <w:tblStyle w:val="Table"/>
        <w:tblW w:type="auto" w:w="0"/>
        <w:tblLook w:firstRow="1" w:lastRow="0" w:firstColumn="0" w:lastColumn="0" w:noHBand="0" w:noVBand="0" w:val="0020"/>
      </w:tblPr>
      <w:tblGrid>
        <w:gridCol w:w="5553"/>
        <w:gridCol w:w="740"/>
        <w:gridCol w:w="2777"/>
      </w:tblGrid>
      <w:tr>
        <w:trPr>
          <w:tblHeader w:val="on"/>
        </w:trPr>
        <w:tc>
          <w:tcPr>
            <w:tcW w:type="dxa" w:w="5553"/>
          </w:tcPr>
          <w:p>
            <w:pPr>
              <w:pStyle w:val="Compact"/>
            </w:pPr>
            <w:r>
              <w:t xml:space="preserve">Separation from training cells</w:t>
            </w:r>
          </w:p>
        </w:tc>
        <w:tc>
          <w:tcPr>
            <w:tcW w:type="dxa" w:w="740"/>
          </w:tcPr>
          <w:p>
            <w:pPr>
              <w:pStyle w:val="Compact"/>
              <w:jc w:val="right"/>
            </w:pPr>
            <w:r>
              <w:t xml:space="preserve">Bins</w:t>
            </w:r>
          </w:p>
        </w:tc>
        <w:tc>
          <w:tcPr>
            <w:tcW w:type="dxa" w:w="2777"/>
          </w:tcPr>
          <w:p>
            <w:pPr>
              <w:pStyle w:val="Compact"/>
              <w:jc w:val="right"/>
            </w:pPr>
            <w:r>
              <w:t xml:space="preserve">Mean target AUC</w:t>
            </w:r>
          </w:p>
        </w:tc>
      </w:tr>
      <w:tr>
        <w:tc>
          <w:tcPr>
            <w:tcW w:type="dxa" w:w="5553"/>
          </w:tcPr>
          <w:p>
            <w:pPr>
              <w:pStyle w:val="Compact"/>
            </w:pPr>
            <w:r>
              <w:t xml:space="preserve">0 to 5 km</w:t>
            </w:r>
          </w:p>
        </w:tc>
        <w:tc>
          <w:tcPr>
            <w:tcW w:type="dxa" w:w="740"/>
          </w:tcPr>
          <w:p>
            <w:pPr>
              <w:pStyle w:val="Compact"/>
              <w:jc w:val="right"/>
            </w:pPr>
            <w:r>
              <w:t xml:space="preserve">18</w:t>
            </w:r>
          </w:p>
        </w:tc>
        <w:tc>
          <w:tcPr>
            <w:tcW w:type="dxa" w:w="2777"/>
          </w:tcPr>
          <w:p>
            <w:pPr>
              <w:pStyle w:val="Compact"/>
              <w:jc w:val="right"/>
            </w:pPr>
            <w:r>
              <w:t xml:space="preserve">0.692</w:t>
            </w:r>
          </w:p>
        </w:tc>
      </w:tr>
      <w:tr>
        <w:tc>
          <w:tcPr>
            <w:tcW w:type="dxa" w:w="5553"/>
          </w:tcPr>
          <w:p>
            <w:pPr>
              <w:pStyle w:val="Compact"/>
            </w:pPr>
            <w:r>
              <w:t xml:space="preserve">5 to 10 km</w:t>
            </w:r>
          </w:p>
        </w:tc>
        <w:tc>
          <w:tcPr>
            <w:tcW w:type="dxa" w:w="740"/>
          </w:tcPr>
          <w:p>
            <w:pPr>
              <w:pStyle w:val="Compact"/>
              <w:jc w:val="right"/>
            </w:pPr>
            <w:r>
              <w:t xml:space="preserve">16</w:t>
            </w:r>
          </w:p>
        </w:tc>
        <w:tc>
          <w:tcPr>
            <w:tcW w:type="dxa" w:w="2777"/>
          </w:tcPr>
          <w:p>
            <w:pPr>
              <w:pStyle w:val="Compact"/>
              <w:jc w:val="right"/>
            </w:pPr>
            <w:r>
              <w:t xml:space="preserve">0.519</w:t>
            </w:r>
          </w:p>
        </w:tc>
      </w:tr>
      <w:tr>
        <w:tc>
          <w:tcPr>
            <w:tcW w:type="dxa" w:w="5553"/>
          </w:tcPr>
          <w:p>
            <w:pPr>
              <w:pStyle w:val="Compact"/>
            </w:pPr>
            <w:r>
              <w:t xml:space="preserve">10 to 20 km</w:t>
            </w:r>
          </w:p>
        </w:tc>
        <w:tc>
          <w:tcPr>
            <w:tcW w:type="dxa" w:w="740"/>
          </w:tcPr>
          <w:p>
            <w:pPr>
              <w:pStyle w:val="Compact"/>
              <w:jc w:val="right"/>
            </w:pPr>
            <w:r>
              <w:t xml:space="preserve">11</w:t>
            </w:r>
          </w:p>
        </w:tc>
        <w:tc>
          <w:tcPr>
            <w:tcW w:type="dxa" w:w="2777"/>
          </w:tcPr>
          <w:p>
            <w:pPr>
              <w:pStyle w:val="Compact"/>
              <w:jc w:val="right"/>
            </w:pPr>
            <w:r>
              <w:t xml:space="preserve">0.499</w:t>
            </w:r>
          </w:p>
        </w:tc>
      </w:tr>
      <w:tr>
        <w:tc>
          <w:tcPr>
            <w:tcW w:type="dxa" w:w="5553"/>
          </w:tcPr>
          <w:p>
            <w:pPr>
              <w:pStyle w:val="Compact"/>
            </w:pPr>
            <w:r>
              <w:t xml:space="preserve">20 to 40 km</w:t>
            </w:r>
          </w:p>
        </w:tc>
        <w:tc>
          <w:tcPr>
            <w:tcW w:type="dxa" w:w="740"/>
          </w:tcPr>
          <w:p>
            <w:pPr>
              <w:pStyle w:val="Compact"/>
              <w:jc w:val="right"/>
            </w:pPr>
            <w:r>
              <w:t xml:space="preserve">6</w:t>
            </w:r>
          </w:p>
        </w:tc>
        <w:tc>
          <w:tcPr>
            <w:tcW w:type="dxa" w:w="2777"/>
          </w:tcPr>
          <w:p>
            <w:pPr>
              <w:pStyle w:val="Compact"/>
              <w:jc w:val="right"/>
            </w:pPr>
            <w:r>
              <w:t xml:space="preserve">0.445</w:t>
            </w:r>
          </w:p>
        </w:tc>
      </w:tr>
      <w:tr>
        <w:tc>
          <w:tcPr>
            <w:tcW w:type="dxa" w:w="5553"/>
          </w:tcPr>
          <w:p>
            <w:pPr>
              <w:pStyle w:val="Compact"/>
            </w:pPr>
            <w:r>
              <w:t xml:space="preserve">40 to 80 km</w:t>
            </w:r>
          </w:p>
        </w:tc>
        <w:tc>
          <w:tcPr>
            <w:tcW w:type="dxa" w:w="740"/>
          </w:tcPr>
          <w:p>
            <w:pPr>
              <w:pStyle w:val="Compact"/>
              <w:jc w:val="right"/>
            </w:pPr>
            <w:r>
              <w:t xml:space="preserve">3</w:t>
            </w:r>
          </w:p>
        </w:tc>
        <w:tc>
          <w:tcPr>
            <w:tcW w:type="dxa" w:w="2777"/>
          </w:tcPr>
          <w:p>
            <w:pPr>
              <w:pStyle w:val="Compact"/>
              <w:jc w:val="right"/>
            </w:pPr>
            <w:r>
              <w:t xml:space="preserve">0.541</w:t>
            </w:r>
          </w:p>
        </w:tc>
      </w:tr>
      <w:tr>
        <w:tc>
          <w:tcPr>
            <w:tcW w:type="dxa" w:w="5553"/>
          </w:tcPr>
          <w:p>
            <w:pPr>
              <w:pStyle w:val="Compact"/>
            </w:pPr>
            <w:r>
              <w:t xml:space="preserve">80 to 160 km</w:t>
            </w:r>
          </w:p>
        </w:tc>
        <w:tc>
          <w:tcPr>
            <w:tcW w:type="dxa" w:w="740"/>
          </w:tcPr>
          <w:p>
            <w:pPr>
              <w:pStyle w:val="Compact"/>
              <w:jc w:val="right"/>
            </w:pPr>
            <w:r>
              <w:t xml:space="preserve">1</w:t>
            </w:r>
          </w:p>
        </w:tc>
        <w:tc>
          <w:tcPr>
            <w:tcW w:type="dxa" w:w="2777"/>
          </w:tcPr>
          <w:p>
            <w:pPr>
              <w:pStyle w:val="Compact"/>
              <w:jc w:val="right"/>
            </w:pPr>
            <w:r>
              <w:t xml:space="preserve">0.421</w:t>
            </w:r>
          </w:p>
        </w:tc>
      </w:tr>
      <w:tr>
        <w:tc>
          <w:tcPr>
            <w:tcW w:type="dxa" w:w="5553"/>
          </w:tcPr>
          <w:p>
            <w:pPr>
              <w:pStyle w:val="Compact"/>
            </w:pPr>
            <w:r>
              <w:t xml:space="preserve">cross-region, 306 to 2,802 km</w:t>
            </w:r>
          </w:p>
        </w:tc>
        <w:tc>
          <w:tcPr>
            <w:tcW w:type="dxa" w:w="740"/>
          </w:tcPr>
          <w:p>
            <w:pPr>
              <w:pStyle w:val="Compact"/>
              <w:jc w:val="right"/>
            </w:pPr>
            <w:r>
              <w:t xml:space="preserve">20</w:t>
            </w:r>
          </w:p>
        </w:tc>
        <w:tc>
          <w:tcPr>
            <w:tcW w:type="dxa" w:w="2777"/>
          </w:tcPr>
          <w:p>
            <w:pPr>
              <w:pStyle w:val="Compact"/>
              <w:jc w:val="right"/>
            </w:pPr>
            <w:r>
              <w:t xml:space="preserve">0.541</w:t>
            </w:r>
          </w:p>
        </w:tc>
      </w:tr>
    </w:tbl>
    <w:p>
      <w:pPr>
        <w:pStyle w:val="BodyText"/>
      </w:pPr>
      <w:r>
        <w:rPr>
          <w:b/>
          <w:bCs/>
        </w:rPr>
        <w:t xml:space="preserve">By 10 to 20 km inside a single region the model is already at chance.</w:t>
      </w:r>
      <w:r>
        <w:t xml:space="preserve"> </w:t>
      </w:r>
      <w:r>
        <w:t xml:space="preserve">That bounds how far a</w:t>
      </w:r>
      <w:r>
        <w:t xml:space="preserve"> </w:t>
      </w:r>
      <w:r>
        <w:t xml:space="preserve">susceptibility surface of this kind can be carried from the cells it was fitted on, and it is</w:t>
      </w:r>
      <w:r>
        <w:t xml:space="preserve"> </w:t>
      </w:r>
      <w:r>
        <w:t xml:space="preserve">consistent with Section 4.3, where withholding a scar and replacing the model with a foreign one cost</w:t>
      </w:r>
      <w:r>
        <w:t xml:space="preserve"> </w:t>
      </w:r>
      <w:r>
        <w:t xml:space="preserve">nothing distinguishable.</w:t>
      </w:r>
    </w:p>
    <w:p>
      <w:pPr>
        <w:pStyle w:val="BodyText"/>
      </w:pPr>
      <w:r>
        <w:rPr>
          <w:b/>
          <w:bCs/>
        </w:rPr>
        <w:t xml:space="preserve">It does not reframe the paper’s negative result, and a reading that it does was considered and</w:t>
      </w:r>
      <w:r>
        <w:rPr>
          <w:b/>
          <w:bCs/>
        </w:rPr>
        <w:t xml:space="preserve"> </w:t>
      </w:r>
      <w:r>
        <w:rPr>
          <w:b/>
          <w:bCs/>
        </w:rPr>
        <w:t xml:space="preserve">rejected.</w:t>
      </w:r>
      <w:r>
        <w:t xml:space="preserve"> </w:t>
      </w:r>
      <w:r>
        <w:t xml:space="preserve">That reading argued that because the twenty cross-region directions average 0.541, at or</w:t>
      </w:r>
      <w:r>
        <w:t xml:space="preserve"> </w:t>
      </w:r>
      <w:r>
        <w:t xml:space="preserve">above the within-region plateau, they sit on the continuation of the curve and the failure needs no</w:t>
      </w:r>
      <w:r>
        <w:t xml:space="preserve"> </w:t>
      </w:r>
      <w:r>
        <w:t xml:space="preserve">regional mechanism — a rule fixed in advance in</w:t>
      </w:r>
      <w:r>
        <w:t xml:space="preserve"> </w:t>
      </w:r>
      <w:r>
        <w:rPr>
          <w:rStyle w:val="VerbatimChar"/>
        </w:rPr>
        <w:t xml:space="preserve">positive_control.md</w:t>
      </w:r>
      <w:r>
        <w:t xml:space="preserve">. Two objections defeat it, and</w:t>
      </w:r>
      <w:r>
        <w:t xml:space="preserve"> </w:t>
      </w:r>
      <w:r>
        <w:rPr>
          <w:rStyle w:val="VerbatimChar"/>
        </w:rPr>
        <w:t xml:space="preserve">scar_control.md</w:t>
      </w:r>
      <w:r>
        <w:t xml:space="preserve"> </w:t>
      </w:r>
      <w:r>
        <w:t xml:space="preserve">records the reframing as withdrawn in full.</w:t>
      </w:r>
      <w:r>
        <w:t xml:space="preserve"> </w:t>
      </w:r>
      <w:r>
        <w:rPr>
          <w:b/>
          <w:bCs/>
        </w:rPr>
        <w:t xml:space="preserve">The rule cannot fail</w:t>
      </w:r>
      <w:r>
        <w:t xml:space="preserve">: once the</w:t>
      </w:r>
      <w:r>
        <w:t xml:space="preserve"> </w:t>
      </w:r>
      <w:r>
        <w:t xml:space="preserve">curve reaches the chance floor, any cross-region mean near 0.5 lies on its continuation by</w:t>
      </w:r>
      <w:r>
        <w:t xml:space="preserve"> </w:t>
      </w:r>
      <w:r>
        <w:t xml:space="preserve">construction, so the comparison could not have come out otherwise, and a test that cannot fail is not</w:t>
      </w:r>
      <w:r>
        <w:t xml:space="preserve"> </w:t>
      </w:r>
      <w:r>
        <w:t xml:space="preserve">evidence. And</w:t>
      </w:r>
      <w:r>
        <w:t xml:space="preserve"> </w:t>
      </w:r>
      <w:r>
        <w:rPr>
          <w:b/>
          <w:bCs/>
        </w:rPr>
        <w:t xml:space="preserve">extrapolating an uninformative model does not produce a reliably reversed ranking</w:t>
      </w:r>
      <w:r>
        <w:t xml:space="preserve">:</w:t>
      </w:r>
      <w:r>
        <w:t xml:space="preserve"> </w:t>
      </w:r>
      <w:r>
        <w:t xml:space="preserve">Manavgat to Bejís is below chance with interval support on the frame as drawn and at the 10 km</w:t>
      </w:r>
      <w:r>
        <w:t xml:space="preserve"> </w:t>
      </w:r>
      <w:r>
        <w:t xml:space="preserve">collar, which is not what a model that has merely run out of skill returns.</w:t>
      </w:r>
    </w:p>
    <w:p>
      <w:pPr>
        <w:pStyle w:val="BodyText"/>
      </w:pPr>
      <w:r>
        <w:t xml:space="preserve">Four limits bound even the descriptive reading. The two distance ranges do not overlap — within-region</w:t>
      </w:r>
      <w:r>
        <w:t xml:space="preserve"> </w:t>
      </w:r>
      <w:r>
        <w:t xml:space="preserve">separations span 2 to 86 km, cross-region separations start at 306 km — so any comparison across the</w:t>
      </w:r>
      <w:r>
        <w:t xml:space="preserve"> </w:t>
      </w:r>
      <w:r>
        <w:t xml:space="preserve">gap extrapolates the curve. The far bins are thin, six at 20 to 40 km and one beyond 80 km, so their</w:t>
      </w:r>
      <w:r>
        <w:t xml:space="preserve"> </w:t>
      </w:r>
      <w:r>
        <w:t xml:space="preserve">means should not be read closely and the apparent rise at 40 to 80 km is not evidence of anything.</w:t>
      </w:r>
      <w:r>
        <w:t xml:space="preserve"> </w:t>
      </w:r>
      <w:r>
        <w:t xml:space="preserve">The near bins carry exactly the autocorrelation blocked validation exists to remove, so</w:t>
      </w:r>
      <w:r>
        <w:t xml:space="preserve"> </w:t>
      </w:r>
      <w:r>
        <w:rPr>
          <w:b/>
          <w:bCs/>
        </w:rPr>
        <w:t xml:space="preserve">0.692 is an</w:t>
      </w:r>
      <w:r>
        <w:rPr>
          <w:b/>
          <w:bCs/>
        </w:rPr>
        <w:t xml:space="preserve"> </w:t>
      </w:r>
      <w:r>
        <w:rPr>
          <w:b/>
          <w:bCs/>
        </w:rPr>
        <w:t xml:space="preserve">upper bound on near-field skill rather than an estimate of it</w:t>
      </w:r>
      <w:r>
        <w:t xml:space="preserve">. And this design separates distance</w:t>
      </w:r>
      <w:r>
        <w:t xml:space="preserve"> </w:t>
      </w:r>
      <w:r>
        <w:t xml:space="preserve">from crossing a study-area boundary, but not from the land cover, terrain and fire history that</w:t>
      </w:r>
      <w:r>
        <w:t xml:space="preserve"> </w:t>
      </w:r>
      <w:r>
        <w:t xml:space="preserve">covary with it.</w:t>
      </w:r>
    </w:p>
    <w:p>
      <w:pPr>
        <w:pStyle w:val="BodyText"/>
      </w:pPr>
      <w:r>
        <w:t xml:space="preserve">The arm therefore contributes a length scale for the within-region decay, not an attribution. The</w:t>
      </w:r>
      <w:r>
        <w:t xml:space="preserve"> </w:t>
      </w:r>
      <w:r>
        <w:t xml:space="preserve">unit that fails to transfer is not established by this design, and Section 4.3 says so directly.</w:t>
      </w:r>
    </w:p>
    <w:bookmarkEnd w:id="40"/>
    <w:bookmarkStart w:id="41" w:name="s1.19-what-target-labels-cost"/>
    <w:p>
      <w:pPr>
        <w:pStyle w:val="Heading2"/>
      </w:pPr>
      <w:r>
        <w:t xml:space="preserve">S1.19 What target labels cost</w:t>
      </w:r>
    </w:p>
    <w:p>
      <w:pPr>
        <w:pStyle w:val="FirstParagraph"/>
      </w:pPr>
      <w:r>
        <w:t xml:space="preserve">Everything above measures a failure; this prices it. Label-free alignment does not close the residual</w:t>
      </w:r>
      <w:r>
        <w:t xml:space="preserve"> </w:t>
      </w:r>
      <w:r>
        <w:t xml:space="preserve">gap, so the missing resource is information about the target that alignment cannot synthesise, and</w:t>
      </w:r>
      <w:r>
        <w:t xml:space="preserve"> </w:t>
      </w:r>
      <w:r>
        <w:t xml:space="preserve">the direct way to supply it is target labels. A frozen labelled-budget diagnostic answers how many, for</w:t>
      </w:r>
      <w:r>
        <w:t xml:space="preserve"> </w:t>
      </w:r>
      <w:r>
        <w:t xml:space="preserve">three regions across all six ordered directions, using one 10-cell (~5 km) spatial block as the unit</w:t>
      </w:r>
      <w:r>
        <w:t xml:space="preserve"> </w:t>
      </w:r>
      <w:r>
        <w:t xml:space="preserve">of labelling effort and reading recovery against a matched target-only ceiling of 0.777 to 0.824.</w:t>
      </w:r>
    </w:p>
    <w:p>
      <w:pPr>
        <w:pStyle w:val="BodyText"/>
      </w:pPr>
      <w:r>
        <w:t xml:space="preserve">Thirty-two labelled blocks recover</w:t>
      </w:r>
      <w:r>
        <w:t xml:space="preserve"> </w:t>
      </w:r>
      <w:r>
        <w:rPr>
          <w:b/>
          <w:bCs/>
        </w:rPr>
        <w:t xml:space="preserve">85 to 89 % of that ceiling in three of the six directions</w:t>
      </w:r>
      <w:r>
        <w:t xml:space="preserve">, two</w:t>
      </w:r>
      <w:r>
        <w:t xml:space="preserve"> </w:t>
      </w:r>
      <w:r>
        <w:t xml:space="preserve">of which started below chance; 51 to 57 % in two more, the directions where the conditional gap is</w:t>
      </w:r>
      <w:r>
        <w:t xml:space="preserve"> </w:t>
      </w:r>
      <w:r>
        <w:t xml:space="preserve">widest; and 30 % in the sixth. That budget is 7 to 20 % of the target’s natural-vegetation</w:t>
      </w:r>
      <w:r>
        <w:t xml:space="preserve"> </w:t>
      </w:r>
      <w:r>
        <w:t xml:space="preserve">population, which at the 2,700 to 3,000 labelled cells those blocks carry (S5.3) and this grid’s</w:t>
      </w:r>
      <w:r>
        <w:t xml:space="preserve"> </w:t>
      </w:r>
      <w:r>
        <w:t xml:space="preserve">effective cell area of 0.199 to 0.208 km² (Section S3) is roughly</w:t>
      </w:r>
      <w:r>
        <w:t xml:space="preserve"> </w:t>
      </w:r>
      <w:r>
        <w:rPr>
          <w:b/>
          <w:bCs/>
        </w:rPr>
        <w:t xml:space="preserve">540 to 620 km²</w:t>
      </w:r>
      <w:r>
        <w:t xml:space="preserve">, so it is a real</w:t>
      </w:r>
      <w:r>
        <w:t xml:space="preserve"> </w:t>
      </w:r>
      <w:r>
        <w:t xml:space="preserve">answer and not a cheap one. Two properties of the</w:t>
      </w:r>
      <w:r>
        <w:t xml:space="preserve"> </w:t>
      </w:r>
      <w:r>
        <w:t xml:space="preserve">measurement bound it and are stated in the supplement rather than buried: at the top budget the</w:t>
      </w:r>
      <w:r>
        <w:t xml:space="preserve"> </w:t>
      </w:r>
      <w:r>
        <w:t xml:space="preserve">selection pool is nearly exhausted, so the narrow upper-budget intervals reflect saturation rather</w:t>
      </w:r>
      <w:r>
        <w:t xml:space="preserve"> </w:t>
      </w:r>
      <w:r>
        <w:t xml:space="preserve">than precision, and the labelled blocks are drawn from the event being predicted, which is not a</w:t>
      </w:r>
      <w:r>
        <w:t xml:space="preserve"> </w:t>
      </w:r>
      <w:r>
        <w:t xml:space="preserve">resource available before that event burns. The protocol, the full curve and the limits are in</w:t>
      </w:r>
      <w:r>
        <w:t xml:space="preserve"> </w:t>
      </w:r>
      <w:r>
        <w:t xml:space="preserve">Section S5.</w:t>
      </w:r>
    </w:p>
    <w:p>
      <w:pPr>
        <w:pStyle w:val="BodyText"/>
      </w:pPr>
      <w:r>
        <w:t xml:space="preserve">Two limits belong with the number. At small budgets the same intervention damages the direction that</w:t>
      </w:r>
      <w:r>
        <w:t xml:space="preserve"> </w:t>
      </w:r>
      <w:r>
        <w:t xml:space="preserve">already transfers best without any labels. And six directions in three regions cannot support a</w:t>
      </w:r>
      <w:r>
        <w:t xml:space="preserve"> </w:t>
      </w:r>
      <w:r>
        <w:t xml:space="preserve">general label budget, so none is offered.</w:t>
      </w:r>
    </w:p>
    <w:p>
      <w:pPr>
        <w:pStyle w:val="BodyText"/>
      </w:pPr>
      <w:r>
        <w:rPr>
          <w:b/>
          <w:bCs/>
        </w:rPr>
        <w:t xml:space="preserve">Row D is a mean over four foreign models, and the spread behind it is large.</w:t>
      </w:r>
      <w:r>
        <w:t xml:space="preserve"> </w:t>
      </w:r>
      <w:r>
        <w:t xml:space="preserve">Decomposing it gives</w:t>
      </w:r>
      <w:r>
        <w:t xml:space="preserve"> </w:t>
      </w:r>
      <w:r>
        <w:rPr>
          <w:b/>
          <w:bCs/>
        </w:rPr>
        <w:t xml:space="preserve">28</w:t>
      </w:r>
      <w:r>
        <w:t xml:space="preserve"> </w:t>
      </w:r>
      <w:r>
        <w:t xml:space="preserve">scar-by-source combinations running from 0.374 to 0.724, with</w:t>
      </w:r>
      <w:r>
        <w:t xml:space="preserve"> </w:t>
      </w:r>
      <w:r>
        <w:rPr>
          <w:b/>
          <w:bCs/>
        </w:rPr>
        <w:t xml:space="preserve">nine below chance</w:t>
      </w:r>
      <w:r>
        <w:t xml:space="preserve"> </w:t>
      </w:r>
      <w:r>
        <w:t xml:space="preserve">and a mean</w:t>
      </w:r>
      <w:r>
        <w:t xml:space="preserve"> </w:t>
      </w:r>
      <w:r>
        <w:t xml:space="preserve">spread of 0.187 across the four sources for a given scar (Table S4). The pooled 0.553 is</w:t>
      </w:r>
      <w:r>
        <w:t xml:space="preserve"> </w:t>
      </w:r>
      <w:r>
        <w:t xml:space="preserve">therefore not a statement that any foreign model does as well as a same-region one, but that the</w:t>
      </w:r>
      <w:r>
        <w:t xml:space="preserve"> </w:t>
      </w:r>
      <w:r>
        <w:rPr>
          <w:i/>
          <w:iCs/>
        </w:rPr>
        <w:t xml:space="preserve">average</w:t>
      </w:r>
      <w:r>
        <w:t xml:space="preserve"> </w:t>
      </w:r>
      <w:r>
        <w:t xml:space="preserve">one does, and the variation it averages over is exactly the pair-specific instability that</w:t>
      </w:r>
      <w:r>
        <w:t xml:space="preserve"> </w:t>
      </w:r>
      <w:r>
        <w:t xml:space="preserve">the rest of Section 4 is about.</w:t>
      </w:r>
    </w:p>
    <w:p>
      <w:pPr>
        <w:pStyle w:val="BodyText"/>
      </w:pPr>
      <w:r>
        <w:t xml:space="preserve">One confound must be stated. Holding out a region’s only large scar also removes most of its</w:t>
      </w:r>
      <w:r>
        <w:t xml:space="preserve"> </w:t>
      </w:r>
      <w:r>
        <w:t xml:space="preserve">positives: the source model retains 11 positives in Evia and 97 in Montiferru,</w:t>
      </w:r>
      <w:r>
        <w:t xml:space="preserve"> </w:t>
      </w:r>
      <w:r>
        <w:t xml:space="preserve">against about 2,000 in Muğla, which has four separate scars. Those three non-Muğla arms average 0.502</w:t>
      </w:r>
      <w:r>
        <w:t xml:space="preserve"> </w:t>
      </w:r>
      <w:r>
        <w:t xml:space="preserve">and the four Muğla arms 0.579. Two of the three are genuinely starved; the third, Montiferru’s</w:t>
      </w:r>
      <w:r>
        <w:t xml:space="preserve"> </w:t>
      </w:r>
      <w:r>
        <w:t xml:space="preserve">second component, retains 472 source positives. Row C therefore mixes</w:t>
      </w:r>
      <w:r>
        <w:t xml:space="preserve"> </w:t>
      </w:r>
      <w:r>
        <w:t xml:space="preserve">“the fire was withheld”</w:t>
      </w:r>
      <w:r>
        <w:t xml:space="preserve"> </w:t>
      </w:r>
      <w:r>
        <w:t xml:space="preserve">with</w:t>
      </w:r>
      <w:r>
        <w:t xml:space="preserve"> </w:t>
      </w:r>
      <w:r>
        <w:t xml:space="preserve">“almost</w:t>
      </w:r>
      <w:r>
        <w:t xml:space="preserve"> </w:t>
      </w:r>
      <w:r>
        <w:t xml:space="preserve">all the positives were withheld”</w:t>
      </w:r>
      <w:r>
        <w:t xml:space="preserve">. Restricted to Muğla, C is 0.579 and D is 0.586, and the C-to-D</w:t>
      </w:r>
      <w:r>
        <w:t xml:space="preserve"> </w:t>
      </w:r>
      <w:r>
        <w:t xml:space="preserve">comparison still shows nothing.</w:t>
      </w:r>
      <w:r>
        <w:t xml:space="preserve"> </w:t>
      </w:r>
      <w:r>
        <w:rPr>
          <w:b/>
          <w:bCs/>
        </w:rPr>
        <w:t xml:space="preserve">With seven scars, two of them starved, this design cannot</w:t>
      </w:r>
      <w:r>
        <w:rPr>
          <w:b/>
          <w:bCs/>
        </w:rPr>
        <w:t xml:space="preserve"> </w:t>
      </w:r>
      <w:r>
        <w:rPr>
          <w:b/>
          <w:bCs/>
        </w:rPr>
        <w:t xml:space="preserve">establish a fire-specific residual, only bound it at about 0.20.</w:t>
      </w:r>
    </w:p>
    <w:p>
      <w:pPr>
        <w:pStyle w:val="BodyText"/>
      </w:pPr>
      <w:r>
        <w:t xml:space="preserve">What this establishes is bounded rather than positive. Rows C and D both sit close to chance, so the</w:t>
      </w:r>
      <w:r>
        <w:t xml:space="preserve"> </w:t>
      </w:r>
      <w:r>
        <w:t xml:space="preserve">comparison between them has little dynamic range, and neither the fire’s identity nor the region</w:t>
      </w:r>
      <w:r>
        <w:t xml:space="preserve"> </w:t>
      </w:r>
      <w:r>
        <w:t xml:space="preserve">boundary is shown to cost anything here. What is measurable is the change of evaluation geometry</w:t>
      </w:r>
      <w:r>
        <w:t xml:space="preserve"> </w:t>
      </w:r>
      <w:r>
        <w:t xml:space="preserve">between rows A and B. Nor does it establish the</w:t>
      </w:r>
      <w:r>
        <w:t xml:space="preserve"> </w:t>
      </w:r>
      <w:r>
        <w:t xml:space="preserve">fire event as the unit, because the held-out patch is defined by the labels, so its identity cannot</w:t>
      </w:r>
      <w:r>
        <w:t xml:space="preserve"> </w:t>
      </w:r>
      <w:r>
        <w:t xml:space="preserve">be separated from its location. The within-region half-split, which does see half of the target</w:t>
      </w:r>
      <w:r>
        <w:t xml:space="preserve"> </w:t>
      </w:r>
      <w:r>
        <w:t xml:space="preserve">scar, returns 0.586 against leave-one-scar-out’s 0.546, with overlapping intervals.</w:t>
      </w:r>
    </w:p>
    <w:p>
      <w:pPr>
        <w:pStyle w:val="BodyText"/>
      </w:pPr>
      <w:r>
        <w:rPr>
          <w:b/>
          <w:bCs/>
        </w:rPr>
        <w:t xml:space="preserve">The result is robust to how the held-out patch is defined.</w:t>
      </w:r>
      <w:r>
        <w:t xml:space="preserve"> </w:t>
      </w:r>
      <w:r>
        <w:t xml:space="preserve">Sweeping the two parameters that</w:t>
      </w:r>
      <w:r>
        <w:t xml:space="preserve"> </w:t>
      </w:r>
      <w:r>
        <w:t xml:space="preserve">define it — minimum burned-component size over 25, 50, 100 and 200 cells, and connectivity over the</w:t>
      </w:r>
      <w:r>
        <w:t xml:space="preserve"> </w:t>
      </w:r>
      <w:r>
        <w:t xml:space="preserve">4- and 8-neighbourhoods — moves the row-C mean between</w:t>
      </w:r>
      <w:r>
        <w:t xml:space="preserve"> </w:t>
      </w:r>
      <w:r>
        <w:rPr>
          <w:b/>
          <w:bCs/>
        </w:rPr>
        <w:t xml:space="preserve">0.541 and 0.561</w:t>
      </w:r>
      <w:r>
        <w:t xml:space="preserve"> </w:t>
      </w:r>
      <w:r>
        <w:t xml:space="preserve">across all eight settings,</w:t>
      </w:r>
      <w:r>
        <w:t xml:space="preserve"> </w:t>
      </w:r>
      <w:r>
        <w:t xml:space="preserve">against the 0.546 of the reported configuration, which the sweep reproduces to 0.001</w:t>
      </w:r>
      <w:r>
        <w:t xml:space="preserve"> </w:t>
      </w:r>
      <w:r>
        <w:t xml:space="preserve">(</w:t>
      </w:r>
      <w:r>
        <w:rPr>
          <w:rStyle w:val="VerbatimChar"/>
        </w:rPr>
        <w:t xml:space="preserve">scar_definition_sweep.csv</w:t>
      </w:r>
      <w:r>
        <w:t xml:space="preserve">,</w:t>
      </w:r>
      <w:r>
        <w:t xml:space="preserve"> </w:t>
      </w:r>
      <w:r>
        <w:rPr>
          <w:rStyle w:val="VerbatimChar"/>
        </w:rPr>
        <w:t xml:space="preserve">paper/code/scar_definition_sweep.py</w:t>
      </w:r>
      <w:r>
        <w:t xml:space="preserve">). The number of qualifying scars</w:t>
      </w:r>
      <w:r>
        <w:t xml:space="preserve"> </w:t>
      </w:r>
      <w:r>
        <w:t xml:space="preserve">falls from nine to six as the size threshold rises, which is what moves the mean; connectivity</w:t>
      </w:r>
      <w:r>
        <w:t xml:space="preserve"> </w:t>
      </w:r>
      <w:r>
        <w:t xml:space="preserve">changes it by at most 0.001 at any threshold. The result is also flat across buffers</w:t>
      </w:r>
      <w:r>
        <w:t xml:space="preserve"> </w:t>
      </w:r>
      <w:r>
        <w:t xml:space="preserve">of 2, 5 and 10 km.</w:t>
      </w:r>
    </w:p>
    <w:p>
      <w:pPr>
        <w:pStyle w:val="BodyText"/>
      </w:pPr>
      <w:r>
        <w:rPr>
          <w:b/>
          <w:bCs/>
        </w:rPr>
        <w:t xml:space="preserve">A weaker instrument does support the anomaly result.</w:t>
      </w:r>
      <w:r>
        <w:t xml:space="preserve"> </w:t>
      </w:r>
      <w:r>
        <w:t xml:space="preserve">Table S10’s note commits this paper to a</w:t>
      </w:r>
      <w:r>
        <w:t xml:space="preserve"> </w:t>
      </w:r>
      <w:r>
        <w:t xml:space="preserve">difference interval on the pair as the sharper test. Applied under the collar, three pairs have</w:t>
      </w:r>
      <w:r>
        <w:t xml:space="preserve"> </w:t>
      </w:r>
      <w:r>
        <w:t xml:space="preserve">opposite-sided point estimates</w:t>
      </w:r>
      <w:r>
        <w:t xml:space="preserve"> </w:t>
      </w:r>
      <w:r>
        <w:rPr>
          <w:b/>
          <w:bCs/>
        </w:rPr>
        <w:t xml:space="preserve">and</w:t>
      </w:r>
      <w:r>
        <w:t xml:space="preserve"> </w:t>
      </w:r>
      <w:r>
        <w:t xml:space="preserve">a difference interval excluding zero, all on</w:t>
      </w:r>
      <w:r>
        <w:t xml:space="preserve"> </w:t>
      </w:r>
      <w:r>
        <w:rPr>
          <w:rStyle w:val="VerbatimChar"/>
        </w:rPr>
        <w:t xml:space="preserve">lst_anomaly_mean</w:t>
      </w:r>
      <w:r>
        <w:t xml:space="preserve"> </w:t>
      </w:r>
      <w:r>
        <w:t xml:space="preserve">and two of the three involving Evia (Section S1.12, Table S7). Three caveats keep</w:t>
      </w:r>
      <w:r>
        <w:t xml:space="preserve"> </w:t>
      </w:r>
      <w:r>
        <w:t xml:space="preserve">it weak: twenty-seven of ninety feature-by-pair differences clear zero against about 4.5 expected under the</w:t>
      </w:r>
      <w:r>
        <w:t xml:space="preserve"> </w:t>
      </w:r>
      <w:r>
        <w:t xml:space="preserve">null with no multiplicity correction, the nine features are effectively two to three dimensions, and</w:t>
      </w:r>
      <w:r>
        <w:t xml:space="preserve"> </w:t>
      </w:r>
      <w:r>
        <w:t xml:space="preserve">Evia’s own interval-support status turns on 0.003.</w:t>
      </w:r>
      <w:r>
        <w:t xml:space="preserve"> </w:t>
      </w:r>
      <w:r>
        <w:rPr>
          <w:b/>
          <w:bCs/>
        </w:rPr>
        <w:t xml:space="preserve">The honest statement is that two reversals meet</w:t>
      </w:r>
      <w:r>
        <w:rPr>
          <w:b/>
          <w:bCs/>
        </w:rPr>
        <w:t xml:space="preserve"> </w:t>
      </w:r>
      <w:r>
        <w:rPr>
          <w:b/>
          <w:bCs/>
        </w:rPr>
        <w:t xml:space="preserve">this paper’s strict criterion under the collar, both on elevation and both involving Manavgat, and</w:t>
      </w:r>
      <w:r>
        <w:rPr>
          <w:b/>
          <w:bCs/>
        </w:rPr>
        <w:t xml:space="preserve"> </w:t>
      </w:r>
      <w:r>
        <w:rPr>
          <w:b/>
          <w:bCs/>
        </w:rPr>
        <w:t xml:space="preserve">that the LST anomaly differs between regions on the weaker difference instrument.</w:t>
      </w:r>
      <w:r>
        <w:t xml:space="preserve"> </w:t>
      </w:r>
      <w:r>
        <w:t xml:space="preserve">Elevation under</w:t>
      </w:r>
      <w:r>
        <w:t xml:space="preserve"> </w:t>
      </w:r>
      <w:r>
        <w:t xml:space="preserve">the collar is below 0.5 in Manavgat and above it in the other four, individually supported in two.</w:t>
      </w:r>
    </w:p>
    <w:p>
      <w:pPr>
        <w:pStyle w:val="BodyText"/>
      </w:pPr>
      <w:r>
        <w:rPr>
          <w:b/>
          <w:bCs/>
        </w:rPr>
        <w:t xml:space="preserve">The sign the five regions agree on is not the one the dryness framing predicts.</w:t>
      </w:r>
      <w:r>
        <w:t xml:space="preserve"> </w:t>
      </w:r>
      <w:r>
        <w:t xml:space="preserve">In every region</w:t>
      </w:r>
      <w:r>
        <w:t xml:space="preserve"> </w:t>
      </w:r>
      <w:r>
        <w:t xml:space="preserve">a hotter pre-fire surface is associated with</w:t>
      </w:r>
      <w:r>
        <w:t xml:space="preserve"> </w:t>
      </w:r>
      <w:r>
        <w:rPr>
          <w:b/>
          <w:bCs/>
        </w:rPr>
        <w:t xml:space="preserve">less</w:t>
      </w:r>
      <w:r>
        <w:t xml:space="preserve"> </w:t>
      </w:r>
      <w:r>
        <w:t xml:space="preserve">burning, and the same holds for TVDI. It is</w:t>
      </w:r>
      <w:r>
        <w:t xml:space="preserve"> </w:t>
      </w:r>
      <w:r>
        <w:t xml:space="preserve">neither a lapse-rate artefact nor greenness acting through fuel load: on mutual adjustment the</w:t>
      </w:r>
      <w:r>
        <w:t xml:space="preserve"> </w:t>
      </w:r>
      <w:r>
        <w:t xml:space="preserve">surviving channel is LST, not NDVI. Two caveats bound it — in two regions it is a residual spatial</w:t>
      </w:r>
      <w:r>
        <w:t xml:space="preserve"> </w:t>
      </w:r>
      <w:r>
        <w:t xml:space="preserve">gradient that disappears when distance to the nearest burned cell is stratified inside the collar,</w:t>
      </w:r>
      <w:r>
        <w:t xml:space="preserve"> </w:t>
      </w:r>
      <w:r>
        <w:t xml:space="preserve">and interval support is not uniform, so</w:t>
      </w:r>
      <w:r>
        <w:t xml:space="preserve"> </w:t>
      </w:r>
      <w:r>
        <w:t xml:space="preserve">“all five agree”</w:t>
      </w:r>
      <w:r>
        <w:t xml:space="preserve"> </w:t>
      </w:r>
      <w:r>
        <w:t xml:space="preserve">is a statement about point estimates. What</w:t>
      </w:r>
      <w:r>
        <w:t xml:space="preserve"> </w:t>
      </w:r>
      <w:r>
        <w:t xml:space="preserve">we can defend is that the absolute thermal channels behave here as</w:t>
      </w:r>
      <w:r>
        <w:t xml:space="preserve"> </w:t>
      </w:r>
      <w:r>
        <w:rPr>
          <w:b/>
          <w:bCs/>
        </w:rPr>
        <w:t xml:space="preserve">static land-surface</w:t>
      </w:r>
      <w:r>
        <w:rPr>
          <w:b/>
          <w:bCs/>
        </w:rPr>
        <w:t xml:space="preserve"> </w:t>
      </w:r>
      <w:r>
        <w:rPr>
          <w:b/>
          <w:bCs/>
        </w:rPr>
        <w:t xml:space="preserve">descriptors</w:t>
      </w:r>
      <w:r>
        <w:t xml:space="preserve"> </w:t>
      </w:r>
      <w:r>
        <w:t xml:space="preserve">rather than as a dryness index, and that the two internally differenced channels carry</w:t>
      </w:r>
      <w:r>
        <w:t xml:space="preserve"> </w:t>
      </w:r>
      <w:r>
        <w:t xml:space="preserve">no consistent cross-region direction at all. Compositing depth was not tested and remains an open</w:t>
      </w:r>
      <w:r>
        <w:t xml:space="preserve"> </w:t>
      </w:r>
      <w:r>
        <w:t xml:space="preserve">alternative. Per-region values are in Section S1.11; Section 5.2 states the consequence for the</w:t>
      </w:r>
      <w:r>
        <w:t xml:space="preserve"> </w:t>
      </w:r>
      <w:r>
        <w:t xml:space="preserve">moisture-stress motivation of Section 1.2.</w:t>
      </w:r>
    </w:p>
    <w:bookmarkEnd w:id="41"/>
    <w:bookmarkStart w:id="45" w:name="s1.20-the-frame-test-elaborated"/>
    <w:p>
      <w:pPr>
        <w:pStyle w:val="Heading2"/>
      </w:pPr>
      <w:r>
        <w:t xml:space="preserve">S1.20 The frame test, elaborated</w:t>
      </w:r>
    </w:p>
    <w:p>
      <w:pPr>
        <w:pStyle w:val="FirstParagraph"/>
      </w:pPr>
      <w:r>
        <w:t xml:space="preserve">Section 4.4 states these results; the paragraphs it condensed are here. This section was aligned</w:t>
      </w:r>
      <w:r>
        <w:t xml:space="preserve"> </w:t>
      </w:r>
      <w:r>
        <w:t xml:space="preserve">with the corrected Manavgat label on 2026-09-23; its frozen-label version is kept in</w:t>
      </w:r>
      <w:r>
        <w:t xml:space="preserve"> </w:t>
      </w:r>
      <w:r>
        <w:rPr>
          <w:rStyle w:val="VerbatimChar"/>
        </w:rPr>
        <w:t xml:space="preserve">paper/superseded_passages.md</w:t>
      </w:r>
      <w:r>
        <w:t xml:space="preserve">, A(kk).</w:t>
      </w:r>
    </w:p>
    <w:p>
      <w:pPr>
        <w:pStyle w:val="BodyText"/>
      </w:pPr>
      <w:r>
        <w:rPr>
          <w:b/>
          <w:bCs/>
        </w:rPr>
        <w:t xml:space="preserve">Sources (moved from Section 4.4).</w:t>
      </w:r>
      <w:r>
        <w:t xml:space="preserve"> </w:t>
      </w:r>
      <w:r>
        <w:t xml:space="preserve">Sources are</w:t>
      </w:r>
      <w:r>
        <w:t xml:space="preserve"> </w:t>
      </w:r>
      <w:r>
        <w:rPr>
          <w:rStyle w:val="VerbatimChar"/>
        </w:rPr>
        <w:t xml:space="preserve">aoi_frame_auc_frozen_mugla.csv</w:t>
      </w:r>
      <w:r>
        <w:t xml:space="preserve"> </w:t>
      </w:r>
      <w:r>
        <w:t xml:space="preserve">and the transfer matrix</w:t>
      </w:r>
      <w:r>
        <w:t xml:space="preserve"> </w:t>
      </w:r>
      <w:r>
        <w:rPr>
          <w:rStyle w:val="VerbatimChar"/>
        </w:rPr>
        <w:t xml:space="preserve">paper/labelfix_rerun/round5/collar/aoi_frame_transfer.csv</w:t>
      </w:r>
      <w:r>
        <w:t xml:space="preserve">, which supersede the pre-correction</w:t>
      </w:r>
      <w:r>
        <w:t xml:space="preserve"> </w:t>
      </w:r>
      <w:r>
        <w:t xml:space="preserve">files for the reason given below, with</w:t>
      </w:r>
      <w:r>
        <w:t xml:space="preserve"> </w:t>
      </w:r>
      <w:r>
        <w:rPr>
          <w:rStyle w:val="VerbatimChar"/>
        </w:rPr>
        <w:t xml:space="preserve">collar_frame_bootstrap.csv</w:t>
      </w:r>
      <w:r>
        <w:t xml:space="preserve"> </w:t>
      </w:r>
      <w:r>
        <w:t xml:space="preserve">and</w:t>
      </w:r>
      <w:r>
        <w:t xml:space="preserve"> </w:t>
      </w:r>
      <w:r>
        <w:rPr>
          <w:rStyle w:val="VerbatimChar"/>
        </w:rPr>
        <w:t xml:space="preserve">diagnostics_collar_frame.csv</w:t>
      </w:r>
      <w:r>
        <w:t xml:space="preserve">. Code is under</w:t>
      </w:r>
      <w:r>
        <w:t xml:space="preserve"> </w:t>
      </w:r>
      <w:r>
        <w:rPr>
          <w:rStyle w:val="VerbatimChar"/>
        </w:rPr>
        <w:t xml:space="preserve">paper/code/</w:t>
      </w:r>
      <w:r>
        <w:t xml:space="preserve">.</w:t>
      </w:r>
    </w:p>
    <w:p>
      <w:pPr>
        <w:pStyle w:val="BodyText"/>
      </w:pPr>
      <w:r>
        <w:rPr>
          <w:b/>
          <w:bCs/>
        </w:rPr>
        <w:t xml:space="preserve">The five areas of interest are not comparable frames.</w:t>
      </w:r>
      <w:r>
        <w:t xml:space="preserve"> </w:t>
      </w:r>
      <w:r>
        <w:t xml:space="preserve">Each is a rectangle drawn around a fire,</w:t>
      </w:r>
      <w:r>
        <w:t xml:space="preserve"> </w:t>
      </w:r>
      <w:r>
        <w:t xml:space="preserve">and they differ by an order of magnitude in how much unburnt far field they enclose: the share of</w:t>
      </w:r>
      <w:r>
        <w:t xml:space="preserve"> </w:t>
      </w:r>
      <w:r>
        <w:t xml:space="preserve">modelled cells beyond 10 km of any burned cell runs from</w:t>
      </w:r>
      <w:r>
        <w:t xml:space="preserve"> </w:t>
      </w:r>
      <w:r>
        <w:rPr>
          <w:b/>
          <w:bCs/>
        </w:rPr>
        <w:t xml:space="preserve">2.1 %</w:t>
      </w:r>
      <w:r>
        <w:t xml:space="preserve"> </w:t>
      </w:r>
      <w:r>
        <w:t xml:space="preserve">in Montiferru to</w:t>
      </w:r>
      <w:r>
        <w:t xml:space="preserve"> </w:t>
      </w:r>
      <w:r>
        <w:rPr>
          <w:b/>
          <w:bCs/>
        </w:rPr>
        <w:t xml:space="preserve">63.1 %</w:t>
      </w:r>
      <w:r>
        <w:t xml:space="preserve"> </w:t>
      </w:r>
      <w:r>
        <w:t xml:space="preserve">in</w:t>
      </w:r>
      <w:r>
        <w:t xml:space="preserve"> </w:t>
      </w:r>
      <w:r>
        <w:t xml:space="preserve">Bejís (Table S13). That far field is not a neutral addition. In Manavgat the median</w:t>
      </w:r>
      <w:r>
        <w:t xml:space="preserve"> </w:t>
      </w:r>
      <w:r>
        <w:t xml:space="preserve">elevation of modelled cells rises from 330 m within 5 km of the fire to 1,273 m at 20 to 50 km,</w:t>
      </w:r>
      <w:r>
        <w:t xml:space="preserve"> </w:t>
      </w:r>
      <w:r>
        <w:t xml:space="preserve">against 287 m for the burned cells themselves.</w:t>
      </w:r>
    </w:p>
    <w:bookmarkStart w:id="42" w:name="X53feb8d5eaa891ef7d39034c65093ca7edb2f67"/>
    <w:p>
      <w:pPr>
        <w:pStyle w:val="Heading3"/>
      </w:pPr>
      <w:r>
        <w:t xml:space="preserve">S1.20.1 Under an equalised frame four regions agree, and Manavgat does not</w:t>
      </w:r>
    </w:p>
    <w:p>
      <w:pPr>
        <w:pStyle w:val="FirstParagraph"/>
      </w:pPr>
      <w:r>
        <w:rPr>
          <w:b/>
          <w:bCs/>
        </w:rPr>
        <w:t xml:space="preserve">Under an equalised frame four regions agree, and Manavgat does not.</w:t>
      </w:r>
      <w:r>
        <w:t xml:space="preserve"> </w:t>
      </w:r>
      <w:r>
        <w:t xml:space="preserve">Restricting every region to</w:t>
      </w:r>
      <w:r>
        <w:t xml:space="preserve"> </w:t>
      </w:r>
      <w:r>
        <w:t xml:space="preserve">cells within 10 km of any burned cell removes only far-field negatives. Every burned cell is at</w:t>
      </w:r>
      <w:r>
        <w:t xml:space="preserve"> </w:t>
      </w:r>
      <w:r>
        <w:t xml:space="preserve">distance zero and is retained at any radius, so the protection against a flattering radius is the</w:t>
      </w:r>
      <w:r>
        <w:t xml:space="preserve"> </w:t>
      </w:r>
      <w:r>
        <w:t xml:space="preserve">sweep, not the retention of positives. On that frame the other four regions agree in sign on</w:t>
      </w:r>
      <w:r>
        <w:t xml:space="preserve"> </w:t>
      </w:r>
      <w:r>
        <w:t xml:space="preserve">elevation, LST and TVDI, and Manavgat sits on the other side of 0.5 on all three. Its elevation</w:t>
      </w:r>
      <w:r>
        <w:t xml:space="preserve"> </w:t>
      </w:r>
      <w:r>
        <w:t xml:space="preserve">reversal survives with support: 0.376 [0.300, 0.465] against Muğla’s 0.606 [0.525, 0.685] and</w:t>
      </w:r>
      <w:r>
        <w:t xml:space="preserve"> </w:t>
      </w:r>
      <w:r>
        <w:t xml:space="preserve">Evia’s 0.648 [0.550, 0.740]. Under this paper’s own criterion from Section 3.10,</w:t>
      </w:r>
      <w:r>
        <w:t xml:space="preserve"> </w:t>
      </w:r>
      <w:r>
        <w:rPr>
          <w:b/>
          <w:bCs/>
        </w:rPr>
        <w:t xml:space="preserve">two between-region</w:t>
      </w:r>
      <w:r>
        <w:rPr>
          <w:b/>
          <w:bCs/>
        </w:rPr>
        <w:t xml:space="preserve"> </w:t>
      </w:r>
      <w:r>
        <w:rPr>
          <w:b/>
          <w:bCs/>
        </w:rPr>
        <w:t xml:space="preserve">reversals therefore remain bootstrap-supported under the collar</w:t>
      </w:r>
      <w:r>
        <w:t xml:space="preserve">, both on elevation and both</w:t>
      </w:r>
      <w:r>
        <w:t xml:space="preserve"> </w:t>
      </w:r>
      <w:r>
        <w:t xml:space="preserve">involving Manavgat. Its thermal channels move toward 0.5 without reversing with support (current LST</w:t>
      </w:r>
      <w:r>
        <w:t xml:space="preserve"> </w:t>
      </w:r>
      <w:r>
        <w:t xml:space="preserve">0.522 [0.451, 0.591]). At the point estimate, elevation, the three LST channels, TVDI and the two</w:t>
      </w:r>
      <w:r>
        <w:t xml:space="preserve"> </w:t>
      </w:r>
      <w:r>
        <w:t xml:space="preserve">internally differenced channels therefore all straddle 0.5. The weaker difference instrument that</w:t>
      </w:r>
      <w:r>
        <w:t xml:space="preserve"> </w:t>
      </w:r>
      <w:r>
        <w:t xml:space="preserve">Table S10’s note commits this paper to supports three opposite-sided pairs on</w:t>
      </w:r>
      <w:r>
        <w:t xml:space="preserve"> </w:t>
      </w:r>
      <w:r>
        <w:rPr>
          <w:rStyle w:val="VerbatimChar"/>
        </w:rPr>
        <w:t xml:space="preserve">lst_anomaly_mean</w:t>
      </w:r>
      <w:r>
        <w:t xml:space="preserve">, with</w:t>
      </w:r>
      <w:r>
        <w:t xml:space="preserve"> </w:t>
      </w:r>
      <w:r>
        <w:t xml:space="preserve">the caveats that keep it weak.</w:t>
      </w:r>
      <w:r>
        <w:t xml:space="preserve"> </w:t>
      </w:r>
      <w:r>
        <w:rPr>
          <w:b/>
          <w:bCs/>
        </w:rPr>
        <w:t xml:space="preserve">The honest statement is that the collar removes every elevation</w:t>
      </w:r>
      <w:r>
        <w:rPr>
          <w:b/>
          <w:bCs/>
        </w:rPr>
        <w:t xml:space="preserve"> </w:t>
      </w:r>
      <w:r>
        <w:rPr>
          <w:b/>
          <w:bCs/>
        </w:rPr>
        <w:t xml:space="preserve">reversal except Manavgat’s, which it leaves supported.</w:t>
      </w:r>
      <w:r>
        <w:t xml:space="preserve"> </w:t>
      </w:r>
      <w:r>
        <w:t xml:space="preserve">Two scope limits belong with it, both in</w:t>
      </w:r>
      <w:r>
        <w:t xml:space="preserve"> </w:t>
      </w:r>
      <w:r>
        <w:t xml:space="preserve">Section S1.12 and S1.20. First, the interval criterion was evaluated at the 10 km collar only, though</w:t>
      </w:r>
      <w:r>
        <w:t xml:space="preserve"> </w:t>
      </w:r>
      <w:r>
        <w:t xml:space="preserve">at the point estimate the 5 and 10 km radii agree. Second, the collar reduces two regions’ cell</w:t>
      </w:r>
      <w:r>
        <w:t xml:space="preserve"> </w:t>
      </w:r>
      <w:r>
        <w:t xml:space="preserve">counts substantially, so part of any loss of support is a loss of power. Features supported in both</w:t>
      </w:r>
      <w:r>
        <w:t xml:space="preserve"> </w:t>
      </w:r>
      <w:r>
        <w:t xml:space="preserve">regions of a direction average 2.3 per direction on the full frame and 2.2 on the collar.</w:t>
      </w:r>
    </w:p>
    <w:p>
      <w:pPr>
        <w:pStyle w:val="BodyText"/>
      </w:pPr>
      <w:r>
        <w:rPr>
          <w:b/>
          <w:bCs/>
        </w:rPr>
        <w:t xml:space="preserve">A weaker instrument.</w:t>
      </w:r>
      <w:r>
        <w:t xml:space="preserve"> </w:t>
      </w:r>
      <w:r>
        <w:t xml:space="preserve">Table S10’s note commits this paper to a difference interval on the pair as</w:t>
      </w:r>
      <w:r>
        <w:t xml:space="preserve"> </w:t>
      </w:r>
      <w:r>
        <w:t xml:space="preserve">the sharper test. Applied under the collar, three pairs have opposite-sided point estimates</w:t>
      </w:r>
      <w:r>
        <w:t xml:space="preserve"> </w:t>
      </w:r>
      <w:r>
        <w:rPr>
          <w:b/>
          <w:bCs/>
        </w:rPr>
        <w:t xml:space="preserve">and</w:t>
      </w:r>
      <w:r>
        <w:t xml:space="preserve"> </w:t>
      </w:r>
      <w:r>
        <w:t xml:space="preserve">a</w:t>
      </w:r>
      <w:r>
        <w:t xml:space="preserve"> </w:t>
      </w:r>
      <w:r>
        <w:t xml:space="preserve">difference interval excluding zero, all on</w:t>
      </w:r>
      <w:r>
        <w:t xml:space="preserve"> </w:t>
      </w:r>
      <w:r>
        <w:rPr>
          <w:rStyle w:val="VerbatimChar"/>
        </w:rPr>
        <w:t xml:space="preserve">lst_anomaly_mean</w:t>
      </w:r>
      <w:r>
        <w:t xml:space="preserve"> </w:t>
      </w:r>
      <w:r>
        <w:t xml:space="preserve">and two of the three involving Evia</w:t>
      </w:r>
      <w:r>
        <w:t xml:space="preserve"> </w:t>
      </w:r>
      <w:r>
        <w:t xml:space="preserve">(Section S1.12, Table S7). Three caveats keep it weak. Twenty-seven of ninety feature-by-pair</w:t>
      </w:r>
      <w:r>
        <w:t xml:space="preserve"> </w:t>
      </w:r>
      <w:r>
        <w:t xml:space="preserve">differences clear zero against about 4.5 expected under the null, with no multiplicity correction;</w:t>
      </w:r>
      <w:r>
        <w:t xml:space="preserve"> </w:t>
      </w:r>
      <w:r>
        <w:t xml:space="preserve">the nine features are effectively two to three dimensions; and Evia’s support status turns on</w:t>
      </w:r>
      <w:r>
        <w:t xml:space="preserve"> </w:t>
      </w:r>
      <w:r>
        <w:t xml:space="preserve">0.003, its interval being 0.584 [0.497, 0.669]. Manavgat against Evia, 0.487 against 0.584, no</w:t>
      </w:r>
      <w:r>
        <w:t xml:space="preserve"> </w:t>
      </w:r>
      <w:r>
        <w:t xml:space="preserve">longer clears zero on the corrected label (</w:t>
      </w:r>
      <w:r>
        <w:rPr>
          <w:rStyle w:val="VerbatimChar"/>
        </w:rPr>
        <w:t xml:space="preserve">paper/labelfix_rerun/code/matched_frame_gap.csv</w:t>
      </w:r>
      <w:r>
        <w:t xml:space="preserve">).</w:t>
      </w:r>
    </w:p>
    <w:p>
      <w:pPr>
        <w:pStyle w:val="BodyText"/>
      </w:pPr>
      <w:r>
        <w:rPr>
          <w:b/>
          <w:bCs/>
        </w:rPr>
        <w:t xml:space="preserve">The sign most regions share is not the one the dryness framing predicts.</w:t>
      </w:r>
      <w:r>
        <w:t xml:space="preserve"> </w:t>
      </w:r>
      <w:r>
        <w:t xml:space="preserve">Under the collar,</w:t>
      </w:r>
      <w:r>
        <w:t xml:space="preserve"> </w:t>
      </w:r>
      <w:r>
        <w:t xml:space="preserve">current LST lies below 0.5 in four of five regions (Bejís 0.405, Muğla 0.332, Evia 0.286,</w:t>
      </w:r>
      <w:r>
        <w:t xml:space="preserve"> </w:t>
      </w:r>
      <w:r>
        <w:t xml:space="preserve">Montiferru 0.376), and Manavgat is the exception at 0.522, 0.665 on the full frame. Stratified by</w:t>
      </w:r>
      <w:r>
        <w:t xml:space="preserve"> </w:t>
      </w:r>
      <w:r>
        <w:t xml:space="preserve">distance to the nearest burned cell, Manavgat’s value falls to 0.454 and Montiferru’s is 0.485, near</w:t>
      </w:r>
      <w:r>
        <w:t xml:space="preserve"> </w:t>
      </w:r>
      <w:r>
        <w:t xml:space="preserve">null; the other three lie between 0.319 and 0.367 (</w:t>
      </w:r>
      <w:r>
        <w:rPr>
          <w:rStyle w:val="VerbatimChar"/>
        </w:rPr>
        <w:t xml:space="preserve">matched_frame_gap.csv</w:t>
      </w:r>
      <w:r>
        <w:t xml:space="preserve">, reciprocal rows). The</w:t>
      </w:r>
      <w:r>
        <w:t xml:space="preserve"> </w:t>
      </w:r>
      <w:r>
        <w:t xml:space="preserve">absolute thermal channels therefore behave here as static land-surface descriptors rather than as a</w:t>
      </w:r>
      <w:r>
        <w:t xml:space="preserve"> </w:t>
      </w:r>
      <w:r>
        <w:t xml:space="preserve">dryness index, and in Manavgat the thermal sign cannot be separated from its terrain gradient.</w:t>
      </w:r>
      <w:r>
        <w:t xml:space="preserve"> </w:t>
      </w:r>
      <w:r>
        <w:t xml:space="preserve">Compositing depth was not tested and remains an open alternative. Per-region values and the mutual</w:t>
      </w:r>
      <w:r>
        <w:t xml:space="preserve"> </w:t>
      </w:r>
      <w:r>
        <w:t xml:space="preserve">adjustment are in Section S1.11.</w:t>
      </w:r>
    </w:p>
    <w:p>
      <w:pPr>
        <w:pStyle w:val="BodyText"/>
      </w:pPr>
      <w:r>
        <w:rPr>
          <w:b/>
          <w:bCs/>
        </w:rPr>
        <w:t xml:space="preserve">The same test bears on the diagnostics of Section S4.</w:t>
      </w:r>
      <w:r>
        <w:t xml:space="preserve"> </w:t>
      </w:r>
      <w:r>
        <w:t xml:space="preserve">The sign-agreement fraction over</w:t>
      </w:r>
      <w:r>
        <w:t xml:space="preserve"> </w:t>
      </w:r>
      <w:r>
        <w:t xml:space="preserve">interval-supported features is built from exactly these signed AUCs, and was correlated against</w:t>
      </w:r>
      <w:r>
        <w:t xml:space="preserve"> </w:t>
      </w:r>
      <w:r>
        <w:t xml:space="preserve">transfer measured on the same unequal frames. Under the corrected label it no longer orders transfer</w:t>
      </w:r>
      <w:r>
        <w:t xml:space="preserve"> </w:t>
      </w:r>
      <w:r>
        <w:t xml:space="preserve">on the frames as drawn (ρ = +0.52 [−0.27, +0.87]). Recomputed under the collar it takes the values 0</w:t>
      </w:r>
      <w:r>
        <w:t xml:space="preserve"> </w:t>
      </w:r>
      <w:r>
        <w:t xml:space="preserve">and 1 across sixteen defined directions and correlates with collar transfer at ρ = +0.38 (p = 0.15);</w:t>
      </w:r>
      <w:r>
        <w:t xml:space="preserve"> </w:t>
      </w:r>
      <w:r>
        <w:t xml:space="preserve">its cosine variant, defined in the same sixteen, correlates at +0.40 (p = 0.12) (moved from Section</w:t>
      </w:r>
      <w:r>
        <w:t xml:space="preserve"> </w:t>
      </w:r>
      <w:r>
        <w:t xml:space="preserve">4.4;</w:t>
      </w:r>
      <w:r>
        <w:t xml:space="preserve"> </w:t>
      </w:r>
      <w:r>
        <w:rPr>
          <w:rStyle w:val="VerbatimChar"/>
        </w:rPr>
        <w:t xml:space="preserve">diagnostics_collar_frame.csv</w:t>
      </w:r>
      <w:r>
        <w:t xml:space="preserve">,</w:t>
      </w:r>
      <w:r>
        <w:t xml:space="preserve"> </w:t>
      </w:r>
      <w:r>
        <w:rPr>
          <w:rStyle w:val="VerbatimChar"/>
        </w:rPr>
        <w:t xml:space="preserve">collar_increment_and_cosine.csv</w:t>
      </w:r>
      <w:r>
        <w:t xml:space="preserve">, official outputs in</w:t>
      </w:r>
      <w:r>
        <w:t xml:space="preserve"> </w:t>
      </w:r>
      <w:r>
        <w:rPr>
          <w:rStyle w:val="VerbatimChar"/>
        </w:rPr>
        <w:t xml:space="preserve">paper/labelfix_rerun/round6/</w:t>
      </w:r>
      <w:r>
        <w:t xml:space="preserve">). Features supported in both regions of a direction average 2.3 per</w:t>
      </w:r>
      <w:r>
        <w:t xml:space="preserve"> </w:t>
      </w:r>
      <w:r>
        <w:t xml:space="preserve">direction on the full frame and 2.2 on the collar. Only these diagnostics were recomputed on the</w:t>
      </w:r>
      <w:r>
        <w:t xml:space="preserve"> </w:t>
      </w:r>
      <w:r>
        <w:t xml:space="preserve">collar, so the other eighteen are unknown against the equalised transfer vector rather than shown</w:t>
      </w:r>
      <w:r>
        <w:t xml:space="preserve"> </w:t>
      </w:r>
      <w:r>
        <w:t xml:space="preserve">to be null.</w:t>
      </w:r>
      <w:r>
        <w:t xml:space="preserve"> </w:t>
      </w:r>
      <w:r>
        <w:rPr>
          <w:b/>
          <w:bCs/>
        </w:rPr>
        <w:t xml:space="preserve">No diagnostic tested here has been shown to order transfer</w:t>
      </w:r>
      <w:r>
        <w:t xml:space="preserve">, on the frames as drawn</w:t>
      </w:r>
      <w:r>
        <w:t xml:space="preserve"> </w:t>
      </w:r>
      <w:r>
        <w:t xml:space="preserve">or on the collar. Section S4 reports its numbers as computed under the original analysis protocol.</w:t>
      </w:r>
    </w:p>
    <w:bookmarkEnd w:id="42"/>
    <w:bookmarkStart w:id="43" w:name="X5bdbc707bb4c61dacd77be08d482e15a0af97eb"/>
    <w:p>
      <w:pPr>
        <w:pStyle w:val="Heading3"/>
      </w:pPr>
      <w:r>
        <w:t xml:space="preserve">S1.20.2 Two further arms move with the frame</w:t>
      </w:r>
    </w:p>
    <w:p>
      <w:pPr>
        <w:pStyle w:val="FirstParagraph"/>
      </w:pPr>
      <w:r>
        <w:rPr>
          <w:b/>
          <w:bCs/>
        </w:rPr>
        <w:t xml:space="preserve">Two further arms move with the frame.</w:t>
      </w:r>
      <w:r>
        <w:t xml:space="preserve"> </w:t>
      </w:r>
      <w:r>
        <w:t xml:space="preserve">The same-geography arm is the most extreme case in the</w:t>
      </w:r>
      <w:r>
        <w:t xml:space="preserve"> </w:t>
      </w:r>
      <w:r>
        <w:t xml:space="preserve">cohort. A fixed study area is not a fixed evaluation frame, and its 2022 arm has 93.2 % of cells</w:t>
      </w:r>
      <w:r>
        <w:t xml:space="preserve"> </w:t>
      </w:r>
      <w:r>
        <w:t xml:space="preserve">beyond 10 km of any burned cell, against 55.3 % for 2021. Under the collar its two arms therefore</w:t>
      </w:r>
      <w:r>
        <w:t xml:space="preserve"> </w:t>
      </w:r>
      <w:r>
        <w:t xml:space="preserve">fall on the same side of 0.5 on elevation, the feature whose reversal we had reported for Muğla. The</w:t>
      </w:r>
      <w:r>
        <w:t xml:space="preserve"> </w:t>
      </w:r>
      <w:r>
        <w:t xml:space="preserve">claim is scoped. That arm is reconstructed from the 2021 predictors, which are valid for the</w:t>
      </w:r>
      <w:r>
        <w:t xml:space="preserve"> </w:t>
      </w:r>
      <w:r>
        <w:t xml:space="preserve">year-invariant channels and</w:t>
      </w:r>
      <w:r>
        <w:t xml:space="preserve"> </w:t>
      </w:r>
      <w:r>
        <w:rPr>
          <w:b/>
          <w:bCs/>
        </w:rPr>
        <w:t xml:space="preserve">not</w:t>
      </w:r>
      <w:r>
        <w:t xml:space="preserve"> </w:t>
      </w:r>
      <w:r>
        <w:t xml:space="preserve">the seasonal ones.</w:t>
      </w:r>
      <w:r>
        <w:t xml:space="preserve"> </w:t>
      </w:r>
      <w:r>
        <w:rPr>
          <w:b/>
          <w:bCs/>
        </w:rPr>
        <w:t xml:space="preserve">Only elevation and slope therefore carry a</w:t>
      </w:r>
      <w:r>
        <w:rPr>
          <w:b/>
          <w:bCs/>
        </w:rPr>
        <w:t xml:space="preserve"> </w:t>
      </w:r>
      <w:r>
        <w:rPr>
          <w:b/>
          <w:bCs/>
        </w:rPr>
        <w:t xml:space="preserve">verdict, on both the Muğla reversal is removed, and on the thermal channels the arm is silent.</w:t>
      </w:r>
      <w:r>
        <w:t xml:space="preserve"> </w:t>
      </w:r>
      <w:r>
        <w:t xml:space="preserve">It</w:t>
      </w:r>
      <w:r>
        <w:t xml:space="preserve"> </w:t>
      </w:r>
      <w:r>
        <w:t xml:space="preserve">rests on eleven positive-carrying blocks against a floor of sixteen (Sections S1.13, S1.15). The</w:t>
      </w:r>
      <w:r>
        <w:t xml:space="preserve"> </w:t>
      </w:r>
      <w:r>
        <w:t xml:space="preserve">within-region increment, by contrast,</w:t>
      </w:r>
      <w:r>
        <w:t xml:space="preserve"> </w:t>
      </w:r>
      <w:r>
        <w:rPr>
          <w:b/>
          <w:bCs/>
        </w:rPr>
        <w:t xml:space="preserve">survives</w:t>
      </w:r>
      <w:r>
        <w:t xml:space="preserve">, positive in all five regions at a mean of +0.083</w:t>
      </w:r>
      <w:r>
        <w:t xml:space="preserve"> </w:t>
      </w:r>
      <w:r>
        <w:t xml:space="preserve">against +0.087 as drawn.</w:t>
      </w:r>
    </w:p>
    <w:p>
      <w:pPr>
        <w:pStyle w:val="BodyText"/>
      </w:pPr>
      <w:r>
        <w:t xml:space="preserve">At the 5 km collar the within-region increment halves but stays positive in all five regions, at a</w:t>
      </w:r>
      <w:r>
        <w:t xml:space="preserve"> </w:t>
      </w:r>
      <w:r>
        <w:t xml:space="preserve">mean of +0.042 (Manavgat +0.035). Per-region values are in</w:t>
      </w:r>
      <w:r>
        <w:t xml:space="preserve"> </w:t>
      </w:r>
      <w:r>
        <w:rPr>
          <w:rStyle w:val="VerbatimChar"/>
        </w:rPr>
        <w:t xml:space="preserve">collar_increment_and_cosine.csv</w:t>
      </w:r>
      <w:r>
        <w:t xml:space="preserve">.</w:t>
      </w:r>
    </w:p>
    <w:p>
      <w:pPr>
        <w:pStyle w:val="BodyText"/>
      </w:pPr>
      <w:r>
        <w:rPr>
          <w:b/>
          <w:bCs/>
        </w:rPr>
        <w:t xml:space="preserve">The data-provenance correction.</w:t>
      </w:r>
      <w:r>
        <w:t xml:space="preserve"> </w:t>
      </w:r>
      <w:r>
        <w:t xml:space="preserve">A quality-screening rebuild had overwritten two regions’ 500 m</w:t>
      </w:r>
      <w:r>
        <w:t xml:space="preserve"> </w:t>
      </w:r>
      <w:r>
        <w:t xml:space="preserve">modelling datasets at the canonical path, Manavgat’s and Muğla’s, after the frozen tables were</w:t>
      </w:r>
      <w:r>
        <w:t xml:space="preserve"> </w:t>
      </w:r>
      <w:r>
        <w:t xml:space="preserve">computed. Each replacement differs from its frozen copy in</w:t>
      </w:r>
      <w:r>
        <w:t xml:space="preserve"> </w:t>
      </w:r>
      <w:r>
        <w:rPr>
          <w:rStyle w:val="VerbatimChar"/>
        </w:rPr>
        <w:t xml:space="preserve">downscaled_lst_mean</w:t>
      </w:r>
      <w:r>
        <w:t xml:space="preserve"> </w:t>
      </w:r>
      <w:r>
        <w:t xml:space="preserve">and</w:t>
      </w:r>
      <w:r>
        <w:t xml:space="preserve"> </w:t>
      </w:r>
      <w:r>
        <w:rPr>
          <w:rStyle w:val="VerbatimChar"/>
        </w:rPr>
        <w:t xml:space="preserve">fused_lst_mean</w:t>
      </w:r>
      <w:r>
        <w:t xml:space="preserve">. Which file is canonical is not a matter of inference: the pipeline records a</w:t>
      </w:r>
      <w:r>
        <w:t xml:space="preserve"> </w:t>
      </w:r>
      <w:r>
        <w:t xml:space="preserve">SHA-256 for each region’s modelling dataset, and that hash identifies the frozen copy. For Muğla the</w:t>
      </w:r>
      <w:r>
        <w:t xml:space="preserve"> </w:t>
      </w:r>
      <w:r>
        <w:t xml:space="preserve">difference is the data and not the fitting, since both files give a within-region baseline of 0.6980</w:t>
      </w:r>
      <w:r>
        <w:t xml:space="preserve"> </w:t>
      </w:r>
      <w:r>
        <w:t xml:space="preserve">at 10-cell blocking while the thermal arm gives 0.7834 against the frozen 0.7773, which is Table 1’s</w:t>
      </w:r>
      <w:r>
        <w:t xml:space="preserve"> </w:t>
      </w:r>
      <w:r>
        <w:t xml:space="preserve">value. Every arm of Section 4.4 now reads each region through</w:t>
      </w:r>
      <w:r>
        <w:t xml:space="preserve"> </w:t>
      </w:r>
      <w:r>
        <w:rPr>
          <w:rStyle w:val="VerbatimChar"/>
        </w:rPr>
        <w:t xml:space="preserve">paper/code/_canonical.py</w:t>
      </w:r>
      <w:r>
        <w:t xml:space="preserve">, which</w:t>
      </w:r>
      <w:r>
        <w:t xml:space="preserve"> </w:t>
      </w:r>
      <w:r>
        <w:t xml:space="preserve">verifies the recorded hash on load, and reads Manavgat from the corrected table (Section 3.2). That table is the official re-freeze</w:t>
      </w:r>
      <w:r>
        <w:t xml:space="preserve"> </w:t>
      </w:r>
      <w:r>
        <w:t xml:space="preserve">(SHA-256</w:t>
      </w:r>
      <w:r>
        <w:t xml:space="preserve"> </w:t>
      </w:r>
      <w:r>
        <w:rPr>
          <w:rStyle w:val="VerbatimChar"/>
        </w:rPr>
        <w:t xml:space="preserve">5a5e876c…</w:t>
      </w:r>
      <w:r>
        <w:t xml:space="preserve">), the only Manavgat file in the repository. The original-label table</w:t>
      </w:r>
      <w:r>
        <w:t xml:space="preserve"> </w:t>
      </w:r>
      <w:r>
        <w:t xml:space="preserve">(SHA-256</w:t>
      </w:r>
      <w:r>
        <w:t xml:space="preserve"> </w:t>
      </w:r>
      <w:r>
        <w:rPr>
          <w:rStyle w:val="VerbatimChar"/>
        </w:rPr>
        <w:t xml:space="preserve">054a1961…</w:t>
      </w:r>
      <w:r>
        <w:t xml:space="preserve">), built on the burned-area label exported on 8 July 2026, is not in the</w:t>
      </w:r>
      <w:r>
        <w:t xml:space="preserve"> </w:t>
      </w:r>
      <w:r>
        <w:t xml:space="preserve">repository; the pipeline regenerates it. An</w:t>
      </w:r>
      <w:r>
        <w:t xml:space="preserve"> </w:t>
      </w:r>
      <w:r>
        <w:t xml:space="preserve">earlier version of this paragraph sized the correction after re-reading Muğla alone, and stated that</w:t>
      </w:r>
      <w:r>
        <w:t xml:space="preserve"> </w:t>
      </w:r>
      <w:r>
        <w:t xml:space="preserve">Manavgat’s replacement agreed with the published file. The second statement was wrong, so that size</w:t>
      </w:r>
      <w:r>
        <w:t xml:space="preserve"> </w:t>
      </w:r>
      <w:r>
        <w:t xml:space="preserve">estimate is withdrawn rather than restated (A(kk) in</w:t>
      </w:r>
      <w:r>
        <w:t xml:space="preserve"> </w:t>
      </w:r>
      <w:r>
        <w:rPr>
          <w:rStyle w:val="VerbatimChar"/>
        </w:rPr>
        <w:t xml:space="preserve">paper/superseded_passages.md</w:t>
      </w:r>
      <w:r>
        <w:t xml:space="preserve">). The round-5</w:t>
      </w:r>
      <w:r>
        <w:t xml:space="preserve"> </w:t>
      </w:r>
      <w:r>
        <w:t xml:space="preserve">provenance is in</w:t>
      </w:r>
      <w:r>
        <w:t xml:space="preserve"> </w:t>
      </w:r>
      <w:r>
        <w:rPr>
          <w:rStyle w:val="VerbatimChar"/>
        </w:rPr>
        <w:t xml:space="preserve">paper/labelfix_rerun/round5/collar/PROVENANCE.md</w:t>
      </w:r>
      <w:r>
        <w:t xml:space="preserve">.</w:t>
      </w:r>
    </w:p>
    <w:bookmarkEnd w:id="43"/>
    <w:bookmarkStart w:id="44" w:name="Xe33d5ff0f53142c31038156800bcb0a67d9cc7e"/>
    <w:p>
      <w:pPr>
        <w:pStyle w:val="Heading3"/>
      </w:pPr>
      <w:r>
        <w:t xml:space="preserve">S1.20.3 The transfer matrix moves as well</w:t>
      </w:r>
    </w:p>
    <w:p>
      <w:pPr>
        <w:pStyle w:val="FirstParagraph"/>
      </w:pPr>
      <w:r>
        <w:rPr>
          <w:b/>
          <w:bCs/>
        </w:rPr>
        <w:t xml:space="preserve">Table S8. Cross-region transfer under equalised evaluation frames.</w:t>
      </w:r>
      <w:r>
        <w:t xml:space="preserve"> </w:t>
      </w:r>
      <w:r>
        <w:t xml:space="preserve">Primary natural-vegetation</w:t>
      </w:r>
      <w:r>
        <w:t xml:space="preserve"> </w:t>
      </w:r>
      <w:r>
        <w:t xml:space="preserve">population, thermal model, twenty ordered directions per row. Above/below chance are point counts.</w:t>
      </w:r>
      <w:r>
        <w:t xml:space="preserve"> </w:t>
      </w:r>
      <w:r>
        <w:t xml:space="preserve">The supported counts use a 10-cell (≈5 km) spatial-block bootstrap on the target, 1000 replicates,</w:t>
      </w:r>
      <w:r>
        <w:t xml:space="preserve"> </w:t>
      </w:r>
      <w:r>
        <w:t xml:space="preserve">seed 42.</w:t>
      </w:r>
      <w:r>
        <w:t xml:space="preserve"> </w:t>
      </w:r>
      <w:r>
        <w:rPr>
          <w:b/>
          <w:bCs/>
        </w:rPr>
        <w:t xml:space="preserve">Table S16 reports the same matrix under 2-cell (≈1 km) blocking</w:t>
      </w:r>
      <w:r>
        <w:t xml:space="preserve">, which is why its</w:t>
      </w:r>
      <w:r>
        <w:t xml:space="preserve"> </w:t>
      </w:r>
      <w:r>
        <w:t xml:space="preserve">supported counts are the larger 11 and 7 (Section 4.5). Per-direction bounds are in</w:t>
      </w:r>
      <w:r>
        <w:t xml:space="preserve"> </w:t>
      </w:r>
      <w:r>
        <w:rPr>
          <w:rStyle w:val="VerbatimChar"/>
        </w:rPr>
        <w:t xml:space="preserve">paper/labelfix_rerun/round5/collar/aoi_frame_transfer.csv</w:t>
      </w:r>
      <w:r>
        <w:t xml:space="preserve">.</w:t>
      </w:r>
    </w:p>
    <w:tbl>
      <w:tblPr>
        <w:tblStyle w:val="Table"/>
        <w:tblW w:type="auto" w:w="0"/>
        <w:tblLook w:firstRow="1" w:lastRow="0" w:firstColumn="0" w:lastColumn="0" w:noHBand="0" w:noVBand="0" w:val="0020"/>
      </w:tblPr>
      <w:tblGrid>
        <w:gridCol w:w="989"/>
        <w:gridCol w:w="1319"/>
        <w:gridCol w:w="1237"/>
        <w:gridCol w:w="989"/>
        <w:gridCol w:w="989"/>
        <w:gridCol w:w="1896"/>
        <w:gridCol w:w="1649"/>
      </w:tblGrid>
      <w:tr>
        <w:trPr>
          <w:tblHeader w:val="on"/>
        </w:trPr>
        <w:tc>
          <w:tcPr>
            <w:tcW w:type="dxa" w:w="989"/>
          </w:tcPr>
          <w:p>
            <w:pPr>
              <w:pStyle w:val="Compact"/>
            </w:pPr>
            <w:r>
              <w:t xml:space="preserve">Source frame</w:t>
            </w:r>
          </w:p>
        </w:tc>
        <w:tc>
          <w:tcPr>
            <w:tcW w:type="dxa" w:w="1319"/>
          </w:tcPr>
          <w:p>
            <w:pPr>
              <w:pStyle w:val="Compact"/>
            </w:pPr>
            <w:r>
              <w:t xml:space="preserve">Target frame</w:t>
            </w:r>
          </w:p>
        </w:tc>
        <w:tc>
          <w:tcPr>
            <w:tcW w:type="dxa" w:w="1237"/>
          </w:tcPr>
          <w:p>
            <w:pPr>
              <w:pStyle w:val="Compact"/>
              <w:jc w:val="right"/>
            </w:pPr>
            <w:r>
              <w:t xml:space="preserve">Mean target AUC</w:t>
            </w:r>
          </w:p>
        </w:tc>
        <w:tc>
          <w:tcPr>
            <w:tcW w:type="dxa" w:w="989"/>
          </w:tcPr>
          <w:p>
            <w:pPr>
              <w:pStyle w:val="Compact"/>
              <w:jc w:val="right"/>
            </w:pPr>
            <w:r>
              <w:t xml:space="preserve">Above chance</w:t>
            </w:r>
          </w:p>
        </w:tc>
        <w:tc>
          <w:tcPr>
            <w:tcW w:type="dxa" w:w="989"/>
          </w:tcPr>
          <w:p>
            <w:pPr>
              <w:pStyle w:val="Compact"/>
              <w:jc w:val="right"/>
            </w:pPr>
            <w:r>
              <w:t xml:space="preserve">Below chance</w:t>
            </w:r>
          </w:p>
        </w:tc>
        <w:tc>
          <w:tcPr>
            <w:tcW w:type="dxa" w:w="1896"/>
          </w:tcPr>
          <w:p>
            <w:pPr>
              <w:pStyle w:val="Compact"/>
              <w:jc w:val="right"/>
            </w:pPr>
            <w:r>
              <w:t xml:space="preserve">Supported above / below</w:t>
            </w:r>
          </w:p>
        </w:tc>
        <w:tc>
          <w:tcPr>
            <w:tcW w:type="dxa" w:w="1649"/>
          </w:tcPr>
          <w:p>
            <w:pPr>
              <w:pStyle w:val="Compact"/>
              <w:jc w:val="right"/>
            </w:pPr>
            <w:r>
              <w:t xml:space="preserve">Paired thermal delta</w:t>
            </w:r>
          </w:p>
        </w:tc>
      </w:tr>
      <w:tr>
        <w:tc>
          <w:tcPr>
            <w:tcW w:type="dxa" w:w="989"/>
          </w:tcPr>
          <w:p>
            <w:pPr>
              <w:pStyle w:val="Compact"/>
            </w:pPr>
            <w:r>
              <w:t xml:space="preserve">full</w:t>
            </w:r>
          </w:p>
        </w:tc>
        <w:tc>
          <w:tcPr>
            <w:tcW w:type="dxa" w:w="1319"/>
          </w:tcPr>
          <w:p>
            <w:pPr>
              <w:pStyle w:val="Compact"/>
            </w:pPr>
            <w:r>
              <w:t xml:space="preserve">full (</w:t>
            </w:r>
            <w:r>
              <w:rPr>
                <w:b/>
                <w:bCs/>
              </w:rPr>
              <w:t xml:space="preserve">Table S16</w:t>
            </w:r>
            <w:r>
              <w:t xml:space="preserve">)</w:t>
            </w:r>
          </w:p>
        </w:tc>
        <w:tc>
          <w:tcPr>
            <w:tcW w:type="dxa" w:w="1237"/>
          </w:tcPr>
          <w:p>
            <w:pPr>
              <w:pStyle w:val="Compact"/>
              <w:jc w:val="right"/>
            </w:pPr>
            <w:r>
              <w:t xml:space="preserve">0.527</w:t>
            </w:r>
          </w:p>
        </w:tc>
        <w:tc>
          <w:tcPr>
            <w:tcW w:type="dxa" w:w="989"/>
          </w:tcPr>
          <w:p>
            <w:pPr>
              <w:pStyle w:val="Compact"/>
              <w:jc w:val="right"/>
            </w:pPr>
            <w:r>
              <w:t xml:space="preserve">13 of 20</w:t>
            </w:r>
          </w:p>
        </w:tc>
        <w:tc>
          <w:tcPr>
            <w:tcW w:type="dxa" w:w="989"/>
          </w:tcPr>
          <w:p>
            <w:pPr>
              <w:pStyle w:val="Compact"/>
              <w:jc w:val="right"/>
            </w:pPr>
            <w:r>
              <w:rPr>
                <w:b/>
                <w:bCs/>
              </w:rPr>
              <w:t xml:space="preserve">7</w:t>
            </w:r>
          </w:p>
        </w:tc>
        <w:tc>
          <w:tcPr>
            <w:tcW w:type="dxa" w:w="1896"/>
          </w:tcPr>
          <w:p>
            <w:pPr>
              <w:pStyle w:val="Compact"/>
              <w:jc w:val="right"/>
            </w:pPr>
            <w:r>
              <w:t xml:space="preserve">9 /</w:t>
            </w:r>
            <w:r>
              <w:t xml:space="preserve"> </w:t>
            </w:r>
            <w:r>
              <w:rPr>
                <w:b/>
                <w:bCs/>
              </w:rPr>
              <w:t xml:space="preserve">6</w:t>
            </w:r>
          </w:p>
        </w:tc>
        <w:tc>
          <w:tcPr>
            <w:tcW w:type="dxa" w:w="1649"/>
          </w:tcPr>
          <w:p>
            <w:pPr>
              <w:pStyle w:val="Compact"/>
              <w:jc w:val="right"/>
            </w:pPr>
            <w:r>
              <w:t xml:space="preserve">+0.007</w:t>
            </w:r>
          </w:p>
        </w:tc>
      </w:tr>
      <w:tr>
        <w:tc>
          <w:tcPr>
            <w:tcW w:type="dxa" w:w="989"/>
          </w:tcPr>
          <w:p>
            <w:pPr>
              <w:pStyle w:val="Compact"/>
            </w:pPr>
            <w:r>
              <w:t xml:space="preserve">full</w:t>
            </w:r>
          </w:p>
        </w:tc>
        <w:tc>
          <w:tcPr>
            <w:tcW w:type="dxa" w:w="1319"/>
          </w:tcPr>
          <w:p>
            <w:pPr>
              <w:pStyle w:val="Compact"/>
            </w:pPr>
            <w:r>
              <w:t xml:space="preserve">10 km</w:t>
            </w:r>
          </w:p>
        </w:tc>
        <w:tc>
          <w:tcPr>
            <w:tcW w:type="dxa" w:w="1237"/>
          </w:tcPr>
          <w:p>
            <w:pPr>
              <w:pStyle w:val="Compact"/>
              <w:jc w:val="right"/>
            </w:pPr>
            <w:r>
              <w:t xml:space="preserve">0.559</w:t>
            </w:r>
          </w:p>
        </w:tc>
        <w:tc>
          <w:tcPr>
            <w:tcW w:type="dxa" w:w="989"/>
          </w:tcPr>
          <w:p>
            <w:pPr>
              <w:pStyle w:val="Compact"/>
              <w:jc w:val="right"/>
            </w:pPr>
            <w:r>
              <w:t xml:space="preserve">14 of 20</w:t>
            </w:r>
          </w:p>
        </w:tc>
        <w:tc>
          <w:tcPr>
            <w:tcW w:type="dxa" w:w="989"/>
          </w:tcPr>
          <w:p>
            <w:pPr>
              <w:pStyle w:val="Compact"/>
              <w:jc w:val="right"/>
            </w:pPr>
            <w:r>
              <w:t xml:space="preserve">6</w:t>
            </w:r>
          </w:p>
        </w:tc>
        <w:tc>
          <w:tcPr>
            <w:tcW w:type="dxa" w:w="1896"/>
          </w:tcPr>
          <w:p>
            <w:pPr>
              <w:pStyle w:val="Compact"/>
              <w:jc w:val="right"/>
            </w:pPr>
            <w:r>
              <w:t xml:space="preserve">10 / 2</w:t>
            </w:r>
          </w:p>
        </w:tc>
        <w:tc>
          <w:tcPr>
            <w:tcW w:type="dxa" w:w="1649"/>
          </w:tcPr>
          <w:p>
            <w:pPr>
              <w:pStyle w:val="Compact"/>
              <w:jc w:val="right"/>
            </w:pPr>
            <w:r>
              <w:t xml:space="preserve">+0.008</w:t>
            </w:r>
          </w:p>
        </w:tc>
      </w:tr>
      <w:tr>
        <w:tc>
          <w:tcPr>
            <w:tcW w:type="dxa" w:w="989"/>
          </w:tcPr>
          <w:p>
            <w:pPr>
              <w:pStyle w:val="Compact"/>
            </w:pPr>
            <w:r>
              <w:t xml:space="preserve">10 km</w:t>
            </w:r>
          </w:p>
        </w:tc>
        <w:tc>
          <w:tcPr>
            <w:tcW w:type="dxa" w:w="1319"/>
          </w:tcPr>
          <w:p>
            <w:pPr>
              <w:pStyle w:val="Compact"/>
            </w:pPr>
            <w:r>
              <w:t xml:space="preserve">full</w:t>
            </w:r>
          </w:p>
        </w:tc>
        <w:tc>
          <w:tcPr>
            <w:tcW w:type="dxa" w:w="1237"/>
          </w:tcPr>
          <w:p>
            <w:pPr>
              <w:pStyle w:val="Compact"/>
              <w:jc w:val="right"/>
            </w:pPr>
            <w:r>
              <w:t xml:space="preserve">0.546</w:t>
            </w:r>
          </w:p>
        </w:tc>
        <w:tc>
          <w:tcPr>
            <w:tcW w:type="dxa" w:w="989"/>
          </w:tcPr>
          <w:p>
            <w:pPr>
              <w:pStyle w:val="Compact"/>
              <w:jc w:val="right"/>
            </w:pPr>
            <w:r>
              <w:t xml:space="preserve">14 of 20</w:t>
            </w:r>
          </w:p>
        </w:tc>
        <w:tc>
          <w:tcPr>
            <w:tcW w:type="dxa" w:w="989"/>
          </w:tcPr>
          <w:p>
            <w:pPr>
              <w:pStyle w:val="Compact"/>
              <w:jc w:val="right"/>
            </w:pPr>
            <w:r>
              <w:t xml:space="preserve">6</w:t>
            </w:r>
          </w:p>
        </w:tc>
        <w:tc>
          <w:tcPr>
            <w:tcW w:type="dxa" w:w="1896"/>
          </w:tcPr>
          <w:p>
            <w:pPr>
              <w:pStyle w:val="Compact"/>
              <w:jc w:val="right"/>
            </w:pPr>
            <w:r>
              <w:t xml:space="preserve">10 / 5</w:t>
            </w:r>
          </w:p>
        </w:tc>
        <w:tc>
          <w:tcPr>
            <w:tcW w:type="dxa" w:w="1649"/>
          </w:tcPr>
          <w:p>
            <w:pPr>
              <w:pStyle w:val="Compact"/>
              <w:jc w:val="right"/>
            </w:pPr>
            <w:r>
              <w:t xml:space="preserve">+0.014</w:t>
            </w:r>
          </w:p>
        </w:tc>
      </w:tr>
      <w:tr>
        <w:tc>
          <w:tcPr>
            <w:tcW w:type="dxa" w:w="989"/>
          </w:tcPr>
          <w:p>
            <w:pPr>
              <w:pStyle w:val="Compact"/>
            </w:pPr>
            <w:r>
              <w:rPr>
                <w:b/>
                <w:bCs/>
              </w:rPr>
              <w:t xml:space="preserve">10 km</w:t>
            </w:r>
          </w:p>
        </w:tc>
        <w:tc>
          <w:tcPr>
            <w:tcW w:type="dxa" w:w="1319"/>
          </w:tcPr>
          <w:p>
            <w:pPr>
              <w:pStyle w:val="Compact"/>
            </w:pPr>
            <w:r>
              <w:rPr>
                <w:b/>
                <w:bCs/>
              </w:rPr>
              <w:t xml:space="preserve">10 km</w:t>
            </w:r>
          </w:p>
        </w:tc>
        <w:tc>
          <w:tcPr>
            <w:tcW w:type="dxa" w:w="1237"/>
          </w:tcPr>
          <w:p>
            <w:pPr>
              <w:pStyle w:val="Compact"/>
              <w:jc w:val="right"/>
            </w:pPr>
            <w:r>
              <w:rPr>
                <w:b/>
                <w:bCs/>
              </w:rPr>
              <w:t xml:space="preserve">0.589</w:t>
            </w:r>
          </w:p>
        </w:tc>
        <w:tc>
          <w:tcPr>
            <w:tcW w:type="dxa" w:w="989"/>
          </w:tcPr>
          <w:p>
            <w:pPr>
              <w:pStyle w:val="Compact"/>
              <w:jc w:val="right"/>
            </w:pPr>
            <w:r>
              <w:rPr>
                <w:b/>
                <w:bCs/>
              </w:rPr>
              <w:t xml:space="preserve">15 of 20</w:t>
            </w:r>
          </w:p>
        </w:tc>
        <w:tc>
          <w:tcPr>
            <w:tcW w:type="dxa" w:w="989"/>
          </w:tcPr>
          <w:p>
            <w:pPr>
              <w:pStyle w:val="Compact"/>
              <w:jc w:val="right"/>
            </w:pPr>
            <w:r>
              <w:rPr>
                <w:b/>
                <w:bCs/>
              </w:rPr>
              <w:t xml:space="preserve">5</w:t>
            </w:r>
          </w:p>
        </w:tc>
        <w:tc>
          <w:tcPr>
            <w:tcW w:type="dxa" w:w="1896"/>
          </w:tcPr>
          <w:p>
            <w:pPr>
              <w:pStyle w:val="Compact"/>
              <w:jc w:val="right"/>
            </w:pPr>
            <w:r>
              <w:rPr>
                <w:b/>
                <w:bCs/>
              </w:rPr>
              <w:t xml:space="preserve">13 / 2</w:t>
            </w:r>
          </w:p>
        </w:tc>
        <w:tc>
          <w:tcPr>
            <w:tcW w:type="dxa" w:w="1649"/>
          </w:tcPr>
          <w:p>
            <w:pPr>
              <w:pStyle w:val="Compact"/>
              <w:jc w:val="right"/>
            </w:pPr>
            <w:r>
              <w:rPr>
                <w:b/>
                <w:bCs/>
              </w:rPr>
              <w:t xml:space="preserve">+0.024</w:t>
            </w:r>
          </w:p>
        </w:tc>
      </w:tr>
      <w:tr>
        <w:tc>
          <w:tcPr>
            <w:tcW w:type="dxa" w:w="989"/>
          </w:tcPr>
          <w:p>
            <w:pPr>
              <w:pStyle w:val="Compact"/>
            </w:pPr>
            <w:r>
              <w:t xml:space="preserve">5 km</w:t>
            </w:r>
          </w:p>
        </w:tc>
        <w:tc>
          <w:tcPr>
            <w:tcW w:type="dxa" w:w="1319"/>
          </w:tcPr>
          <w:p>
            <w:pPr>
              <w:pStyle w:val="Compact"/>
            </w:pPr>
            <w:r>
              <w:t xml:space="preserve">5 km</w:t>
            </w:r>
          </w:p>
        </w:tc>
        <w:tc>
          <w:tcPr>
            <w:tcW w:type="dxa" w:w="1237"/>
          </w:tcPr>
          <w:p>
            <w:pPr>
              <w:pStyle w:val="Compact"/>
              <w:jc w:val="right"/>
            </w:pPr>
            <w:r>
              <w:t xml:space="preserve">0.591</w:t>
            </w:r>
          </w:p>
        </w:tc>
        <w:tc>
          <w:tcPr>
            <w:tcW w:type="dxa" w:w="989"/>
          </w:tcPr>
          <w:p>
            <w:pPr>
              <w:pStyle w:val="Compact"/>
              <w:jc w:val="right"/>
            </w:pPr>
            <w:r>
              <w:t xml:space="preserve">16 of 20</w:t>
            </w:r>
          </w:p>
        </w:tc>
        <w:tc>
          <w:tcPr>
            <w:tcW w:type="dxa" w:w="989"/>
          </w:tcPr>
          <w:p>
            <w:pPr>
              <w:pStyle w:val="Compact"/>
              <w:jc w:val="right"/>
            </w:pPr>
            <w:r>
              <w:t xml:space="preserve">4</w:t>
            </w:r>
          </w:p>
        </w:tc>
        <w:tc>
          <w:tcPr>
            <w:tcW w:type="dxa" w:w="1896"/>
          </w:tcPr>
          <w:p>
            <w:pPr>
              <w:pStyle w:val="Compact"/>
              <w:jc w:val="right"/>
            </w:pPr>
            <w:r>
              <w:t xml:space="preserve">11 / 0</w:t>
            </w:r>
          </w:p>
        </w:tc>
        <w:tc>
          <w:tcPr>
            <w:tcW w:type="dxa" w:w="1649"/>
          </w:tcPr>
          <w:p>
            <w:pPr>
              <w:pStyle w:val="Compact"/>
              <w:jc w:val="right"/>
            </w:pPr>
            <w:r>
              <w:t xml:space="preserve">+0.017</w:t>
            </w:r>
          </w:p>
        </w:tc>
      </w:tr>
    </w:tbl>
    <w:p>
      <w:pPr>
        <w:pStyle w:val="BodyText"/>
      </w:pPr>
      <w:r>
        <w:t xml:space="preserve">The reference arm reproduces the as-drawn matrix, at 0.527 against Table S16’s 0.527 and 13 of 20,</w:t>
      </w:r>
      <w:r>
        <w:t xml:space="preserve"> </w:t>
      </w:r>
      <w:r>
        <w:t xml:space="preserve">so this is measuring the same quantity.</w:t>
      </w:r>
      <w:r>
        <w:t xml:space="preserve"> </w:t>
      </w:r>
      <w:r>
        <w:rPr>
          <w:b/>
          <w:bCs/>
        </w:rPr>
        <w:t xml:space="preserve">The baseline control moves with it and must be restated on</w:t>
      </w:r>
      <w:r>
        <w:rPr>
          <w:b/>
          <w:bCs/>
        </w:rPr>
        <w:t xml:space="preserve"> </w:t>
      </w:r>
      <w:r>
        <w:rPr>
          <w:b/>
          <w:bCs/>
        </w:rPr>
        <w:t xml:space="preserve">this frame.</w:t>
      </w:r>
      <w:r>
        <w:t xml:space="preserve"> </w:t>
      </w:r>
      <w:r>
        <w:t xml:space="preserve">The static baseline transfers at 0.565 against the thermal model’s 0.589, a paired</w:t>
      </w:r>
      <w:r>
        <w:t xml:space="preserve"> </w:t>
      </w:r>
      <w:r>
        <w:t xml:space="preserve">difference of +0.024 rather than the +0.007 of the frame as drawn, about three times larger, and</w:t>
      </w:r>
      <w:r>
        <w:t xml:space="preserve"> </w:t>
      </w:r>
      <w:r>
        <w:t xml:space="preserve">about twice as large at the 5 km collar. The control still holds in kind: the static predictor class</w:t>
      </w:r>
      <w:r>
        <w:t xml:space="preserve"> </w:t>
      </w:r>
      <w:r>
        <w:t xml:space="preserve">is not the portable one either. Under the 10-cell block bootstrap the full frame gives nine</w:t>
      </w:r>
      <w:r>
        <w:t xml:space="preserve"> </w:t>
      </w:r>
      <w:r>
        <w:t xml:space="preserve">directions above chance and six below with interval support, and the collar frame thirteen above</w:t>
      </w:r>
      <w:r>
        <w:t xml:space="preserve"> </w:t>
      </w:r>
      <w:r>
        <w:t xml:space="preserve">and two below. The below-chance count therefore moves from seven to five at the point estimate and</w:t>
      </w:r>
      <w:r>
        <w:t xml:space="preserve"> </w:t>
      </w:r>
      <w:r>
        <w:rPr>
          <w:b/>
          <w:bCs/>
        </w:rPr>
        <w:t xml:space="preserve">from six to two with interval support</w:t>
      </w:r>
      <w:r>
        <w:t xml:space="preserve"> </w:t>
      </w:r>
      <w:r>
        <w:t xml:space="preserve">(</w:t>
      </w:r>
      <w:r>
        <w:rPr>
          <w:rStyle w:val="VerbatimChar"/>
        </w:rPr>
        <w:t xml:space="preserve">aoi_frame_transfer.csv</w:t>
      </w:r>
      <w:r>
        <w:t xml:space="preserve">, which carries the per-direction</w:t>
      </w:r>
      <w:r>
        <w:t xml:space="preserve"> </w:t>
      </w:r>
      <w:r>
        <w:t xml:space="preserve">bounds). The largest movers are Bejís to Evia, 0.383 to 0.602, and Bejís to Manavgat, 0.314 to</w:t>
      </w:r>
      <w:r>
        <w:t xml:space="preserve"> </w:t>
      </w:r>
      <w:r>
        <w:t xml:space="preserve">0.452. The one large fall is Evia to Manavgat, 0.677 to 0.594.</w:t>
      </w:r>
    </w:p>
    <w:p>
      <w:pPr>
        <w:pStyle w:val="BodyText"/>
      </w:pPr>
      <w:r>
        <w:rPr>
          <w:b/>
          <w:bCs/>
        </w:rPr>
        <w:t xml:space="preserve">What this settles, and what it leaves standing.</w:t>
      </w:r>
      <w:r>
        <w:t xml:space="preserve"> </w:t>
      </w:r>
      <w:r>
        <w:t xml:space="preserve">Four quantities are properties of the frames</w:t>
      </w:r>
      <w:r>
        <w:t xml:space="preserve"> </w:t>
      </w:r>
      <w:r>
        <w:t xml:space="preserve">rather than of the predictor-burning relationship: the count of below-chance directions, which falls</w:t>
      </w:r>
      <w:r>
        <w:t xml:space="preserve"> </w:t>
      </w:r>
      <w:r>
        <w:t xml:space="preserve">from seven to five; the sign-agreement diagnostic; the same-geography arm; and the paired thermal</w:t>
      </w:r>
      <w:r>
        <w:t xml:space="preserve"> </w:t>
      </w:r>
      <w:r>
        <w:t xml:space="preserve">contribution, +0.007 as drawn and +0.024 equalised. Manavgat’s elevation reversal is not; the collar</w:t>
      </w:r>
      <w:r>
        <w:t xml:space="preserve"> </w:t>
      </w:r>
      <w:r>
        <w:t xml:space="preserve">leaves it supported. What the correction leaves standing is the central negative result, and its</w:t>
      </w:r>
      <w:r>
        <w:t xml:space="preserve"> </w:t>
      </w:r>
      <w:r>
        <w:t xml:space="preserve">size must be stated on a matched comparison. Setting the equalised transfer mean of 0.589 against a</w:t>
      </w:r>
      <w:r>
        <w:t xml:space="preserve"> </w:t>
      </w:r>
      <w:r>
        <w:t xml:space="preserve">within-region reference of about 0.90 would compare a 10 km-collar number with a full-rectangle one</w:t>
      </w:r>
      <w:r>
        <w:t xml:space="preserve"> </w:t>
      </w:r>
      <w:r>
        <w:t xml:space="preserve">at 1 km blocking, which is the most generous reference in the paper and the very figure Section 4.3</w:t>
      </w:r>
      <w:r>
        <w:t xml:space="preserve"> </w:t>
      </w:r>
      <w:r>
        <w:t xml:space="preserve">argues is an upper bound. Recomputing the within-region reference on the same frame and at the 5 km</w:t>
      </w:r>
      <w:r>
        <w:t xml:space="preserve"> </w:t>
      </w:r>
      <w:r>
        <w:t xml:space="preserve">blocking this design defends (</w:t>
      </w:r>
      <w:r>
        <w:rPr>
          <w:rStyle w:val="VerbatimChar"/>
        </w:rPr>
        <w:t xml:space="preserve">paper/labelfix_rerun/code/matched_frame_gap.csv</w:t>
      </w:r>
      <w:r>
        <w:t xml:space="preserve">,</w:t>
      </w:r>
      <w:r>
        <w:t xml:space="preserve"> </w:t>
      </w:r>
      <w:r>
        <w:rPr>
          <w:rStyle w:val="VerbatimChar"/>
        </w:rPr>
        <w:t xml:space="preserve">paper/code/verify_matched_gap.py</w:t>
      </w:r>
      <w:r>
        <w:t xml:space="preserve">):</w:t>
      </w:r>
    </w:p>
    <w:tbl>
      <w:tblPr>
        <w:tblStyle w:val="Table"/>
        <w:tblW w:type="auto" w:w="0"/>
        <w:tblLook w:firstRow="1" w:lastRow="0" w:firstColumn="0" w:lastColumn="0" w:noHBand="0" w:noVBand="0" w:val="0020"/>
      </w:tblPr>
      <w:tblGrid>
        <w:gridCol w:w="2082"/>
        <w:gridCol w:w="4312"/>
        <w:gridCol w:w="1933"/>
        <w:gridCol w:w="743"/>
      </w:tblGrid>
      <w:tr>
        <w:trPr>
          <w:tblHeader w:val="on"/>
        </w:trPr>
        <w:tc>
          <w:tcPr>
            <w:tcW w:type="dxa" w:w="2082"/>
          </w:tcPr>
          <w:p>
            <w:pPr>
              <w:pStyle w:val="Compact"/>
            </w:pPr>
            <w:r>
              <w:t xml:space="preserve">Frame</w:t>
            </w:r>
          </w:p>
        </w:tc>
        <w:tc>
          <w:tcPr>
            <w:tcW w:type="dxa" w:w="4312"/>
          </w:tcPr>
          <w:p>
            <w:pPr>
              <w:pStyle w:val="Compact"/>
              <w:jc w:val="right"/>
            </w:pPr>
            <w:r>
              <w:t xml:space="preserve">Within-region (5 km blocking)</w:t>
            </w:r>
          </w:p>
        </w:tc>
        <w:tc>
          <w:tcPr>
            <w:tcW w:type="dxa" w:w="1933"/>
          </w:tcPr>
          <w:p>
            <w:pPr>
              <w:pStyle w:val="Compact"/>
              <w:jc w:val="right"/>
            </w:pPr>
            <w:r>
              <w:t xml:space="preserve">Mean transfer</w:t>
            </w:r>
          </w:p>
        </w:tc>
        <w:tc>
          <w:tcPr>
            <w:tcW w:type="dxa" w:w="743"/>
          </w:tcPr>
          <w:p>
            <w:pPr>
              <w:pStyle w:val="Compact"/>
              <w:jc w:val="right"/>
            </w:pPr>
            <w:r>
              <w:t xml:space="preserve">Gap</w:t>
            </w:r>
          </w:p>
        </w:tc>
      </w:tr>
      <w:tr>
        <w:tc>
          <w:tcPr>
            <w:tcW w:type="dxa" w:w="2082"/>
          </w:tcPr>
          <w:p>
            <w:pPr>
              <w:pStyle w:val="Compact"/>
            </w:pPr>
            <w:r>
              <w:t xml:space="preserve">full rectangle</w:t>
            </w:r>
          </w:p>
        </w:tc>
        <w:tc>
          <w:tcPr>
            <w:tcW w:type="dxa" w:w="4312"/>
          </w:tcPr>
          <w:p>
            <w:pPr>
              <w:pStyle w:val="Compact"/>
              <w:jc w:val="right"/>
            </w:pPr>
            <w:r>
              <w:t xml:space="preserve">0.814</w:t>
            </w:r>
          </w:p>
        </w:tc>
        <w:tc>
          <w:tcPr>
            <w:tcW w:type="dxa" w:w="1933"/>
          </w:tcPr>
          <w:p>
            <w:pPr>
              <w:pStyle w:val="Compact"/>
              <w:jc w:val="right"/>
            </w:pPr>
            <w:r>
              <w:t xml:space="preserve">0.527</w:t>
            </w:r>
          </w:p>
        </w:tc>
        <w:tc>
          <w:tcPr>
            <w:tcW w:type="dxa" w:w="743"/>
          </w:tcPr>
          <w:p>
            <w:pPr>
              <w:pStyle w:val="Compact"/>
              <w:jc w:val="right"/>
            </w:pPr>
            <w:r>
              <w:t xml:space="preserve">0.287</w:t>
            </w:r>
          </w:p>
        </w:tc>
      </w:tr>
      <w:tr>
        <w:tc>
          <w:tcPr>
            <w:tcW w:type="dxa" w:w="2082"/>
          </w:tcPr>
          <w:p>
            <w:pPr>
              <w:pStyle w:val="Compact"/>
            </w:pPr>
            <w:r>
              <w:t xml:space="preserve">10 km collar</w:t>
            </w:r>
          </w:p>
        </w:tc>
        <w:tc>
          <w:tcPr>
            <w:tcW w:type="dxa" w:w="4312"/>
          </w:tcPr>
          <w:p>
            <w:pPr>
              <w:pStyle w:val="Compact"/>
              <w:jc w:val="right"/>
            </w:pPr>
            <w:r>
              <w:rPr>
                <w:b/>
                <w:bCs/>
              </w:rPr>
              <w:t xml:space="preserve">0.786</w:t>
            </w:r>
          </w:p>
        </w:tc>
        <w:tc>
          <w:tcPr>
            <w:tcW w:type="dxa" w:w="1933"/>
          </w:tcPr>
          <w:p>
            <w:pPr>
              <w:pStyle w:val="Compact"/>
              <w:jc w:val="right"/>
            </w:pPr>
            <w:r>
              <w:rPr>
                <w:b/>
                <w:bCs/>
              </w:rPr>
              <w:t xml:space="preserve">0.589</w:t>
            </w:r>
          </w:p>
        </w:tc>
        <w:tc>
          <w:tcPr>
            <w:tcW w:type="dxa" w:w="743"/>
          </w:tcPr>
          <w:p>
            <w:pPr>
              <w:pStyle w:val="Compact"/>
              <w:jc w:val="right"/>
            </w:pPr>
            <w:r>
              <w:rPr>
                <w:b/>
                <w:bCs/>
              </w:rPr>
              <w:t xml:space="preserve">0.197</w:t>
            </w:r>
          </w:p>
        </w:tc>
      </w:tr>
      <w:tr>
        <w:tc>
          <w:tcPr>
            <w:tcW w:type="dxa" w:w="2082"/>
          </w:tcPr>
          <w:p>
            <w:pPr>
              <w:pStyle w:val="Compact"/>
            </w:pPr>
            <w:r>
              <w:t xml:space="preserve">5 km collar</w:t>
            </w:r>
          </w:p>
        </w:tc>
        <w:tc>
          <w:tcPr>
            <w:tcW w:type="dxa" w:w="4312"/>
          </w:tcPr>
          <w:p>
            <w:pPr>
              <w:pStyle w:val="Compact"/>
              <w:jc w:val="right"/>
            </w:pPr>
            <w:r>
              <w:t xml:space="preserve">0.759</w:t>
            </w:r>
          </w:p>
        </w:tc>
        <w:tc>
          <w:tcPr>
            <w:tcW w:type="dxa" w:w="1933"/>
          </w:tcPr>
          <w:p>
            <w:pPr>
              <w:pStyle w:val="Compact"/>
              <w:jc w:val="right"/>
            </w:pPr>
            <w:r>
              <w:t xml:space="preserve">0.591</w:t>
            </w:r>
          </w:p>
        </w:tc>
        <w:tc>
          <w:tcPr>
            <w:tcW w:type="dxa" w:w="743"/>
          </w:tcPr>
          <w:p>
            <w:pPr>
              <w:pStyle w:val="Compact"/>
              <w:jc w:val="right"/>
            </w:pPr>
            <w:r>
              <w:t xml:space="preserve">0.169</w:t>
            </w:r>
          </w:p>
        </w:tc>
      </w:tr>
    </w:tbl>
    <w:p>
      <w:pPr>
        <w:pStyle w:val="BodyText"/>
      </w:pPr>
      <w:r>
        <w:t xml:space="preserve">Paired by target region, the collar shortfall is</w:t>
      </w:r>
      <w:r>
        <w:t xml:space="preserve"> </w:t>
      </w:r>
      <w:r>
        <w:rPr>
          <w:b/>
          <w:bCs/>
        </w:rPr>
        <w:t xml:space="preserve">+0.197 [+0.091, +0.303]</w:t>
      </w:r>
      <w:r>
        <w:t xml:space="preserve"> </w:t>
      </w:r>
      <w:r>
        <w:t xml:space="preserve">(Student</w:t>
      </w:r>
      <w:r>
        <w:t xml:space="preserve"> </w:t>
      </w:r>
      <w:r>
        <w:rPr>
          <w:i/>
          <w:iCs/>
        </w:rPr>
        <w:t xml:space="preserve">t</w:t>
      </w:r>
      <w:r>
        <w:t xml:space="preserve"> </w:t>
      </w:r>
      <w:r>
        <w:t xml:space="preserve">over the</w:t>
      </w:r>
      <w:r>
        <w:t xml:space="preserve"> </w:t>
      </w:r>
      <w:r>
        <w:t xml:space="preserve">five target regions; per region +0.081 Montiferru, +0.319 Manavgat, +0.172 Muğla, +0.202 Bejís,</w:t>
      </w:r>
      <w:r>
        <w:t xml:space="preserve"> </w:t>
      </w:r>
      <w:r>
        <w:t xml:space="preserve">+0.211 Evia), which reproduces the point estimate above and excludes zero. The shortfall therefore</w:t>
      </w:r>
      <w:r>
        <w:t xml:space="preserve"> </w:t>
      </w:r>
      <w:r>
        <w:t xml:space="preserve">survives on every matched row, but it is</w:t>
      </w:r>
      <w:r>
        <w:t xml:space="preserve"> </w:t>
      </w:r>
      <w:r>
        <w:rPr>
          <w:b/>
          <w:bCs/>
        </w:rPr>
        <w:t xml:space="preserve">0.197 at the collar, not the 0.29 the unmatched</w:t>
      </w:r>
      <w:r>
        <w:rPr>
          <w:b/>
          <w:bCs/>
        </w:rPr>
        <w:t xml:space="preserve"> </w:t>
      </w:r>
      <w:r>
        <w:rPr>
          <w:b/>
          <w:bCs/>
        </w:rPr>
        <w:t xml:space="preserve">comparison implies</w:t>
      </w:r>
      <w:r>
        <w:t xml:space="preserve">, and it shrinks as the frame approaches the fire, which is where a</w:t>
      </w:r>
      <w:r>
        <w:t xml:space="preserve"> </w:t>
      </w:r>
      <w:r>
        <w:t xml:space="preserve">susceptibility surface is actually used.</w:t>
      </w:r>
    </w:p>
    <w:p>
      <w:pPr>
        <w:pStyle w:val="BodyText"/>
      </w:pPr>
      <w:r>
        <w:t xml:space="preserve">This is Section 4.3’s effect acting between regions rather than within one, on frames whose</w:t>
      </w:r>
      <w:r>
        <w:t xml:space="preserve"> </w:t>
      </w:r>
      <w:r>
        <w:t xml:space="preserve">fire-adjacent share ranges from 37 % to 98 %. Section S3.5(ix) records the frame as a limitation of</w:t>
      </w:r>
      <w:r>
        <w:t xml:space="preserve"> </w:t>
      </w:r>
      <w:r>
        <w:t xml:space="preserve">this cohort rather than of the method.</w:t>
      </w:r>
    </w:p>
    <w:bookmarkEnd w:id="44"/>
    <w:bookmarkEnd w:id="45"/>
    <w:bookmarkStart w:id="46" w:name="X0d2c9aa811e4f07caad7408449c80709d8dca4c"/>
    <w:p>
      <w:pPr>
        <w:pStyle w:val="Heading2"/>
      </w:pPr>
      <w:r>
        <w:t xml:space="preserve">S1.21 The transfer matrix and adaptation, elaborated</w:t>
      </w:r>
    </w:p>
    <w:p>
      <w:pPr>
        <w:pStyle w:val="FirstParagraph"/>
      </w:pPr>
      <w:r>
        <w:t xml:space="preserve">Section 4.5 states these results; the paragraphs it condensed are here.</w:t>
      </w:r>
    </w:p>
    <w:p>
      <w:pPr>
        <w:pStyle w:val="BodyText"/>
      </w:pPr>
      <w:r>
        <w:rPr>
          <w:b/>
          <w:bCs/>
        </w:rPr>
        <w:t xml:space="preserve">Raw transfer is heterogeneous and includes anti-predictive directions.</w:t>
      </w:r>
      <w:r>
        <w:t xml:space="preserve"> </w:t>
      </w:r>
      <w:r>
        <w:t xml:space="preserve">Raw target AUC spans</w:t>
      </w:r>
      <w:r>
        <w:t xml:space="preserve"> </w:t>
      </w:r>
      <w:r>
        <w:t xml:space="preserve">0.314 to 0.677 (Fig. 4). Eleven of 20 directions are above chance with CI support. Seven are</w:t>
      </w:r>
      <w:r>
        <w:t xml:space="preserve"> </w:t>
      </w:r>
      <w:r>
        <w:rPr>
          <w:i/>
          <w:iCs/>
        </w:rPr>
        <w:t xml:space="preserve">below</w:t>
      </w:r>
      <w:r>
        <w:t xml:space="preserve"> </w:t>
      </w:r>
      <w:r>
        <w:t xml:space="preserve">chance with CI support: both directions between Manavgat and Bejís, both between Manavgat and Muğla,</w:t>
      </w:r>
      <w:r>
        <w:t xml:space="preserve"> </w:t>
      </w:r>
      <w:r>
        <w:t xml:space="preserve">both between Bejís and Evia, and Montiferru to Manavgat. Of these, Manavgat to Bejís</w:t>
      </w:r>
      <w:r>
        <w:t xml:space="preserve"> </w:t>
      </w:r>
      <w:r>
        <w:t xml:space="preserve">and Muğla to Manavgat keep interval support after frame equalisation. Two intervals span 0.5. Even the</w:t>
      </w:r>
      <w:r>
        <w:t xml:space="preserve"> </w:t>
      </w:r>
      <w:r>
        <w:t xml:space="preserve">best raw transfer, Evia to Manavgat at 0.677, stays far below that target’s own within-region thermal</w:t>
      </w:r>
      <w:r>
        <w:t xml:space="preserve"> </w:t>
      </w:r>
      <w:r>
        <w:t xml:space="preserve">performance of 0.908. Across all directions the raw deficit against the within-region reference is</w:t>
      </w:r>
      <w:r>
        <w:t xml:space="preserve"> </w:t>
      </w:r>
      <w:r>
        <w:t xml:space="preserve">0.231 to 0.594 AUC. That reference is a region-level blocked estimate,</w:t>
      </w:r>
      <w:r>
        <w:t xml:space="preserve"> </w:t>
      </w:r>
      <w:r>
        <w:t xml:space="preserve">and Section 4.3 shows it is not matched to a transfer evaluation.</w:t>
      </w:r>
    </w:p>
    <w:p>
      <w:pPr>
        <w:pStyle w:val="BodyText"/>
      </w:pPr>
      <w:r>
        <w:t xml:space="preserve">Those counts belong to the 2-cell blocking of Table S16. At the more conservative 10-cell blocking the</w:t>
      </w:r>
      <w:r>
        <w:t xml:space="preserve"> </w:t>
      </w:r>
      <w:r>
        <w:t xml:space="preserve">same points give 9 above, 6 below and 5 uncertain, and no direction changes side of the chance line</w:t>
      </w:r>
      <w:r>
        <w:t xml:space="preserve"> </w:t>
      </w:r>
      <w:r>
        <w:t xml:space="preserve">(Section S1.17). Six of the seven below-chance directions keep their support there. Manavgat to Muğla</w:t>
      </w:r>
      <w:r>
        <w:t xml:space="preserve"> </w:t>
      </w:r>
      <w:r>
        <w:t xml:space="preserve">loses it and carries no verdict. The qualitative statement is unchanged. The</w:t>
      </w:r>
      <w:r>
        <w:t xml:space="preserve"> </w:t>
      </w:r>
      <w:r>
        <w:t xml:space="preserve">counts should not be read as exact.</w:t>
      </w:r>
    </w:p>
    <w:p>
      <w:pPr>
        <w:pStyle w:val="BodyText"/>
      </w:pPr>
      <w:r>
        <w:rPr>
          <w:b/>
          <w:bCs/>
        </w:rPr>
        <w:t xml:space="preserve">In precision terms the transfer is worse than the ROC figures suggest.</w:t>
      </w:r>
      <w:r>
        <w:t xml:space="preserve"> </w:t>
      </w:r>
      <w:r>
        <w:t xml:space="preserve">A susceptibility surface</w:t>
      </w:r>
      <w:r>
        <w:t xml:space="preserve"> </w:t>
      </w:r>
      <w:r>
        <w:t xml:space="preserve">is used as a ranked area budget, so precision-recall is the operational quantity. Across the twenty</w:t>
      </w:r>
      <w:r>
        <w:t xml:space="preserve"> </w:t>
      </w:r>
      <w:r>
        <w:t xml:space="preserve">directions the thermal model’s PR-AUC averages</w:t>
      </w:r>
      <w:r>
        <w:t xml:space="preserve"> </w:t>
      </w:r>
      <w:r>
        <w:rPr>
          <w:b/>
          <w:bCs/>
        </w:rPr>
        <w:t xml:space="preserve">0.181 against a no-skill baseline of 0.157</w:t>
      </w:r>
      <w:r>
        <w:t xml:space="preserve">.</w:t>
      </w:r>
      <w:r>
        <w:t xml:space="preserve"> </w:t>
      </w:r>
      <w:r>
        <w:rPr>
          <w:b/>
          <w:bCs/>
        </w:rPr>
        <w:t xml:space="preserve">Seven</w:t>
      </w:r>
      <w:r>
        <w:rPr>
          <w:b/>
          <w:bCs/>
        </w:rPr>
        <w:t xml:space="preserve"> </w:t>
      </w:r>
      <w:r>
        <w:rPr>
          <w:b/>
          <w:bCs/>
        </w:rPr>
        <w:t xml:space="preserve">of the twenty fall below their own no-skill baseline at the point estimate, all seven with intervals</w:t>
      </w:r>
      <w:r>
        <w:rPr>
          <w:b/>
          <w:bCs/>
        </w:rPr>
        <w:t xml:space="preserve"> </w:t>
      </w:r>
      <w:r>
        <w:rPr>
          <w:b/>
          <w:bCs/>
        </w:rPr>
        <w:t xml:space="preserve">entirely below it.</w:t>
      </w:r>
      <w:r>
        <w:t xml:space="preserve"> </w:t>
      </w:r>
      <w:r>
        <w:t xml:space="preserve">Only one direction, Evia to Manavgat, exceeds twice its baseline. These are frame-as-drawn quantities and the</w:t>
      </w:r>
      <w:r>
        <w:t xml:space="preserve"> </w:t>
      </w:r>
      <w:r>
        <w:t xml:space="preserve">PR arm was not recomputed on the collar. Per-direction values are in Table S11.</w:t>
      </w:r>
    </w:p>
    <w:p>
      <w:pPr>
        <w:pStyle w:val="BodyText"/>
      </w:pPr>
      <w:r>
        <w:rPr>
          <w:b/>
          <w:bCs/>
        </w:rPr>
        <w:t xml:space="preserve">The static baseline does not transfer either.</w:t>
      </w:r>
      <w:r>
        <w:t xml:space="preserve"> </w:t>
      </w:r>
      <w:r>
        <w:t xml:space="preserve">The same twenty directions were run with the</w:t>
      </w:r>
      <w:r>
        <w:t xml:space="preserve"> </w:t>
      </w:r>
      <w:r>
        <w:t xml:space="preserve">terrain, fuel and greenness baseline alone, giving a mean target AUC of</w:t>
      </w:r>
      <w:r>
        <w:t xml:space="preserve"> </w:t>
      </w:r>
      <w:r>
        <w:rPr>
          <w:b/>
          <w:bCs/>
        </w:rPr>
        <w:t xml:space="preserve">0.519</w:t>
      </w:r>
      <w:r>
        <w:t xml:space="preserve"> </w:t>
      </w:r>
      <w:r>
        <w:t xml:space="preserve">against</w:t>
      </w:r>
      <w:r>
        <w:t xml:space="preserve"> </w:t>
      </w:r>
      <w:r>
        <w:rPr>
          <w:b/>
          <w:bCs/>
        </w:rPr>
        <w:t xml:space="preserve">0.527</w:t>
      </w:r>
      <w:r>
        <w:t xml:space="preserve"> </w:t>
      </w:r>
      <w:r>
        <w:t xml:space="preserve">for the thermal model. Static attributes of a place are the class Dimarco et al. transfer</w:t>
      </w:r>
      <w:r>
        <w:t xml:space="preserve"> </w:t>
      </w:r>
      <w:r>
        <w:t xml:space="preserve">successfully and the class this paper’s framing treats as portable; here that class is itself barely</w:t>
      </w:r>
      <w:r>
        <w:t xml:space="preserve"> </w:t>
      </w:r>
      <w:r>
        <w:t xml:space="preserve">above chance. The transfer failure below is therefore not specific to the dynamic block: a baseline</w:t>
      </w:r>
      <w:r>
        <w:t xml:space="preserve"> </w:t>
      </w:r>
      <w:r>
        <w:t xml:space="preserve">that does not travel, plus pre-fire thermal state, gives a model that does not travel.</w:t>
      </w:r>
    </w:p>
    <w:p>
      <w:pPr>
        <w:pStyle w:val="BodyText"/>
      </w:pPr>
      <w:r>
        <w:rPr>
          <w:b/>
          <w:bCs/>
        </w:rPr>
        <w:t xml:space="preserve">The thermal block’s paired contribution to transfer, with its interval.</w:t>
      </w:r>
      <w:r>
        <w:t xml:space="preserve"> </w:t>
      </w:r>
      <w:r>
        <w:t xml:space="preserve">Differencing the two</w:t>
      </w:r>
      <w:r>
        <w:t xml:space="preserve"> </w:t>
      </w:r>
      <w:r>
        <w:t xml:space="preserve">matrices direction by direction gives a mean of</w:t>
      </w:r>
      <w:r>
        <w:t xml:space="preserve"> </w:t>
      </w:r>
      <w:r>
        <w:rPr>
          <w:b/>
          <w:bCs/>
        </w:rPr>
        <w:t xml:space="preserve">+0.007</w:t>
      </w:r>
      <w:r>
        <w:t xml:space="preserve">, but the mean is not the informative</w:t>
      </w:r>
      <w:r>
        <w:t xml:space="preserve"> </w:t>
      </w:r>
      <w:r>
        <w:t xml:space="preserve">statistic. The individual contributions span</w:t>
      </w:r>
      <w:r>
        <w:t xml:space="preserve"> </w:t>
      </w:r>
      <w:r>
        <w:rPr>
          <w:b/>
          <w:bCs/>
        </w:rPr>
        <w:t xml:space="preserve">−0.148 to +0.133</w:t>
      </w:r>
      <w:r>
        <w:t xml:space="preserve">, twelve positive and eight</w:t>
      </w:r>
      <w:r>
        <w:t xml:space="preserve"> </w:t>
      </w:r>
      <w:r>
        <w:t xml:space="preserve">negative, so the spread is about twenty times the mean and the sign belongs to the pair rather than to the</w:t>
      </w:r>
      <w:r>
        <w:t xml:space="preserve"> </w:t>
      </w:r>
      <w:r>
        <w:t xml:space="preserve">block; a mean near zero records cancellation, not consistent absence of effect. The directions are</w:t>
      </w:r>
      <w:r>
        <w:t xml:space="preserve"> </w:t>
      </w:r>
      <w:r>
        <w:t xml:space="preserve">not independent, since each region appears in eight of the twenty, so the interval depends on the</w:t>
      </w:r>
      <w:r>
        <w:t xml:space="preserve"> </w:t>
      </w:r>
      <w:r>
        <w:t xml:space="preserve">resampling unit —</w:t>
      </w:r>
      <w:r>
        <w:t xml:space="preserve"> </w:t>
      </w:r>
      <w:r>
        <w:rPr>
          <w:b/>
          <w:bCs/>
        </w:rPr>
        <w:t xml:space="preserve">all four units the design permits give the same answer</w:t>
      </w:r>
      <w:r>
        <w:t xml:space="preserve">, from [−0.018, +0.033]</w:t>
      </w:r>
      <w:r>
        <w:t xml:space="preserve"> </w:t>
      </w:r>
      <w:r>
        <w:t xml:space="preserve">jackknifing regions to [−0.028, +0.043] with a t interval on pair means, and none propagates</w:t>
      </w:r>
      <w:r>
        <w:t xml:space="preserve"> </w:t>
      </w:r>
      <w:r>
        <w:t xml:space="preserve">within-direction sampling variability (Section S1.15). No single region carries the mean (below).</w:t>
      </w:r>
    </w:p>
    <w:p>
      <w:pPr>
        <w:pStyle w:val="BodyText"/>
      </w:pPr>
      <w:r>
        <w:rPr>
          <w:b/>
          <w:bCs/>
        </w:rPr>
        <w:t xml:space="preserve">On the frames as drawn, seven directions are below chance with interval support</w:t>
      </w:r>
      <w:r>
        <w:t xml:space="preserve">, the sharpest</w:t>
      </w:r>
      <w:r>
        <w:t xml:space="preserve"> </w:t>
      </w:r>
      <w:r>
        <w:t xml:space="preserve">Bejís to Manavgat at 0.314 [0.296, 0.332]. Section 4.4 has shown part of that count is a property of</w:t>
      </w:r>
      <w:r>
        <w:t xml:space="preserve"> </w:t>
      </w:r>
      <w:r>
        <w:t xml:space="preserve">the frames: equalising them leaves</w:t>
      </w:r>
      <w:r>
        <w:t xml:space="preserve"> </w:t>
      </w:r>
      <w:r>
        <w:rPr>
          <w:b/>
          <w:bCs/>
        </w:rPr>
        <w:t xml:space="preserve">two</w:t>
      </w:r>
      <w:r>
        <w:t xml:space="preserve">, Manavgat to Bejís at 0.407 [0.323, 0.493] and Muğla to</w:t>
      </w:r>
      <w:r>
        <w:t xml:space="preserve"> </w:t>
      </w:r>
      <w:r>
        <w:t xml:space="preserve">Manavgat at 0.433 [0.381, 0.491], supported at the 10 km collar though both intervals cover chance at</w:t>
      </w:r>
      <w:r>
        <w:t xml:space="preserve"> </w:t>
      </w:r>
      <w:r>
        <w:t xml:space="preserve">5 km. Those directions still need a mechanism acting on the direction of the relationship, because no account of merely lost skill produces a reliably</w:t>
      </w:r>
      <w:r>
        <w:t xml:space="preserve"> </w:t>
      </w:r>
      <w:r>
        <w:t xml:space="preserve">reversed ranking, and Section S4 pursues it. Everything below this point is computed on the</w:t>
      </w:r>
      <w:r>
        <w:t xml:space="preserve"> </w:t>
      </w:r>
      <w:r>
        <w:t xml:space="preserve">frames as drawn and should be read against Section 4.4. Per-split and per-scar detail is in Section S1.9; per-direction values for all twenty directions, raw and under both adaptations, are in</w:t>
      </w:r>
      <w:r>
        <w:t xml:space="preserve"> </w:t>
      </w:r>
      <w:r>
        <w:t xml:space="preserve">Table S16.</w:t>
      </w:r>
    </w:p>
    <w:p>
      <w:pPr>
        <w:pStyle w:val="BodyText"/>
      </w:pPr>
      <w:r>
        <w:rPr>
          <w:b/>
          <w:bCs/>
        </w:rPr>
        <w:t xml:space="preserve">Label-blind adaptation compresses the matrix toward chance rather than repairing it.</w:t>
      </w:r>
      <w:r>
        <w:t xml:space="preserve"> </w:t>
      </w:r>
      <w:r>
        <w:t xml:space="preserve">Under</w:t>
      </w:r>
      <w:r>
        <w:t xml:space="preserve"> </w:t>
      </w:r>
      <w:r>
        <w:t xml:space="preserve">region-wise z-scoring the twenty directions span 0.302 to 0.630 and under CORAL 0.406 to 0.624,</w:t>
      </w:r>
      <w:r>
        <w:t xml:space="preserve"> </w:t>
      </w:r>
      <w:r>
        <w:t xml:space="preserve">with no adapted direction exceeding 0.630 against the unmatched within-region references of 0.859</w:t>
      </w:r>
      <w:r>
        <w:t xml:space="preserve"> </w:t>
      </w:r>
      <w:r>
        <w:t xml:space="preserve">to 0.918. The compression is not uniform: under z-scoring Bejís to Manavgat moves further below</w:t>
      </w:r>
      <w:r>
        <w:t xml:space="preserve"> </w:t>
      </w:r>
      <w:r>
        <w:t xml:space="preserve">chance, from 0.314 to 0.302. Adaptation raises the failing directions and degrades most of those</w:t>
      </w:r>
      <w:r>
        <w:t xml:space="preserve"> </w:t>
      </w:r>
      <w:r>
        <w:t xml:space="preserve">that already transferred. Taking the better of the two adaptations per direction, 15 of the 20 end</w:t>
      </w:r>
      <w:r>
        <w:t xml:space="preserve"> </w:t>
      </w:r>
      <w:r>
        <w:t xml:space="preserve">closer to chance than they began and 5 end further from it; four of those five involve Montiferru,</w:t>
      </w:r>
      <w:r>
        <w:t xml:space="preserve"> </w:t>
      </w:r>
      <w:r>
        <w:t xml:space="preserve">the smallest and last-added region, and move upward, while the fifth is Manavgat→Muğla moving</w:t>
      </w:r>
      <w:r>
        <w:t xml:space="preserve"> </w:t>
      </w:r>
      <w:r>
        <w:t xml:space="preserve">downward from 0.438 to 0.427. Under CORAL alone sixteen of twenty end closer (Section 4.5). The</w:t>
      </w:r>
      <w:r>
        <w:t xml:space="preserve"> </w:t>
      </w:r>
      <w:r>
        <w:t xml:space="preserve">split should be read at the precision of limitation (viii) in Section S3.5</w:t>
      </w:r>
      <w:r>
        <w:t xml:space="preserve"> </w:t>
      </w:r>
      <w:r>
        <w:t xml:space="preserve">(</w:t>
      </w:r>
      <w:r>
        <w:rPr>
          <w:rStyle w:val="VerbatimChar"/>
        </w:rPr>
        <w:t xml:space="preserve">paper/labelfix_rerun/round5/matrix20_official.csv</w:t>
      </w:r>
      <w:r>
        <w:t xml:space="preserve">).</w:t>
      </w:r>
    </w:p>
    <w:p>
      <w:pPr>
        <w:pStyle w:val="BodyText"/>
      </w:pPr>
      <w:r>
        <w:t xml:space="preserve">The per-direction decomposition is in Section S1.10, Table S6; two figures from it matter here and</w:t>
      </w:r>
      <w:r>
        <w:t xml:space="preserve"> </w:t>
      </w:r>
      <w:r>
        <w:t xml:space="preserve">are used below.</w:t>
      </w:r>
    </w:p>
    <w:p>
      <w:pPr>
        <w:pStyle w:val="BodyText"/>
      </w:pPr>
      <w:r>
        <w:rPr>
          <w:b/>
          <w:bCs/>
        </w:rPr>
        <w:t xml:space="preserve">Against the right reference, adaptation is not failing</w:t>
      </w:r>
      <w:r>
        <w:t xml:space="preserve"> </w:t>
      </w:r>
      <w:r>
        <w:t xml:space="preserve">(Fig. 5). The controls of Section 4.3</w:t>
      </w:r>
      <w:r>
        <w:t xml:space="preserve"> </w:t>
      </w:r>
      <w:r>
        <w:t xml:space="preserve">give an achievable reference for a model applied to a fire it has not seen: 0.586 for the</w:t>
      </w:r>
      <w:r>
        <w:t xml:space="preserve"> </w:t>
      </w:r>
      <w:r>
        <w:t xml:space="preserve">half-split, 0.546 for the leave-one-scar-out. CORAL, committed to in advance, averages</w:t>
      </w:r>
      <w:r>
        <w:t xml:space="preserve"> </w:t>
      </w:r>
      <w:r>
        <w:rPr>
          <w:b/>
          <w:bCs/>
        </w:rPr>
        <w:t xml:space="preserve">0.517</w:t>
      </w:r>
      <w:r>
        <w:t xml:space="preserve"> </w:t>
      </w:r>
      <w:r>
        <w:t xml:space="preserve">across the twenty directions against 0.527 raw, below that reference. Taking whichever of the two</w:t>
      </w:r>
      <w:r>
        <w:t xml:space="preserve"> </w:t>
      </w:r>
      <w:r>
        <w:t xml:space="preserve">adaptations scores higher per direction gives 0.523, but that selection uses the target labels the</w:t>
      </w:r>
      <w:r>
        <w:t xml:space="preserve"> </w:t>
      </w:r>
      <w:r>
        <w:t xml:space="preserve">protocol forbids, so it is an oracle upper bound rather than an achievable result and is reported</w:t>
      </w:r>
      <w:r>
        <w:t xml:space="preserve"> </w:t>
      </w:r>
      <w:r>
        <w:t xml:space="preserve">as one. What it does is</w:t>
      </w:r>
      <w:r>
        <w:t xml:space="preserve"> </w:t>
      </w:r>
      <w:r>
        <w:t xml:space="preserve">regress the matrix towards chance: sixteen of twenty directions move closer to chance, which</w:t>
      </w:r>
      <w:r>
        <w:t xml:space="preserve"> </w:t>
      </w:r>
      <w:r>
        <w:t xml:space="preserve">harms the directions that already worked and helps the ones that did not. The verdict that follows</w:t>
      </w:r>
      <w:r>
        <w:t xml:space="preserve"> </w:t>
      </w:r>
      <w:r>
        <w:t xml:space="preserve">is narrower than</w:t>
      </w:r>
      <w:r>
        <w:t xml:space="preserve"> </w:t>
      </w:r>
      <w:r>
        <w:t xml:space="preserve">“alignment fails”</w:t>
      </w:r>
      <w:r>
        <w:t xml:space="preserve">. Alignment cannot exceed what a model can achieve on an unseen</w:t>
      </w:r>
      <w:r>
        <w:t xml:space="preserve"> </w:t>
      </w:r>
      <w:r>
        <w:t xml:space="preserve">fire, and it does not.</w:t>
      </w:r>
    </w:p>
    <w:p>
      <w:pPr>
        <w:pStyle w:val="BodyText"/>
      </w:pPr>
      <w:r>
        <w:t xml:space="preserve">In the six directions where raw transfer was below chance, the best label-free method recovers at</w:t>
      </w:r>
      <w:r>
        <w:t xml:space="preserve"> </w:t>
      </w:r>
      <w:r>
        <w:t xml:space="preserve">most 28 % of the gap to the within-region reference (Bejís to Evia), so the remaining unrecovered</w:t>
      </w:r>
      <w:r>
        <w:t xml:space="preserve"> </w:t>
      </w:r>
      <w:r>
        <w:t xml:space="preserve">fraction is at least 0.72 everywhere. The half-split control above shows that the larger part of that remainder is</w:t>
      </w:r>
      <w:r>
        <w:t xml:space="preserve"> </w:t>
      </w:r>
      <w:r>
        <w:t xml:space="preserve">already incurred inside the region, so it should not be read as a measure of concept shift. On the four-AOI twelve-direction subset for which the decomposition is defined (Section S1.10),</w:t>
      </w:r>
      <w:r>
        <w:t xml:space="preserve"> </w:t>
      </w:r>
      <w:r>
        <w:t xml:space="preserve">seven directions show</w:t>
      </w:r>
      <w:r>
        <w:t xml:space="preserve"> </w:t>
      </w:r>
      <w:r>
        <w:rPr>
          <w:i/>
          <w:iCs/>
        </w:rPr>
        <w:t xml:space="preserve">negative</w:t>
      </w:r>
      <w:r>
        <w:t xml:space="preserve"> </w:t>
      </w:r>
      <w:r>
        <w:t xml:space="preserve">recovery, five of them with intervals entirely below zero, meaning</w:t>
      </w:r>
      <w:r>
        <w:t xml:space="preserve"> </w:t>
      </w:r>
      <w:r>
        <w:t xml:space="preserve">adaptation moves the score away from the reference; in six of those raw transfer was already above chance and adaptation</w:t>
      </w:r>
      <w:r>
        <w:t xml:space="preserve"> </w:t>
      </w:r>
      <w:r>
        <w:t xml:space="preserve">destroyed that advantage. Label-free alignment therefore does not act as a repair mechanism.</w:t>
      </w:r>
    </w:p>
    <w:p>
      <w:pPr>
        <w:pStyle w:val="BodyText"/>
      </w:pPr>
      <w:r>
        <w:rPr>
          <w:b/>
          <w:bCs/>
        </w:rPr>
        <w:t xml:space="preserve">Seed stability (moved from Results 4.5).</w:t>
      </w:r>
      <w:r>
        <w:t xml:space="preserve"> </w:t>
      </w:r>
      <w:r>
        <w:t xml:space="preserve">Across five bootstrap seeds every 2-cell verdict is stable. At 10 cells, one level verdict</w:t>
      </w:r>
      <w:r>
        <w:t xml:space="preserve"> </w:t>
      </w:r>
      <w:r>
        <w:t xml:space="preserve">and two paired-delta verdicts are not (</w:t>
      </w:r>
      <w:r>
        <w:rPr>
          <w:rStyle w:val="VerbatimChar"/>
        </w:rPr>
        <w:t xml:space="preserve">transfer_ci_blocksize.csv</w:t>
      </w:r>
      <w:r>
        <w:t xml:space="preserve">): the level verdict of Evia to</w:t>
      </w:r>
      <w:r>
        <w:t xml:space="preserve"> </w:t>
      </w:r>
      <w:r>
        <w:t xml:space="preserve">Bejís and the paired-delta verdicts of Manavgat to Muğla and Evia to Montiferru</w:t>
      </w:r>
      <w:r>
        <w:t xml:space="preserve"> </w:t>
      </w:r>
      <w:r>
        <w:t xml:space="preserve">(</w:t>
      </w:r>
      <w:r>
        <w:rPr>
          <w:rStyle w:val="VerbatimChar"/>
        </w:rPr>
        <w:t xml:space="preserve">paper/labelfix_rerun/round6/seed_stability.json</w:t>
      </w:r>
      <w:r>
        <w:t xml:space="preserve">).</w:t>
      </w:r>
    </w:p>
    <w:p>
      <w:pPr>
        <w:pStyle w:val="BodyText"/>
      </w:pPr>
      <w:r>
        <w:rPr>
          <w:b/>
          <w:bCs/>
        </w:rPr>
        <w:t xml:space="preserve">The leave-one-region-out jackknife (moved from Results 4.5).</w:t>
      </w:r>
      <w:r>
        <w:t xml:space="preserve"> </w:t>
      </w:r>
      <w:r>
        <w:t xml:space="preserve">The</w:t>
      </w:r>
      <w:r>
        <w:t xml:space="preserve"> </w:t>
      </w:r>
      <w:r>
        <w:t xml:space="preserve">leave-one-region-out jackknife shows the mean is not carried by any single region. Dropping one</w:t>
      </w:r>
      <w:r>
        <w:t xml:space="preserve"> </w:t>
      </w:r>
      <w:r>
        <w:t xml:space="preserve">region at a time moves it between +0.001 (without Evia) and +0.015 (without Manavgat), and never</w:t>
      </w:r>
      <w:r>
        <w:t xml:space="preserve"> </w:t>
      </w:r>
      <w:r>
        <w:t xml:space="preserve">reverses its sign.</w:t>
      </w:r>
    </w:p>
    <w:bookmarkEnd w:id="46"/>
    <w:bookmarkStart w:id="47" w:name="s1.22-the-diagnostics-elaborated"/>
    <w:p>
      <w:pPr>
        <w:pStyle w:val="Heading2"/>
      </w:pPr>
      <w:r>
        <w:t xml:space="preserve">S1.22 The diagnostics, elaborated</w:t>
      </w:r>
    </w:p>
    <w:p>
      <w:pPr>
        <w:pStyle w:val="FirstParagraph"/>
      </w:pPr>
      <w:r>
        <w:t xml:space="preserve">Section S4 states these results; the paragraphs it condensed are here.</w:t>
      </w:r>
    </w:p>
    <w:p>
      <w:pPr>
        <w:pStyle w:val="BodyText"/>
      </w:pPr>
      <w:r>
        <w:t xml:space="preserve">Twenty candidate diagnostics from five families were each rank-correlated with the same target</w:t>
      </w:r>
      <w:r>
        <w:t xml:space="preserve"> </w:t>
      </w:r>
      <w:r>
        <w:t xml:space="preserve">quantity, the raw thermal transfer AUC over the twenty ordered directions, under one common</w:t>
      </w:r>
      <w:r>
        <w:t xml:space="preserve"> </w:t>
      </w:r>
      <w:r>
        <w:t xml:space="preserve">pair-based bootstrap.</w:t>
      </w:r>
    </w:p>
    <w:p>
      <w:pPr>
        <w:pStyle w:val="BodyText"/>
      </w:pPr>
      <w:r>
        <w:t xml:space="preserve">The by-family grouping is in the diagnostics material released with this Supplementary Material.</w:t>
      </w:r>
    </w:p>
    <w:p>
      <w:pPr>
        <w:pStyle w:val="BodyText"/>
      </w:pPr>
      <w:r>
        <w:t xml:space="preserve">Geographic separation does not order the matrix on either construction: over all twenty directions</w:t>
      </w:r>
      <w:r>
        <w:t xml:space="preserve"> </w:t>
      </w:r>
      <w:r>
        <w:t xml:space="preserve">the Spearman correlation between centroid separation and transfer is −0.32, and on the</w:t>
      </w:r>
      <w:r>
        <w:t xml:space="preserve"> </w:t>
      </w:r>
      <w:r>
        <w:t xml:space="preserve">twelve-direction common subset −0.24, both spanning zero. The two nearest directions are among the</w:t>
      </w:r>
      <w:r>
        <w:t xml:space="preserve"> </w:t>
      </w:r>
      <w:r>
        <w:t xml:space="preserve">worst on the frames as drawn, while the 2,802 km pair returns 0.326 and 0.444, so the transfer mean</w:t>
      </w:r>
      <w:r>
        <w:t xml:space="preserve"> </w:t>
      </w:r>
      <w:r>
        <w:t xml:space="preserve">of 0.541 is not the value at any one separation.</w:t>
      </w:r>
    </w:p>
    <w:p>
      <w:pPr>
        <w:pStyle w:val="BodyText"/>
      </w:pPr>
      <w:r>
        <w:rPr>
          <w:b/>
          <w:bCs/>
        </w:rPr>
        <w:t xml:space="preserve">Only two diagnostics have intervals excluding zero, and both are conditional</w:t>
      </w:r>
      <w:r>
        <w:t xml:space="preserve">: the sign-agreement</w:t>
      </w:r>
      <w:r>
        <w:t xml:space="preserve"> </w:t>
      </w:r>
      <w:r>
        <w:t xml:space="preserve">fraction over interval-supported features at ρ = +0.84 [+0.58, +0.88], and its cosine variant at</w:t>
      </w:r>
      <w:r>
        <w:t xml:space="preserve"> </w:t>
      </w:r>
      <w:r>
        <w:t xml:space="preserve">+0.81. No marginal measure was shown to order the matrix, including area-of-applicability</w:t>
      </w:r>
      <w:r>
        <w:t xml:space="preserve"> </w:t>
      </w:r>
      <w:r>
        <w:t xml:space="preserve">dissimilarity, climatic distance and geographic distance, and neither were the niche-overlap and</w:t>
      </w:r>
      <w:r>
        <w:t xml:space="preserve"> </w:t>
      </w:r>
      <w:r>
        <w:t xml:space="preserve">regime families. The learned domain classifier is at ceiling, separating source from target at</w:t>
      </w:r>
      <w:r>
        <w:t xml:space="preserve"> </w:t>
      </w:r>
      <w:r>
        <w:t xml:space="preserve">AUC ≥ 0.96 for every pair; it always succeeds, which is why it carries no ordering information.</w:t>
      </w:r>
    </w:p>
    <w:p>
      <w:pPr>
        <w:pStyle w:val="BodyText"/>
      </w:pPr>
      <w:r>
        <w:t xml:space="preserve">Four limits are stated with the result rather than after it.</w:t>
      </w:r>
      <w:r>
        <w:t xml:space="preserve"> </w:t>
      </w:r>
      <w:r>
        <w:rPr>
          <w:b/>
          <w:bCs/>
        </w:rPr>
        <w:t xml:space="preserve">Size</w:t>
      </w:r>
      <w:r>
        <w:t xml:space="preserve">: the index’s tie structure caps</w:t>
      </w:r>
      <w:r>
        <w:t xml:space="preserve"> </w:t>
      </w:r>
      <w:r>
        <w:t xml:space="preserve">the achievable Spearman at +0.861, so the observed +0.840 sits on that ceiling, and its exact</w:t>
      </w:r>
      <w:r>
        <w:t xml:space="preserve"> </w:t>
      </w:r>
      <w:r>
        <w:t xml:space="preserve">one-sided permutation p of 0.0060 is the smallest that structure can produce against a Bonferroni</w:t>
      </w:r>
      <w:r>
        <w:t xml:space="preserve"> </w:t>
      </w:r>
      <w:r>
        <w:t xml:space="preserve">threshold of 0.0026 over nineteen computed variants —</w:t>
      </w:r>
      <w:r>
        <w:t xml:space="preserve"> </w:t>
      </w:r>
      <w:r>
        <w:rPr>
          <w:b/>
          <w:bCs/>
        </w:rPr>
        <w:t xml:space="preserve">no outcome of this diagnostic could have</w:t>
      </w:r>
      <w:r>
        <w:rPr>
          <w:b/>
          <w:bCs/>
        </w:rPr>
        <w:t xml:space="preserve"> </w:t>
      </w:r>
      <w:r>
        <w:rPr>
          <w:b/>
          <w:bCs/>
        </w:rPr>
        <w:t xml:space="preserve">cleared family-wise correction on ten effective pairs</w:t>
      </w:r>
      <w:r>
        <w:t xml:space="preserve">.</w:t>
      </w:r>
      <w:r>
        <w:t xml:space="preserve"> </w:t>
      </w:r>
      <w:r>
        <w:rPr>
          <w:b/>
          <w:bCs/>
        </w:rPr>
        <w:t xml:space="preserve">Labels</w:t>
      </w:r>
      <w:r>
        <w:t xml:space="preserve">: signed associations need burned</w:t>
      </w:r>
      <w:r>
        <w:t xml:space="preserve"> </w:t>
      </w:r>
      <w:r>
        <w:t xml:space="preserve">labels in both regions, so the family that appears to work is not available before deployment while</w:t>
      </w:r>
      <w:r>
        <w:t xml:space="preserve"> </w:t>
      </w:r>
      <w:r>
        <w:t xml:space="preserve">the family that fails is.</w:t>
      </w:r>
      <w:r>
        <w:t xml:space="preserve"> </w:t>
      </w:r>
      <w:r>
        <w:rPr>
          <w:b/>
          <w:bCs/>
        </w:rPr>
        <w:t xml:space="preserve">Selection</w:t>
      </w:r>
      <w:r>
        <w:t xml:space="preserve">, the sharpest of the three: the two rows that clear zero are</w:t>
      </w:r>
      <w:r>
        <w:t xml:space="preserve"> </w:t>
      </w:r>
      <w:r>
        <w:t xml:space="preserve">the</w:t>
      </w:r>
      <w:r>
        <w:t xml:space="preserve"> </w:t>
      </w:r>
      <w:r>
        <w:rPr>
          <w:i/>
          <w:iCs/>
        </w:rPr>
        <w:t xml:space="preserve">supported-feature</w:t>
      </w:r>
      <w:r>
        <w:t xml:space="preserve"> </w:t>
      </w:r>
      <w:r>
        <w:t xml:space="preserve">variants, whose subset is chosen by whether two regions’ bootstrap intervals</w:t>
      </w:r>
      <w:r>
        <w:t xml:space="preserve"> </w:t>
      </w:r>
      <w:r>
        <w:t xml:space="preserve">happen to be disjoint — a data-dependent selection made on the same data, with no correction. Their</w:t>
      </w:r>
      <w:r>
        <w:t xml:space="preserve"> </w:t>
      </w:r>
      <w:r>
        <w:t xml:space="preserve">unselected counterparts over all nine features are ρ = +0.50 [−0.17, +0.83] and +0.18 [−0.40, +0.72],</w:t>
      </w:r>
      <w:r>
        <w:t xml:space="preserve"> </w:t>
      </w:r>
      <w:r>
        <w:t xml:space="preserve">both spanning zero, so the result lives in the selection step and is reported as such.</w:t>
      </w:r>
    </w:p>
    <w:p>
      <w:pPr>
        <w:pStyle w:val="BodyText"/>
      </w:pPr>
      <w:r>
        <w:t xml:space="preserve">The families sit on unequal samples — twelve directions for the marginal, applicability, climatic and</w:t>
      </w:r>
      <w:r>
        <w:t xml:space="preserve"> </w:t>
      </w:r>
      <w:r>
        <w:t xml:space="preserve">geographic rows, sixteen for the supported-conditional rows, twenty for the rest — so every row was</w:t>
      </w:r>
      <w:r>
        <w:t xml:space="preserve"> </w:t>
      </w:r>
      <w:r>
        <w:t xml:space="preserve">recomputed on the common twelve. Published values reproduce to 4.8 × 10⁻⁵, the conditional rows still</w:t>
      </w:r>
      <w:r>
        <w:t xml:space="preserve"> </w:t>
      </w:r>
      <w:r>
        <w:t xml:space="preserve">lead at +0.87 [+0.65, +0.88] and +0.85 [+0.43, +0.88], and every marginal row still spans zero. The</w:t>
      </w:r>
      <w:r>
        <w:t xml:space="preserve"> </w:t>
      </w:r>
      <w:r>
        <w:t xml:space="preserve">ordering is not an artefact of unequal samples.</w:t>
      </w:r>
    </w:p>
    <w:p>
      <w:pPr>
        <w:pStyle w:val="BodyText"/>
      </w:pPr>
      <w:r>
        <w:rPr>
          <w:b/>
          <w:bCs/>
        </w:rPr>
        <w:t xml:space="preserve">A fourth limit, established in Section 4.4, removes the result entirely.</w:t>
      </w:r>
      <w:r>
        <w:t xml:space="preserve"> </w:t>
      </w:r>
      <w:r>
        <w:t xml:space="preserve">The index is built from</w:t>
      </w:r>
      <w:r>
        <w:t xml:space="preserve"> </w:t>
      </w:r>
      <w:r>
        <w:t xml:space="preserve">signed associations that Section 4.4 shows to be frame artefacts, and was correlated against transfer</w:t>
      </w:r>
      <w:r>
        <w:t xml:space="preserve"> </w:t>
      </w:r>
      <w:r>
        <w:t xml:space="preserve">measured on the same frames. Recomputed on an equalised frame it is unanimous, with no variance left</w:t>
      </w:r>
      <w:r>
        <w:t xml:space="preserve"> </w:t>
      </w:r>
      <w:r>
        <w:t xml:space="preserve">to correlate. Everything in this section is what the original protocol yields; the conclusion that</w:t>
      </w:r>
      <w:r>
        <w:t xml:space="preserve"> </w:t>
      </w:r>
      <w:r>
        <w:t xml:space="preserve">survives is that</w:t>
      </w:r>
      <w:r>
        <w:t xml:space="preserve"> </w:t>
      </w:r>
      <w:r>
        <w:rPr>
          <w:b/>
          <w:bCs/>
        </w:rPr>
        <w:t xml:space="preserve">no diagnostic tested here was shown to order transfer once the frames are</w:t>
      </w:r>
      <w:r>
        <w:rPr>
          <w:b/>
          <w:bCs/>
        </w:rPr>
        <w:t xml:space="preserve"> </w:t>
      </w:r>
      <w:r>
        <w:rPr>
          <w:b/>
          <w:bCs/>
        </w:rPr>
        <w:t xml:space="preserve">comparable</w:t>
      </w:r>
      <w:r>
        <w:t xml:space="preserve">.</w:t>
      </w:r>
    </w:p>
    <w:bookmarkEnd w:id="47"/>
    <w:bookmarkStart w:id="48" w:name="s1.23-the-four-evaluations-elaborated"/>
    <w:p>
      <w:pPr>
        <w:pStyle w:val="Heading2"/>
      </w:pPr>
      <w:r>
        <w:t xml:space="preserve">S1.23 The four evaluations, elaborated</w:t>
      </w:r>
    </w:p>
    <w:p>
      <w:pPr>
        <w:pStyle w:val="FirstParagraph"/>
      </w:pPr>
      <w:r>
        <w:t xml:space="preserve">Section 4.3 states these results; the paragraphs it condensed are here.</w:t>
      </w:r>
    </w:p>
    <w:p>
      <w:pPr>
        <w:pStyle w:val="BodyText"/>
      </w:pPr>
      <w:r>
        <w:rPr>
          <w:b/>
          <w:bCs/>
        </w:rPr>
        <w:t xml:space="preserve">Where the skill is lost, on a matched comparison.</w:t>
      </w:r>
      <w:r>
        <w:t xml:space="preserve"> </w:t>
      </w:r>
      <w:r>
        <w:t xml:space="preserve">Four evaluations are reported; the last three</w:t>
      </w:r>
      <w:r>
        <w:t xml:space="preserve"> </w:t>
      </w:r>
      <w:r>
        <w:t xml:space="preserve">are scored on</w:t>
      </w:r>
      <w:r>
        <w:t xml:space="preserve"> </w:t>
      </w:r>
      <w:r>
        <w:rPr>
          <w:b/>
          <w:bCs/>
        </w:rPr>
        <w:t xml:space="preserve">identical cells</w:t>
      </w:r>
      <w:r>
        <w:t xml:space="preserve">, so they differ only in what the model was trained on, and the</w:t>
      </w:r>
      <w:r>
        <w:t xml:space="preserve"> </w:t>
      </w:r>
      <w:r>
        <w:t xml:space="preserve">first shows why an unmatched comparison misleads. The held-out unit is a burned connected component</w:t>
      </w:r>
      <w:r>
        <w:t xml:space="preserve"> </w:t>
      </w:r>
      <w:r>
        <w:t xml:space="preserve">of at least 50 cells together with all cells within 2 km of it. What makes that a harder problem</w:t>
      </w:r>
      <w:r>
        <w:t xml:space="preserve"> </w:t>
      </w:r>
      <w:r>
        <w:t xml:space="preserve">than a whole region is the composition of its negatives, not its burned fraction, and that can be</w:t>
      </w:r>
      <w:r>
        <w:t xml:space="preserve"> </w:t>
      </w:r>
      <w:r>
        <w:t xml:space="preserve">shown rather than argued. Taking the same fitted model and the same</w:t>
      </w:r>
      <w:r>
        <w:t xml:space="preserve"> </w:t>
      </w:r>
      <w:r>
        <w:t xml:space="preserve">out-of-fold predictions and scoring them on a random sample of region cells drawn at the scar area’s</w:t>
      </w:r>
      <w:r>
        <w:t xml:space="preserve"> </w:t>
      </w:r>
      <w:r>
        <w:t xml:space="preserve">own burned fraction gives</w:t>
      </w:r>
      <w:r>
        <w:t xml:space="preserve"> </w:t>
      </w:r>
      <w:r>
        <w:rPr>
          <w:b/>
          <w:bCs/>
        </w:rPr>
        <w:t xml:space="preserve">0.793 against the region-wide 0.791</w:t>
      </w:r>
      <w:r>
        <w:t xml:space="preserve">: matching the prevalence changes</w:t>
      </w:r>
      <w:r>
        <w:t xml:space="preserve"> </w:t>
      </w:r>
      <w:r>
        <w:t xml:space="preserve">nothing, at −0.002 [−0.005, +0.001] over the nine scars. Scoring the same predictions on the scar</w:t>
      </w:r>
      <w:r>
        <w:t xml:space="preserve"> </w:t>
      </w:r>
      <w:r>
        <w:t xml:space="preserve">area itself gives 0.644, a fall of</w:t>
      </w:r>
      <w:r>
        <w:t xml:space="preserve"> </w:t>
      </w:r>
      <w:r>
        <w:rPr>
          <w:b/>
          <w:bCs/>
        </w:rPr>
        <w:t xml:space="preserve">+0.149 [+0.087, +0.211]</w:t>
      </w:r>
      <w:r>
        <w:t xml:space="preserve">. The whole effect is the negative</w:t>
      </w:r>
      <w:r>
        <w:t xml:space="preserve"> </w:t>
      </w:r>
      <w:r>
        <w:t xml:space="preserve">pool. Every negative in a scar collar is fire-adjacent, sharing the terrain, land cover and synoptic</w:t>
      </w:r>
      <w:r>
        <w:t xml:space="preserve"> </w:t>
      </w:r>
      <w:r>
        <w:t xml:space="preserve">conditions of the positives, whereas a region’s negatives include its easy far field. The burned</w:t>
      </w:r>
      <w:r>
        <w:t xml:space="preserve"> </w:t>
      </w:r>
      <w:r>
        <w:t xml:space="preserve">fraction, 34 to 87 % against 7.0 to 28.7 % for a region, is a symptom of that construction, and</w:t>
      </w:r>
      <w:r>
        <w:t xml:space="preserve"> </w:t>
      </w:r>
      <w:r>
        <w:t xml:space="preserve">ROC-AUC is in any case invariant to class balance at fixed class-conditional distributions.</w:t>
      </w:r>
    </w:p>
    <w:p>
      <w:pPr>
        <w:pStyle w:val="BodyText"/>
      </w:pPr>
      <w:r>
        <w:t xml:space="preserve">Table S1 (Section S1.9) carries the four evaluations; its rows</w:t>
      </w:r>
      <w:r>
        <w:t xml:space="preserve"> </w:t>
      </w:r>
      <w:r>
        <w:t xml:space="preserve">are labelled A to D and referred to by those letters below.</w:t>
      </w:r>
    </w:p>
    <w:p>
      <w:pPr>
        <w:pStyle w:val="BodyText"/>
      </w:pPr>
      <w:r>
        <w:t xml:space="preserve">Table S1’s four rows are means over the</w:t>
      </w:r>
      <w:r>
        <w:t xml:space="preserve"> </w:t>
      </w:r>
      <w:r>
        <w:rPr>
          <w:b/>
          <w:bCs/>
        </w:rPr>
        <w:t xml:space="preserve">same seven scars</w:t>
      </w:r>
      <w:r>
        <w:t xml:space="preserve">. Two burned components, Bejís’s and</w:t>
      </w:r>
      <w:r>
        <w:t xml:space="preserve"> </w:t>
      </w:r>
      <w:r>
        <w:t xml:space="preserve">Manavgat’s, are excluded</w:t>
      </w:r>
      <w:r>
        <w:t xml:space="preserve"> </w:t>
      </w:r>
      <w:r>
        <w:rPr>
          <w:b/>
          <w:bCs/>
        </w:rPr>
        <w:t xml:space="preserve">from it</w:t>
      </w:r>
      <w:r>
        <w:t xml:space="preserve">: each is its region’s only component of any size (under the</w:t>
      </w:r>
      <w:r>
        <w:t xml:space="preserve"> </w:t>
      </w:r>
      <w:r>
        <w:t xml:space="preserve">corrected label Manavgat’s burns merge into one scar, 2,934 of 2,935 cells), so holding it out leaves</w:t>
      </w:r>
      <w:r>
        <w:t xml:space="preserve"> </w:t>
      </w:r>
      <w:r>
        <w:t xml:space="preserve">no usable source model and there is no row C for it. They are</w:t>
      </w:r>
      <w:r>
        <w:t xml:space="preserve"> </w:t>
      </w:r>
      <w:r>
        <w:rPr>
          <w:i/>
          <w:iCs/>
        </w:rPr>
        <w:t xml:space="preserve">not</w:t>
      </w:r>
      <w:r>
        <w:t xml:space="preserve"> </w:t>
      </w:r>
      <w:r>
        <w:t xml:space="preserve">excluded from the arms that need</w:t>
      </w:r>
      <w:r>
        <w:t xml:space="preserve"> </w:t>
      </w:r>
      <w:r>
        <w:t xml:space="preserve">no leave-one-scar-out model, so the prevalence control two paragraphs above and Tables S4 and S5 are</w:t>
      </w:r>
      <w:r>
        <w:t xml:space="preserve"> </w:t>
      </w:r>
      <w:r>
        <w:t xml:space="preserve">computed on nine scars. That is why their means, 0.791 and 0.644, differ from Table S1’s 0.773</w:t>
      </w:r>
      <w:r>
        <w:t xml:space="preserve"> </w:t>
      </w:r>
      <w:r>
        <w:t xml:space="preserve">and 0.640. Rows A, B and D are given there on the seven so that the differences are</w:t>
      </w:r>
      <w:r>
        <w:t xml:space="preserve"> </w:t>
      </w:r>
      <w:r>
        <w:t xml:space="preserve">paired, and the intervals are Student</w:t>
      </w:r>
      <w:r>
        <w:t xml:space="preserve"> </w:t>
      </w:r>
      <w:r>
        <w:rPr>
          <w:i/>
          <w:iCs/>
        </w:rPr>
        <w:t xml:space="preserve">t</w:t>
      </w:r>
      <w:r>
        <w:t xml:space="preserve"> </w:t>
      </w:r>
      <w:r>
        <w:t xml:space="preserve">over those seven, which is the resampling unit for this arm rather than the spatial-block bootstrap used</w:t>
      </w:r>
      <w:r>
        <w:t xml:space="preserve"> </w:t>
      </w:r>
      <w:r>
        <w:t xml:space="preserve">elsewhere in the paper. Seven is a small number and the intervals are wide accordingly. Four of the</w:t>
      </w:r>
      <w:r>
        <w:t xml:space="preserve"> </w:t>
      </w:r>
      <w:r>
        <w:t xml:space="preserve">seven scars are in Muğla, two in Montiferru and one in Evia, so they are not independent; row A in particular is</w:t>
      </w:r>
      <w:r>
        <w:t xml:space="preserve"> </w:t>
      </w:r>
      <w:r>
        <w:t xml:space="preserve">a region-level quantity repeated across the scars of a region, and its interval is pseudo-replicated</w:t>
      </w:r>
      <w:r>
        <w:t xml:space="preserve"> </w:t>
      </w:r>
      <w:r>
        <w:t xml:space="preserve">and should not be read as coverage. The two differences are computed per scar and paired, which is</w:t>
      </w:r>
      <w:r>
        <w:t xml:space="preserve"> </w:t>
      </w:r>
      <w:r>
        <w:t xml:space="preserve">what they are reported for.</w:t>
      </w:r>
    </w:p>
    <w:p>
      <w:pPr>
        <w:pStyle w:val="BodyText"/>
      </w:pPr>
      <w:r>
        <w:rPr>
          <w:b/>
          <w:bCs/>
        </w:rPr>
        <w:t xml:space="preserve">The same model, scored two ways on the same region, differs by 0.133 AUC.</w:t>
      </w:r>
      <w:r>
        <w:t xml:space="preserve"> </w:t>
      </w:r>
      <w:r>
        <w:t xml:space="preserve">Rows A and B are one</w:t>
      </w:r>
      <w:r>
        <w:t xml:space="preserve"> </w:t>
      </w:r>
      <w:r>
        <w:t xml:space="preserve">model. The only change is which cells it is scored on: the whole region, or the burn scar and its</w:t>
      </w:r>
      <w:r>
        <w:t xml:space="preserve"> </w:t>
      </w:r>
      <w:r>
        <w:t xml:space="preserve">2 km collar. That change alone costs</w:t>
      </w:r>
      <w:r>
        <w:t xml:space="preserve"> </w:t>
      </w:r>
      <w:r>
        <w:rPr>
          <w:b/>
          <w:bCs/>
        </w:rPr>
        <w:t xml:space="preserve">0.133 [+0.059, +0.207]</w:t>
      </w:r>
      <w:r>
        <w:t xml:space="preserve"> </w:t>
      </w:r>
      <w:r>
        <w:t xml:space="preserve">of the 0.227 [+0.147, +0.308] fall from A to C,</w:t>
      </w:r>
      <w:r>
        <w:t xml:space="preserve"> </w:t>
      </w:r>
      <w:r>
        <w:t xml:space="preserve">about three fifths, and it is the size of the entire increment this literature usually reports. Both</w:t>
      </w:r>
      <w:r>
        <w:t xml:space="preserve"> </w:t>
      </w:r>
      <w:r>
        <w:t xml:space="preserve">intervals are Student</w:t>
      </w:r>
      <w:r>
        <w:t xml:space="preserve"> </w:t>
      </w:r>
      <w:r>
        <w:rPr>
          <w:i/>
          <w:iCs/>
        </w:rPr>
        <w:t xml:space="preserve">t</w:t>
      </w:r>
      <w:r>
        <w:t xml:space="preserve"> </w:t>
      </w:r>
      <w:r>
        <w:t xml:space="preserve">over the seven scars, so the</w:t>
      </w:r>
      <w:r>
        <w:t xml:space="preserve"> </w:t>
      </w:r>
      <w:r>
        <w:t xml:space="preserve">“three fifths”</w:t>
      </w:r>
      <w:r>
        <w:t xml:space="preserve"> </w:t>
      </w:r>
      <w:r>
        <w:t xml:space="preserve">is a ratio of two estimates;</w:t>
      </w:r>
      <w:r>
        <w:t xml:space="preserve"> </w:t>
      </w:r>
      <w:r>
        <w:t xml:space="preserve">the point of the comparison is the size of the numerator, not the precision of the fraction. A region-wide blocked figure is</w:t>
      </w:r>
      <w:r>
        <w:t xml:space="preserve"> </w:t>
      </w:r>
      <w:r>
        <w:t xml:space="preserve">therefore an upper bound on what the same model achieves where the fire actually is, and the</w:t>
      </w:r>
      <w:r>
        <w:t xml:space="preserve"> </w:t>
      </w:r>
      <w:r>
        <w:t xml:space="preserve">difference is not small enough to ignore. Any comparison of a scar-level result against a region-level</w:t>
      </w:r>
      <w:r>
        <w:t xml:space="preserve"> </w:t>
      </w:r>
      <w:r>
        <w:t xml:space="preserve">reference inherits that, and the region-level reference is what a paper of this kind normally</w:t>
      </w:r>
      <w:r>
        <w:t xml:space="preserve"> </w:t>
      </w:r>
      <w:r>
        <w:t xml:space="preserve">reports.</w:t>
      </w:r>
    </w:p>
    <w:p>
      <w:pPr>
        <w:pStyle w:val="BodyText"/>
      </w:pPr>
      <w:r>
        <w:rPr>
          <w:b/>
          <w:bCs/>
        </w:rPr>
        <w:t xml:space="preserve">Neither withholding the fire nor moving 2,800 km has a measurable cost.</w:t>
      </w:r>
      <w:r>
        <w:t xml:space="preserve"> </w:t>
      </w:r>
      <w:r>
        <w:t xml:space="preserve">B minus C, the</w:t>
      </w:r>
      <w:r>
        <w:t xml:space="preserve"> </w:t>
      </w:r>
      <w:r>
        <w:t xml:space="preserve">fire-specific residual on identical cells, is</w:t>
      </w:r>
      <w:r>
        <w:t xml:space="preserve"> </w:t>
      </w:r>
      <w:r>
        <w:rPr>
          <w:b/>
          <w:bCs/>
        </w:rPr>
        <w:t xml:space="preserve">+0.094 [−0.012, +0.200]</w:t>
      </w:r>
      <w:r>
        <w:t xml:space="preserve">, which spans zero. C minus</w:t>
      </w:r>
      <w:r>
        <w:t xml:space="preserve"> </w:t>
      </w:r>
      <w:r>
        <w:t xml:space="preserve">D, the effect of replacing a same-region model with one fitted between 306 and 2,802 km away, is</w:t>
      </w:r>
      <w:r>
        <w:t xml:space="preserve"> </w:t>
      </w:r>
      <w:r>
        <w:rPr>
          <w:b/>
          <w:bCs/>
        </w:rPr>
        <w:t xml:space="preserve">−0.007 [−0.070, +0.057]</w:t>
      </w:r>
      <w:r>
        <w:t xml:space="preserve">, which also spans zero and is an order of magnitude smaller. The second</w:t>
      </w:r>
      <w:r>
        <w:t xml:space="preserve"> </w:t>
      </w:r>
      <w:r>
        <w:t xml:space="preserve">is the cleaner result: on the same cells, a model fitted in another country does as well as one</w:t>
      </w:r>
      <w:r>
        <w:t xml:space="preserve"> </w:t>
      </w:r>
      <w:r>
        <w:t xml:space="preserve">fitted in the same region with the scar withheld, and it survives restriction to Muğla, the only</w:t>
      </w:r>
      <w:r>
        <w:t xml:space="preserve"> </w:t>
      </w:r>
      <w:r>
        <w:t xml:space="preserve">region where holding out one scar still leaves the source model properly trained, at 0.579 against</w:t>
      </w:r>
      <w:r>
        <w:t xml:space="preserve"> </w:t>
      </w:r>
      <w:r>
        <w:t xml:space="preserve">0.586.</w:t>
      </w:r>
    </w:p>
    <w:p>
      <w:pPr>
        <w:pStyle w:val="BodyText"/>
      </w:pPr>
      <w:r>
        <w:rPr>
          <w:b/>
          <w:bCs/>
        </w:rPr>
        <w:t xml:space="preserve">Row D averages four foreign models over a large spread</w:t>
      </w:r>
      <w:r>
        <w:t xml:space="preserve">, 28 scar-by-source combinations running</w:t>
      </w:r>
      <w:r>
        <w:t xml:space="preserve"> </w:t>
      </w:r>
      <w:r>
        <w:t xml:space="preserve">0.374 to 0.724 with nine below chance, so the pooled 0.553 says the</w:t>
      </w:r>
      <w:r>
        <w:t xml:space="preserve"> </w:t>
      </w:r>
      <w:r>
        <w:rPr>
          <w:i/>
          <w:iCs/>
        </w:rPr>
        <w:t xml:space="preserve">average</w:t>
      </w:r>
      <w:r>
        <w:t xml:space="preserve"> </w:t>
      </w:r>
      <w:r>
        <w:t xml:space="preserve">foreign model matches a</w:t>
      </w:r>
      <w:r>
        <w:t xml:space="preserve"> </w:t>
      </w:r>
      <w:r>
        <w:t xml:space="preserve">same-region one, not that any particular one does. One confound must be stated: holding out a</w:t>
      </w:r>
      <w:r>
        <w:t xml:space="preserve"> </w:t>
      </w:r>
      <w:r>
        <w:t xml:space="preserve">region’s only large scar also removes most of its positives, so row C mixes</w:t>
      </w:r>
      <w:r>
        <w:t xml:space="preserve"> </w:t>
      </w:r>
      <w:r>
        <w:t xml:space="preserve">“the fire was withheld”</w:t>
      </w:r>
      <w:r>
        <w:t xml:space="preserve"> </w:t>
      </w:r>
      <w:r>
        <w:t xml:space="preserve">with</w:t>
      </w:r>
      <w:r>
        <w:t xml:space="preserve"> </w:t>
      </w:r>
      <w:r>
        <w:t xml:space="preserve">“almost all the positives were withheld”</w:t>
      </w:r>
      <w:r>
        <w:t xml:space="preserve">; restricted to Muğla, where four scars remain, C is</w:t>
      </w:r>
      <w:r>
        <w:t xml:space="preserve"> </w:t>
      </w:r>
      <w:r>
        <w:t xml:space="preserve">0.579 and D is 0.586 and the comparison still shows nothing.</w:t>
      </w:r>
      <w:r>
        <w:t xml:space="preserve"> </w:t>
      </w:r>
      <w:r>
        <w:rPr>
          <w:b/>
          <w:bCs/>
        </w:rPr>
        <w:t xml:space="preserve">With seven scars, two of them</w:t>
      </w:r>
      <w:r>
        <w:rPr>
          <w:b/>
          <w:bCs/>
        </w:rPr>
        <w:t xml:space="preserve"> </w:t>
      </w:r>
      <w:r>
        <w:rPr>
          <w:b/>
          <w:bCs/>
        </w:rPr>
        <w:t xml:space="preserve">starved, this design cannot establish a fire-specific residual, only bound it at about 0.20.</w:t>
      </w:r>
      <w:r>
        <w:t xml:space="preserve"> </w:t>
      </w:r>
      <w:r>
        <w:t xml:space="preserve">Rows C</w:t>
      </w:r>
      <w:r>
        <w:t xml:space="preserve"> </w:t>
      </w:r>
      <w:r>
        <w:t xml:space="preserve">and D both sit close to chance, so the comparison between them has little dynamic range: what is</w:t>
      </w:r>
      <w:r>
        <w:t xml:space="preserve"> </w:t>
      </w:r>
      <w:r>
        <w:t xml:space="preserve">measurable is the change of evaluation geometry between rows A and B.</w:t>
      </w:r>
      <w:r>
        <w:t xml:space="preserve"> </w:t>
      </w:r>
      <w:r>
        <w:rPr>
          <w:b/>
          <w:bCs/>
        </w:rPr>
        <w:t xml:space="preserve">It is not shown to be zero</w:t>
      </w:r>
      <w:r>
        <w:rPr>
          <w:b/>
          <w:bCs/>
        </w:rPr>
        <w:t xml:space="preserve"> </w:t>
      </w:r>
      <w:r>
        <w:rPr>
          <w:b/>
          <w:bCs/>
        </w:rPr>
        <w:t xml:space="preserve">on an unseen fire, and seven scars cannot show that; what this design establishes is that it is not</w:t>
      </w:r>
      <w:r>
        <w:rPr>
          <w:b/>
          <w:bCs/>
        </w:rPr>
        <w:t xml:space="preserve"> </w:t>
      </w:r>
      <w:r>
        <w:rPr>
          <w:b/>
          <w:bCs/>
        </w:rPr>
        <w:t xml:space="preserve">established there.</w:t>
      </w:r>
      <w:r>
        <w:t xml:space="preserve"> </w:t>
      </w:r>
      <w:r>
        <w:t xml:space="preserve">Nor does it establish the fire event as the unit, because the held-out patch is</w:t>
      </w:r>
      <w:r>
        <w:t xml:space="preserve"> </w:t>
      </w:r>
      <w:r>
        <w:t xml:space="preserve">defined by the labels and its identity cannot be separated from its location. Sweeping the two</w:t>
      </w:r>
      <w:r>
        <w:t xml:space="preserve"> </w:t>
      </w:r>
      <w:r>
        <w:t xml:space="preserve">parameters that define that patch — minimum burned-component size over 25 to 200 cells and</w:t>
      </w:r>
      <w:r>
        <w:t xml:space="preserve"> </w:t>
      </w:r>
      <w:r>
        <w:t xml:space="preserve">connectivity over the 4- and 8-neighbourhoods — moves the row-C mean only between 0.541 and 0.561,</w:t>
      </w:r>
      <w:r>
        <w:t xml:space="preserve"> </w:t>
      </w:r>
      <w:r>
        <w:t xml:space="preserve">and it is flat across buffers of 2, 5 and 10 km. Per-scar and per-source values, the full sweep and</w:t>
      </w:r>
      <w:r>
        <w:t xml:space="preserve"> </w:t>
      </w:r>
      <w:r>
        <w:t xml:space="preserve">the half-split control are in Section S1.9.</w:t>
      </w:r>
    </w:p>
    <w:p>
      <w:pPr>
        <w:pStyle w:val="BodyText"/>
      </w:pPr>
      <w:r>
        <w:rPr>
          <w:b/>
          <w:bCs/>
        </w:rPr>
        <w:t xml:space="preserve">The increment declines with the holdout, and is not established once the fire is withheld.</w:t>
      </w:r>
      <w:r>
        <w:t xml:space="preserve"> </w:t>
      </w:r>
      <w:r>
        <w:t xml:space="preserve">Contribution 2 concerns the paired thermal-minus-baseline difference, so the same evaluations were</w:t>
      </w:r>
      <w:r>
        <w:t xml:space="preserve"> </w:t>
      </w:r>
      <w:r>
        <w:t xml:space="preserve">run on it.</w:t>
      </w:r>
    </w:p>
    <w:tbl>
      <w:tblPr>
        <w:tblStyle w:val="Table"/>
        <w:tblW w:type="auto" w:w="0"/>
        <w:tblLook w:firstRow="1" w:lastRow="0" w:firstColumn="0" w:lastColumn="0" w:noHBand="0" w:noVBand="0" w:val="0020"/>
      </w:tblPr>
      <w:tblGrid>
        <w:gridCol w:w="4082"/>
        <w:gridCol w:w="1927"/>
        <w:gridCol w:w="3061"/>
      </w:tblGrid>
      <w:tr>
        <w:trPr>
          <w:tblHeader w:val="on"/>
        </w:trPr>
        <w:tc>
          <w:tcPr>
            <w:tcW w:type="dxa" w:w="4082"/>
          </w:tcPr>
          <w:p>
            <w:pPr>
              <w:pStyle w:val="Compact"/>
            </w:pPr>
            <w:r>
              <w:t xml:space="preserve">Evaluation</w:t>
            </w:r>
          </w:p>
        </w:tc>
        <w:tc>
          <w:tcPr>
            <w:tcW w:type="dxa" w:w="1927"/>
          </w:tcPr>
          <w:p>
            <w:pPr>
              <w:pStyle w:val="Compact"/>
              <w:jc w:val="right"/>
            </w:pPr>
            <w:r>
              <w:t xml:space="preserve">Thermal increment</w:t>
            </w:r>
          </w:p>
        </w:tc>
        <w:tc>
          <w:tcPr>
            <w:tcW w:type="dxa" w:w="3061"/>
          </w:tcPr>
          <w:p>
            <w:pPr>
              <w:pStyle w:val="Compact"/>
            </w:pPr>
            <w:r>
              <w:t xml:space="preserve">Interval</w:t>
            </w:r>
          </w:p>
        </w:tc>
      </w:tr>
      <w:tr>
        <w:tc>
          <w:tcPr>
            <w:tcW w:type="dxa" w:w="4082"/>
          </w:tcPr>
          <w:p>
            <w:pPr>
              <w:pStyle w:val="Compact"/>
            </w:pPr>
            <w:r>
              <w:t xml:space="preserve">Blocked cross-validation, per region</w:t>
            </w:r>
          </w:p>
        </w:tc>
        <w:tc>
          <w:tcPr>
            <w:tcW w:type="dxa" w:w="1927"/>
          </w:tcPr>
          <w:p>
            <w:pPr>
              <w:pStyle w:val="Compact"/>
              <w:jc w:val="right"/>
            </w:pPr>
            <w:r>
              <w:t xml:space="preserve">+0.056 to +0.153</w:t>
            </w:r>
          </w:p>
        </w:tc>
        <w:tc>
          <w:tcPr>
            <w:tcW w:type="dxa" w:w="3061"/>
          </w:tcPr>
          <w:p>
            <w:pPr>
              <w:pStyle w:val="Compact"/>
            </w:pPr>
            <w:r>
              <w:t xml:space="preserve">every interval above zero</w:t>
            </w:r>
          </w:p>
        </w:tc>
      </w:tr>
      <w:tr>
        <w:tc>
          <w:tcPr>
            <w:tcW w:type="dxa" w:w="4082"/>
          </w:tcPr>
          <w:p>
            <w:pPr>
              <w:pStyle w:val="Compact"/>
            </w:pPr>
            <w:r>
              <w:t xml:space="preserve">Within-region half-split</w:t>
            </w:r>
          </w:p>
        </w:tc>
        <w:tc>
          <w:tcPr>
            <w:tcW w:type="dxa" w:w="1927"/>
          </w:tcPr>
          <w:p>
            <w:pPr>
              <w:pStyle w:val="Compact"/>
              <w:jc w:val="right"/>
            </w:pPr>
            <w:r>
              <w:t xml:space="preserve">+0.028</w:t>
            </w:r>
          </w:p>
        </w:tc>
        <w:tc>
          <w:tcPr>
            <w:tcW w:type="dxa" w:w="3061"/>
          </w:tcPr>
          <w:p>
            <w:pPr>
              <w:pStyle w:val="Compact"/>
            </w:pPr>
            <w:r>
              <w:t xml:space="preserve">positive in 13 of 18 splits</w:t>
            </w:r>
          </w:p>
        </w:tc>
      </w:tr>
      <w:tr>
        <w:tc>
          <w:tcPr>
            <w:tcW w:type="dxa" w:w="4082"/>
          </w:tcPr>
          <w:p>
            <w:pPr>
              <w:pStyle w:val="Compact"/>
            </w:pPr>
            <w:r>
              <w:t xml:space="preserve">Leave-one-scar-out</w:t>
            </w:r>
          </w:p>
        </w:tc>
        <w:tc>
          <w:tcPr>
            <w:tcW w:type="dxa" w:w="1927"/>
          </w:tcPr>
          <w:p>
            <w:pPr>
              <w:pStyle w:val="Compact"/>
              <w:jc w:val="right"/>
            </w:pPr>
            <w:r>
              <w:rPr>
                <w:b/>
                <w:bCs/>
              </w:rPr>
              <w:t xml:space="preserve">+0.024</w:t>
            </w:r>
          </w:p>
        </w:tc>
        <w:tc>
          <w:tcPr>
            <w:tcW w:type="dxa" w:w="3061"/>
          </w:tcPr>
          <w:p>
            <w:pPr>
              <w:pStyle w:val="Compact"/>
            </w:pPr>
            <w:r>
              <w:rPr>
                <w:b/>
                <w:bCs/>
              </w:rPr>
              <w:t xml:space="preserve">[−0.040, +0.089]</w:t>
            </w:r>
          </w:p>
        </w:tc>
      </w:tr>
      <w:tr>
        <w:tc>
          <w:tcPr>
            <w:tcW w:type="dxa" w:w="4082"/>
          </w:tcPr>
          <w:p>
            <w:pPr>
              <w:pStyle w:val="Compact"/>
            </w:pPr>
            <w:r>
              <w:t xml:space="preserve">Cross-region, twenty directions</w:t>
            </w:r>
          </w:p>
        </w:tc>
        <w:tc>
          <w:tcPr>
            <w:tcW w:type="dxa" w:w="1927"/>
          </w:tcPr>
          <w:p>
            <w:pPr>
              <w:pStyle w:val="Compact"/>
              <w:jc w:val="right"/>
            </w:pPr>
            <w:r>
              <w:t xml:space="preserve">+0.007</w:t>
            </w:r>
          </w:p>
        </w:tc>
        <w:tc>
          <w:tcPr>
            <w:tcW w:type="dxa" w:w="3061"/>
          </w:tcPr>
          <w:p>
            <w:pPr>
              <w:pStyle w:val="Compact"/>
            </w:pPr>
            <w:r>
              <w:t xml:space="preserve">[−0.021, +0.037]</w:t>
            </w:r>
          </w:p>
        </w:tc>
      </w:tr>
    </w:tbl>
    <w:p>
      <w:pPr>
        <w:pStyle w:val="BodyText"/>
      </w:pPr>
      <w:r>
        <w:t xml:space="preserve">The point estimate falls monotonically as the holdout hardens and the last two intervals span zero,</w:t>
      </w:r>
      <w:r>
        <w:t xml:space="preserve"> </w:t>
      </w:r>
      <w:r>
        <w:t xml:space="preserve">so</w:t>
      </w:r>
      <w:r>
        <w:t xml:space="preserve"> </w:t>
      </w:r>
      <w:r>
        <w:rPr>
          <w:b/>
          <w:bCs/>
        </w:rPr>
        <w:t xml:space="preserve">the within-region increment of +0.056 to +0.153 is substantially a property of interleaved</w:t>
      </w:r>
      <w:r>
        <w:rPr>
          <w:b/>
          <w:bCs/>
        </w:rPr>
        <w:t xml:space="preserve"> </w:t>
      </w:r>
      <w:r>
        <w:rPr>
          <w:b/>
          <w:bCs/>
        </w:rPr>
        <w:t xml:space="preserve">holdout</w:t>
      </w:r>
      <w:r>
        <w:t xml:space="preserve">. Per-scar values are in Section S1.9. Corrected Manavgat label; sources as for Table S1 and</w:t>
      </w:r>
      <w:r>
        <w:t xml:space="preserve"> </w:t>
      </w:r>
      <w:r>
        <w:rPr>
          <w:rStyle w:val="VerbatimChar"/>
        </w:rPr>
        <w:t xml:space="preserve">paper/labelfix_rerun/code/scar_increment.json</w:t>
      </w:r>
      <w:r>
        <w:t xml:space="preserve">.</w:t>
      </w:r>
    </w:p>
    <w:bookmarkEnd w:id="48"/>
    <w:bookmarkStart w:id="49" w:name="s1.24-the-six-further-arms-summarised"/>
    <w:p>
      <w:pPr>
        <w:pStyle w:val="Heading2"/>
      </w:pPr>
      <w:r>
        <w:t xml:space="preserve">S1.24 The six further arms, summarised</w:t>
      </w:r>
    </w:p>
    <w:p>
      <w:pPr>
        <w:pStyle w:val="FirstParagraph"/>
      </w:pPr>
      <w:r>
        <w:t xml:space="preserve">Six further arms bear on the findings above without changing them; each is reported in full in</w:t>
      </w:r>
      <w:r>
        <w:t xml:space="preserve"> </w:t>
      </w:r>
      <w:r>
        <w:t xml:space="preserve">Section S1.</w:t>
      </w:r>
      <w:r>
        <w:t xml:space="preserve"> </w:t>
      </w:r>
      <w:r>
        <w:rPr>
          <w:b/>
          <w:bCs/>
        </w:rPr>
        <w:t xml:space="preserve">The contrast pair</w:t>
      </w:r>
      <w:r>
        <w:t xml:space="preserve"> </w:t>
      </w:r>
      <w:r>
        <w:t xml:space="preserve">(S1.16): the most environmentally similar pair in the matrix is</w:t>
      </w:r>
      <w:r>
        <w:t xml:space="preserve"> </w:t>
      </w:r>
      <w:r>
        <w:t xml:space="preserve">among the weakest in transfer and the least similar among the stronger, so high envelope overlap</w:t>
      </w:r>
      <w:r>
        <w:t xml:space="preserve"> </w:t>
      </w:r>
      <w:r>
        <w:t xml:space="preserve">does not buy transfer — an ordinal claim, not one about the endpoints.</w:t>
      </w:r>
      <w:r>
        <w:t xml:space="preserve"> </w:t>
      </w:r>
      <w:r>
        <w:rPr>
          <w:b/>
          <w:bCs/>
        </w:rPr>
        <w:t xml:space="preserve">Interventions</w:t>
      </w:r>
      <w:r>
        <w:t xml:space="preserve"> </w:t>
      </w:r>
      <w:r>
        <w:t xml:space="preserve">(S1.14):</w:t>
      </w:r>
      <w:r>
        <w:t xml:space="preserve"> </w:t>
      </w:r>
      <w:r>
        <w:t xml:space="preserve">pooling four regions into one training set does not recover what single-source transfer loses, and</w:t>
      </w:r>
      <w:r>
        <w:t xml:space="preserve"> </w:t>
      </w:r>
      <w:r>
        <w:t xml:space="preserve">removing the two reversing predictors costs −0.081 of within-region AUC while returning +0.014</w:t>
      </w:r>
      <w:r>
        <w:t xml:space="preserve"> </w:t>
      </w:r>
      <w:r>
        <w:t xml:space="preserve">[−0.017, +0.045] on transfer, so a local cost is measured and no compensating transfer gain is.</w:t>
      </w:r>
      <w:r>
        <w:t xml:space="preserve"> </w:t>
      </w:r>
      <w:r>
        <w:rPr>
          <w:b/>
          <w:bCs/>
        </w:rPr>
        <w:t xml:space="preserve">Sensitivity</w:t>
      </w:r>
      <w:r>
        <w:t xml:space="preserve"> </w:t>
      </w:r>
      <w:r>
        <w:t xml:space="preserve">(S1.1–S1.8): eight design choices were varied with everything else held fixed; none</w:t>
      </w:r>
      <w:r>
        <w:t xml:space="preserve"> </w:t>
      </w:r>
      <w:r>
        <w:t xml:space="preserve">changes a conclusion above, except arm (f), which tests a claim of Section 1.2 and does not uphold</w:t>
      </w:r>
      <w:r>
        <w:t xml:space="preserve"> </w:t>
      </w:r>
      <w:r>
        <w:t xml:space="preserve">it.</w:t>
      </w:r>
      <w:r>
        <w:t xml:space="preserve"> </w:t>
      </w:r>
      <w:r>
        <w:rPr>
          <w:b/>
          <w:bCs/>
        </w:rPr>
        <w:t xml:space="preserve">The same geography, a second fire</w:t>
      </w:r>
      <w:r>
        <w:t xml:space="preserve"> </w:t>
      </w:r>
      <w:r>
        <w:t xml:space="preserve">(S1.13): the one arm that held</w:t>
      </w:r>
      <w:r>
        <w:t xml:space="preserve"> </w:t>
      </w:r>
      <w:r>
        <w:t xml:space="preserve">place fixed shows an elevation reversal on the frame as drawn, which Section 4.4 withdraws.</w:t>
      </w:r>
      <w:r>
        <w:t xml:space="preserve"> </w:t>
      </w:r>
      <w:r>
        <w:rPr>
          <w:b/>
          <w:bCs/>
        </w:rPr>
        <w:t xml:space="preserve">Distance</w:t>
      </w:r>
      <w:r>
        <w:t xml:space="preserve"> </w:t>
      </w:r>
      <w:r>
        <w:t xml:space="preserve">(S1.18): within a single region the model is already at chance by 10 to 20 km from its training</w:t>
      </w:r>
      <w:r>
        <w:t xml:space="preserve"> </w:t>
      </w:r>
      <w:r>
        <w:t xml:space="preserve">cells, which bounds how far a surface of this kind can be carried but cannot be turned into an</w:t>
      </w:r>
      <w:r>
        <w:t xml:space="preserve"> </w:t>
      </w:r>
      <w:r>
        <w:t xml:space="preserve">attribution, for the reason given there.</w:t>
      </w:r>
      <w:r>
        <w:t xml:space="preserve"> </w:t>
      </w:r>
      <w:r>
        <w:rPr>
          <w:b/>
          <w:bCs/>
        </w:rPr>
        <w:t xml:space="preserve">The price of labels</w:t>
      </w:r>
      <w:r>
        <w:t xml:space="preserve"> </w:t>
      </w:r>
      <w:r>
        <w:t xml:space="preserve">(S1.19): thirty-two labelled 5 km</w:t>
      </w:r>
      <w:r>
        <w:t xml:space="preserve"> </w:t>
      </w:r>
      <w:r>
        <w:t xml:space="preserve">blocks recover 85 to 89 % of the target’s matched ceiling in three of six directions and 30 to 57 %</w:t>
      </w:r>
      <w:r>
        <w:t xml:space="preserve"> </w:t>
      </w:r>
      <w:r>
        <w:t xml:space="preserve">in the rest, which is 7 to 20 % of the target’s natural-vegetation population and not a cheap</w:t>
      </w:r>
      <w:r>
        <w:t xml:space="preserve"> </w:t>
      </w:r>
      <w:r>
        <w:t xml:space="preserve">answer. Two limits bound it: at the top budget the selection pool is nearly exhausted, so the narrow</w:t>
      </w:r>
      <w:r>
        <w:t xml:space="preserve"> </w:t>
      </w:r>
      <w:r>
        <w:t xml:space="preserve">upper-budget intervals reflect saturation rather than precision, and</w:t>
      </w:r>
      <w:r>
        <w:t xml:space="preserve"> </w:t>
      </w:r>
      <w:r>
        <w:rPr>
          <w:b/>
          <w:bCs/>
        </w:rPr>
        <w:t xml:space="preserve">the labelled blocks are drawn</w:t>
      </w:r>
      <w:r>
        <w:rPr>
          <w:b/>
          <w:bCs/>
        </w:rPr>
        <w:t xml:space="preserve"> </w:t>
      </w:r>
      <w:r>
        <w:rPr>
          <w:b/>
          <w:bCs/>
        </w:rPr>
        <w:t xml:space="preserve">from the event being predicted, which is not a resource available before that event burns</w:t>
      </w:r>
      <w:r>
        <w:t xml:space="preserve">.</w:t>
      </w:r>
    </w:p>
    <w:bookmarkEnd w:id="49"/>
    <w:bookmarkEnd w:id="50"/>
    <w:bookmarkStart w:id="55" w:name="s2-supporting-tables"/>
    <w:p>
      <w:pPr>
        <w:pStyle w:val="Heading1"/>
      </w:pPr>
      <w:r>
        <w:t xml:space="preserve">S2 Supporting tables</w:t>
      </w:r>
    </w:p>
    <w:p>
      <w:pPr>
        <w:pStyle w:val="FirstParagraph"/>
      </w:pPr>
      <w:r>
        <w:t xml:space="preserve">These are the per-region and per-direction numbers the Results sections quote, given in full so that</w:t>
      </w:r>
      <w:r>
        <w:t xml:space="preserve"> </w:t>
      </w:r>
      <w:r>
        <w:t xml:space="preserve">every claim can be checked against the values it rests on rather than against a summary of them.</w:t>
      </w:r>
    </w:p>
    <w:p>
      <w:pPr>
        <w:pStyle w:val="BodyText"/>
      </w:pPr>
      <w:r>
        <w:rPr>
          <w:b/>
          <w:bCs/>
        </w:rPr>
        <w:t xml:space="preserve">Table S9. Signed univariate AUC of each predictor against</w:t>
      </w:r>
      <w:r>
        <w:rPr>
          <w:b/>
          <w:bCs/>
        </w:rPr>
        <w:t xml:space="preserve"> </w:t>
      </w:r>
      <w:r>
        <w:rPr>
          <w:rStyle w:val="VerbatimChar"/>
          <w:b/>
          <w:bCs/>
        </w:rPr>
        <w:t xml:space="preserve">burned</w:t>
      </w:r>
      <w:r>
        <w:rPr>
          <w:b/>
          <w:bCs/>
        </w:rPr>
        <w:t xml:space="preserve">, by region.</w:t>
      </w:r>
      <w:r>
        <w:t xml:space="preserve"> </w:t>
      </w:r>
      <w:r>
        <w:t xml:space="preserve">Primary</w:t>
      </w:r>
      <w:r>
        <w:t xml:space="preserve"> </w:t>
      </w:r>
      <w:r>
        <w:t xml:space="preserve">natural-vegetation population; 10-cell (~5 km) spatial-block bootstrap, 1000 replicates, seed 42.</w:t>
      </w:r>
      <w:r>
        <w:t xml:space="preserve"> </w:t>
      </w:r>
      <w:r>
        <w:t xml:space="preserve">The AUC is never folded to max(AUC, 1 − AUC), so a value below 0.5 means lower values rank burned</w:t>
      </w:r>
      <w:r>
        <w:t xml:space="preserve"> </w:t>
      </w:r>
      <w:r>
        <w:t xml:space="preserve">and is a direction rather than weakness.</w:t>
      </w:r>
      <w:r>
        <w:t xml:space="preserve"> </w:t>
      </w:r>
      <w:r>
        <w:rPr>
          <w:b/>
          <w:bCs/>
        </w:rPr>
        <w:t xml:space="preserve">Bold</w:t>
      </w:r>
      <w:r>
        <w:t xml:space="preserve"> </w:t>
      </w:r>
      <w:r>
        <w:t xml:space="preserve">marks a region whose own interval excludes 0.5.</w:t>
      </w:r>
      <w:r>
        <w:t xml:space="preserve"> </w:t>
      </w:r>
      <w:r>
        <w:t xml:space="preserve">Corrected Manavgat label; source</w:t>
      </w:r>
      <w:r>
        <w:t xml:space="preserve"> </w:t>
      </w:r>
      <w:r>
        <w:rPr>
          <w:rStyle w:val="VerbatimChar"/>
        </w:rPr>
        <w:t xml:space="preserve">paper/labelfix_rerun/round5/tables/step9g_multi_aoi_feature_stability.csv</w:t>
      </w:r>
      <w:r>
        <w:t xml:space="preserve"> </w:t>
      </w:r>
      <w:r>
        <w:t xml:space="preserve">(the pipeline’s Step9G five-region synthesis, sha256 c864cd7d…), checked row by row by</w:t>
      </w:r>
      <w:r>
        <w:t xml:space="preserve"> </w:t>
      </w:r>
      <w:r>
        <w:rPr>
          <w:rStyle w:val="VerbatimChar"/>
        </w:rPr>
        <w:t xml:space="preserve">paper/code/appendix_tables.py</w:t>
      </w:r>
      <w:r>
        <w:t xml:space="preserve">. Only the Manavgat column differs from the frozen table.</w:t>
      </w:r>
    </w:p>
    <w:tbl>
      <w:tblPr>
        <w:tblStyle w:val="Table"/>
        <w:tblW w:type="auto" w:w="0"/>
        <w:tblLook w:firstRow="1" w:lastRow="0" w:firstColumn="0" w:lastColumn="0" w:noHBand="0" w:noVBand="0" w:val="0020"/>
      </w:tblPr>
      <w:tblGrid>
        <w:gridCol w:w="1512"/>
        <w:gridCol w:w="1512"/>
        <w:gridCol w:w="1512"/>
        <w:gridCol w:w="1512"/>
        <w:gridCol w:w="1512"/>
        <w:gridCol w:w="1512"/>
      </w:tblGrid>
      <w:tr>
        <w:trPr>
          <w:tblHeader w:val="on"/>
        </w:trPr>
        <w:tc>
          <w:tcPr>
            <w:tcW w:type="dxa" w:w="1512"/>
          </w:tcPr>
          <w:p>
            <w:pPr>
              <w:pStyle w:val="Compact"/>
            </w:pPr>
            <w:r>
              <w:t xml:space="preserve">Feature</w:t>
            </w:r>
          </w:p>
        </w:tc>
        <w:tc>
          <w:tcPr>
            <w:tcW w:type="dxa" w:w="1512"/>
          </w:tcPr>
          <w:p>
            <w:pPr>
              <w:pStyle w:val="Compact"/>
            </w:pPr>
            <w:r>
              <w:t xml:space="preserve">Manavgat</w:t>
            </w:r>
          </w:p>
        </w:tc>
        <w:tc>
          <w:tcPr>
            <w:tcW w:type="dxa" w:w="1512"/>
          </w:tcPr>
          <w:p>
            <w:pPr>
              <w:pStyle w:val="Compact"/>
            </w:pPr>
            <w:r>
              <w:t xml:space="preserve">Bejís</w:t>
            </w:r>
          </w:p>
        </w:tc>
        <w:tc>
          <w:tcPr>
            <w:tcW w:type="dxa" w:w="1512"/>
          </w:tcPr>
          <w:p>
            <w:pPr>
              <w:pStyle w:val="Compact"/>
            </w:pPr>
            <w:r>
              <w:t xml:space="preserve">Muğla</w:t>
            </w:r>
          </w:p>
        </w:tc>
        <w:tc>
          <w:tcPr>
            <w:tcW w:type="dxa" w:w="1512"/>
          </w:tcPr>
          <w:p>
            <w:pPr>
              <w:pStyle w:val="Compact"/>
            </w:pPr>
            <w:r>
              <w:t xml:space="preserve">Evia</w:t>
            </w:r>
          </w:p>
        </w:tc>
        <w:tc>
          <w:tcPr>
            <w:tcW w:type="dxa" w:w="1512"/>
          </w:tcPr>
          <w:p>
            <w:pPr>
              <w:pStyle w:val="Compact"/>
            </w:pPr>
            <w:r>
              <w:t xml:space="preserve">Montiferru</w:t>
            </w:r>
          </w:p>
        </w:tc>
      </w:tr>
      <w:tr>
        <w:tc>
          <w:tcPr>
            <w:tcW w:type="dxa" w:w="1512"/>
          </w:tcPr>
          <w:p>
            <w:pPr>
              <w:pStyle w:val="Compact"/>
            </w:pPr>
            <w:r>
              <w:rPr>
                <w:rStyle w:val="VerbatimChar"/>
              </w:rPr>
              <w:t xml:space="preserve">elevation_mean</w:t>
            </w:r>
          </w:p>
        </w:tc>
        <w:tc>
          <w:tcPr>
            <w:tcW w:type="dxa" w:w="1512"/>
          </w:tcPr>
          <w:p>
            <w:pPr>
              <w:pStyle w:val="Compact"/>
            </w:pPr>
            <w:r>
              <w:rPr>
                <w:b/>
                <w:bCs/>
              </w:rPr>
              <w:t xml:space="preserve">0.232</w:t>
            </w:r>
            <w:r>
              <w:t xml:space="preserve"> </w:t>
            </w:r>
            <w:r>
              <w:t xml:space="preserve">[0.179, 0.288]</w:t>
            </w:r>
          </w:p>
        </w:tc>
        <w:tc>
          <w:tcPr>
            <w:tcW w:type="dxa" w:w="1512"/>
          </w:tcPr>
          <w:p>
            <w:pPr>
              <w:pStyle w:val="Compact"/>
            </w:pPr>
            <w:r>
              <w:rPr>
                <w:b/>
                <w:bCs/>
              </w:rPr>
              <w:t xml:space="preserve">0.643</w:t>
            </w:r>
            <w:r>
              <w:t xml:space="preserve"> </w:t>
            </w:r>
            <w:r>
              <w:t xml:space="preserve">[0.558, 0.729]</w:t>
            </w:r>
          </w:p>
        </w:tc>
        <w:tc>
          <w:tcPr>
            <w:tcW w:type="dxa" w:w="1512"/>
          </w:tcPr>
          <w:p>
            <w:pPr>
              <w:pStyle w:val="Compact"/>
            </w:pPr>
            <w:r>
              <w:rPr>
                <w:b/>
                <w:bCs/>
              </w:rPr>
              <w:t xml:space="preserve">0.611</w:t>
            </w:r>
            <w:r>
              <w:t xml:space="preserve"> </w:t>
            </w:r>
            <w:r>
              <w:t xml:space="preserve">[0.532, 0.690]</w:t>
            </w:r>
          </w:p>
        </w:tc>
        <w:tc>
          <w:tcPr>
            <w:tcW w:type="dxa" w:w="1512"/>
          </w:tcPr>
          <w:p>
            <w:pPr>
              <w:pStyle w:val="Compact"/>
            </w:pPr>
            <w:r>
              <w:t xml:space="preserve">0.541 [0.448, 0.626]</w:t>
            </w:r>
          </w:p>
        </w:tc>
        <w:tc>
          <w:tcPr>
            <w:tcW w:type="dxa" w:w="1512"/>
          </w:tcPr>
          <w:p>
            <w:pPr>
              <w:pStyle w:val="Compact"/>
            </w:pPr>
            <w:r>
              <w:t xml:space="preserve">0.584 [0.395, 0.762]</w:t>
            </w:r>
          </w:p>
        </w:tc>
      </w:tr>
      <w:tr>
        <w:tc>
          <w:tcPr>
            <w:tcW w:type="dxa" w:w="1512"/>
          </w:tcPr>
          <w:p>
            <w:pPr>
              <w:pStyle w:val="Compact"/>
            </w:pPr>
            <w:r>
              <w:rPr>
                <w:rStyle w:val="VerbatimChar"/>
              </w:rPr>
              <w:t xml:space="preserve">slope_mean</w:t>
            </w:r>
          </w:p>
        </w:tc>
        <w:tc>
          <w:tcPr>
            <w:tcW w:type="dxa" w:w="1512"/>
          </w:tcPr>
          <w:p>
            <w:pPr>
              <w:pStyle w:val="Compact"/>
            </w:pPr>
            <w:r>
              <w:rPr>
                <w:b/>
                <w:bCs/>
              </w:rPr>
              <w:t xml:space="preserve">0.400</w:t>
            </w:r>
            <w:r>
              <w:t xml:space="preserve"> </w:t>
            </w:r>
            <w:r>
              <w:t xml:space="preserve">[0.340, 0.459]</w:t>
            </w:r>
          </w:p>
        </w:tc>
        <w:tc>
          <w:tcPr>
            <w:tcW w:type="dxa" w:w="1512"/>
          </w:tcPr>
          <w:p>
            <w:pPr>
              <w:pStyle w:val="Compact"/>
            </w:pPr>
            <w:r>
              <w:t xml:space="preserve">0.521 [0.439, 0.605]</w:t>
            </w:r>
          </w:p>
        </w:tc>
        <w:tc>
          <w:tcPr>
            <w:tcW w:type="dxa" w:w="1512"/>
          </w:tcPr>
          <w:p>
            <w:pPr>
              <w:pStyle w:val="Compact"/>
            </w:pPr>
            <w:r>
              <w:rPr>
                <w:b/>
                <w:bCs/>
              </w:rPr>
              <w:t xml:space="preserve">0.637</w:t>
            </w:r>
            <w:r>
              <w:t xml:space="preserve"> </w:t>
            </w:r>
            <w:r>
              <w:t xml:space="preserve">[0.582, 0.686]</w:t>
            </w:r>
          </w:p>
        </w:tc>
        <w:tc>
          <w:tcPr>
            <w:tcW w:type="dxa" w:w="1512"/>
          </w:tcPr>
          <w:p>
            <w:pPr>
              <w:pStyle w:val="Compact"/>
            </w:pPr>
            <w:r>
              <w:t xml:space="preserve">0.487 [0.418, 0.554]</w:t>
            </w:r>
          </w:p>
        </w:tc>
        <w:tc>
          <w:tcPr>
            <w:tcW w:type="dxa" w:w="1512"/>
          </w:tcPr>
          <w:p>
            <w:pPr>
              <w:pStyle w:val="Compact"/>
            </w:pPr>
            <w:r>
              <w:rPr>
                <w:b/>
                <w:bCs/>
              </w:rPr>
              <w:t xml:space="preserve">0.652</w:t>
            </w:r>
            <w:r>
              <w:t xml:space="preserve"> </w:t>
            </w:r>
            <w:r>
              <w:t xml:space="preserve">[0.506, 0.771]</w:t>
            </w:r>
          </w:p>
        </w:tc>
      </w:tr>
      <w:tr>
        <w:tc>
          <w:tcPr>
            <w:tcW w:type="dxa" w:w="1512"/>
          </w:tcPr>
          <w:p>
            <w:pPr>
              <w:pStyle w:val="Compact"/>
            </w:pPr>
            <w:r>
              <w:rPr>
                <w:rStyle w:val="VerbatimChar"/>
              </w:rPr>
              <w:t xml:space="preserve">ndvi_mean</w:t>
            </w:r>
          </w:p>
        </w:tc>
        <w:tc>
          <w:tcPr>
            <w:tcW w:type="dxa" w:w="1512"/>
          </w:tcPr>
          <w:p>
            <w:pPr>
              <w:pStyle w:val="Compact"/>
            </w:pPr>
            <w:r>
              <w:t xml:space="preserve">0.564 [0.499, 0.628]</w:t>
            </w:r>
          </w:p>
        </w:tc>
        <w:tc>
          <w:tcPr>
            <w:tcW w:type="dxa" w:w="1512"/>
          </w:tcPr>
          <w:p>
            <w:pPr>
              <w:pStyle w:val="Compact"/>
            </w:pPr>
            <w:r>
              <w:t xml:space="preserve">0.559 [0.497, 0.619]</w:t>
            </w:r>
          </w:p>
        </w:tc>
        <w:tc>
          <w:tcPr>
            <w:tcW w:type="dxa" w:w="1512"/>
          </w:tcPr>
          <w:p>
            <w:pPr>
              <w:pStyle w:val="Compact"/>
            </w:pPr>
            <w:r>
              <w:rPr>
                <w:b/>
                <w:bCs/>
              </w:rPr>
              <w:t xml:space="preserve">0.662</w:t>
            </w:r>
            <w:r>
              <w:t xml:space="preserve"> </w:t>
            </w:r>
            <w:r>
              <w:t xml:space="preserve">[0.616, 0.704]</w:t>
            </w:r>
          </w:p>
        </w:tc>
        <w:tc>
          <w:tcPr>
            <w:tcW w:type="dxa" w:w="1512"/>
          </w:tcPr>
          <w:p>
            <w:pPr>
              <w:pStyle w:val="Compact"/>
            </w:pPr>
            <w:r>
              <w:rPr>
                <w:b/>
                <w:bCs/>
              </w:rPr>
              <w:t xml:space="preserve">0.639</w:t>
            </w:r>
            <w:r>
              <w:t xml:space="preserve"> </w:t>
            </w:r>
            <w:r>
              <w:t xml:space="preserve">[0.575, 0.701]</w:t>
            </w:r>
          </w:p>
        </w:tc>
        <w:tc>
          <w:tcPr>
            <w:tcW w:type="dxa" w:w="1512"/>
          </w:tcPr>
          <w:p>
            <w:pPr>
              <w:pStyle w:val="Compact"/>
            </w:pPr>
            <w:r>
              <w:t xml:space="preserve">0.586 [0.450, 0.704]</w:t>
            </w:r>
          </w:p>
        </w:tc>
      </w:tr>
      <w:tr>
        <w:tc>
          <w:tcPr>
            <w:tcW w:type="dxa" w:w="1512"/>
          </w:tcPr>
          <w:p>
            <w:pPr>
              <w:pStyle w:val="Compact"/>
            </w:pPr>
            <w:r>
              <w:rPr>
                <w:rStyle w:val="VerbatimChar"/>
              </w:rPr>
              <w:t xml:space="preserve">lst_anomaly_mean</w:t>
            </w:r>
          </w:p>
        </w:tc>
        <w:tc>
          <w:tcPr>
            <w:tcW w:type="dxa" w:w="1512"/>
          </w:tcPr>
          <w:p>
            <w:pPr>
              <w:pStyle w:val="Compact"/>
            </w:pPr>
            <w:r>
              <w:t xml:space="preserve">0.509 [0.460, 0.560]</w:t>
            </w:r>
          </w:p>
        </w:tc>
        <w:tc>
          <w:tcPr>
            <w:tcW w:type="dxa" w:w="1512"/>
          </w:tcPr>
          <w:p>
            <w:pPr>
              <w:pStyle w:val="Compact"/>
            </w:pPr>
            <w:r>
              <w:rPr>
                <w:b/>
                <w:bCs/>
              </w:rPr>
              <w:t xml:space="preserve">0.418</w:t>
            </w:r>
            <w:r>
              <w:t xml:space="preserve"> </w:t>
            </w:r>
            <w:r>
              <w:t xml:space="preserve">[0.364, 0.480]</w:t>
            </w:r>
          </w:p>
        </w:tc>
        <w:tc>
          <w:tcPr>
            <w:tcW w:type="dxa" w:w="1512"/>
          </w:tcPr>
          <w:p>
            <w:pPr>
              <w:pStyle w:val="Compact"/>
            </w:pPr>
            <w:r>
              <w:t xml:space="preserve">0.485 [0.395, 0.566]</w:t>
            </w:r>
          </w:p>
        </w:tc>
        <w:tc>
          <w:tcPr>
            <w:tcW w:type="dxa" w:w="1512"/>
          </w:tcPr>
          <w:p>
            <w:pPr>
              <w:pStyle w:val="Compact"/>
            </w:pPr>
            <w:r>
              <w:rPr>
                <w:b/>
                <w:bCs/>
              </w:rPr>
              <w:t xml:space="preserve">0.640</w:t>
            </w:r>
            <w:r>
              <w:t xml:space="preserve"> </w:t>
            </w:r>
            <w:r>
              <w:t xml:space="preserve">[0.567, 0.710]</w:t>
            </w:r>
          </w:p>
        </w:tc>
        <w:tc>
          <w:tcPr>
            <w:tcW w:type="dxa" w:w="1512"/>
          </w:tcPr>
          <w:p>
            <w:pPr>
              <w:pStyle w:val="Compact"/>
            </w:pPr>
            <w:r>
              <w:t xml:space="preserve">0.395 [0.285, 0.535]</w:t>
            </w:r>
          </w:p>
        </w:tc>
      </w:tr>
      <w:tr>
        <w:tc>
          <w:tcPr>
            <w:tcW w:type="dxa" w:w="1512"/>
          </w:tcPr>
          <w:p>
            <w:pPr>
              <w:pStyle w:val="Compact"/>
            </w:pPr>
            <w:r>
              <w:rPr>
                <w:rStyle w:val="VerbatimChar"/>
              </w:rPr>
              <w:t xml:space="preserve">current_lst_mean</w:t>
            </w:r>
          </w:p>
        </w:tc>
        <w:tc>
          <w:tcPr>
            <w:tcW w:type="dxa" w:w="1512"/>
          </w:tcPr>
          <w:p>
            <w:pPr>
              <w:pStyle w:val="Compact"/>
            </w:pPr>
            <w:r>
              <w:rPr>
                <w:b/>
                <w:bCs/>
              </w:rPr>
              <w:t xml:space="preserve">0.665</w:t>
            </w:r>
            <w:r>
              <w:t xml:space="preserve"> </w:t>
            </w:r>
            <w:r>
              <w:t xml:space="preserve">[0.608, 0.719]</w:t>
            </w:r>
          </w:p>
        </w:tc>
        <w:tc>
          <w:tcPr>
            <w:tcW w:type="dxa" w:w="1512"/>
          </w:tcPr>
          <w:p>
            <w:pPr>
              <w:pStyle w:val="Compact"/>
            </w:pPr>
            <w:r>
              <w:t xml:space="preserve">0.477 [0.401, 0.547]</w:t>
            </w:r>
          </w:p>
        </w:tc>
        <w:tc>
          <w:tcPr>
            <w:tcW w:type="dxa" w:w="1512"/>
          </w:tcPr>
          <w:p>
            <w:pPr>
              <w:pStyle w:val="Compact"/>
            </w:pPr>
            <w:r>
              <w:rPr>
                <w:b/>
                <w:bCs/>
              </w:rPr>
              <w:t xml:space="preserve">0.325</w:t>
            </w:r>
            <w:r>
              <w:t xml:space="preserve"> </w:t>
            </w:r>
            <w:r>
              <w:t xml:space="preserve">[0.271, 0.382]</w:t>
            </w:r>
          </w:p>
        </w:tc>
        <w:tc>
          <w:tcPr>
            <w:tcW w:type="dxa" w:w="1512"/>
          </w:tcPr>
          <w:p>
            <w:pPr>
              <w:pStyle w:val="Compact"/>
            </w:pPr>
            <w:r>
              <w:rPr>
                <w:b/>
                <w:bCs/>
              </w:rPr>
              <w:t xml:space="preserve">0.377</w:t>
            </w:r>
            <w:r>
              <w:t xml:space="preserve"> </w:t>
            </w:r>
            <w:r>
              <w:t xml:space="preserve">[0.301, 0.456]</w:t>
            </w:r>
          </w:p>
        </w:tc>
        <w:tc>
          <w:tcPr>
            <w:tcW w:type="dxa" w:w="1512"/>
          </w:tcPr>
          <w:p>
            <w:pPr>
              <w:pStyle w:val="Compact"/>
            </w:pPr>
            <w:r>
              <w:t xml:space="preserve">0.370 [0.248, 0.513]</w:t>
            </w:r>
          </w:p>
        </w:tc>
      </w:tr>
      <w:tr>
        <w:tc>
          <w:tcPr>
            <w:tcW w:type="dxa" w:w="1512"/>
          </w:tcPr>
          <w:p>
            <w:pPr>
              <w:pStyle w:val="Compact"/>
            </w:pPr>
            <w:r>
              <w:rPr>
                <w:rStyle w:val="VerbatimChar"/>
              </w:rPr>
              <w:t xml:space="preserve">current_tvdi_mean</w:t>
            </w:r>
          </w:p>
        </w:tc>
        <w:tc>
          <w:tcPr>
            <w:tcW w:type="dxa" w:w="1512"/>
          </w:tcPr>
          <w:p>
            <w:pPr>
              <w:pStyle w:val="Compact"/>
            </w:pPr>
            <w:r>
              <w:rPr>
                <w:b/>
                <w:bCs/>
              </w:rPr>
              <w:t xml:space="preserve">0.677</w:t>
            </w:r>
            <w:r>
              <w:t xml:space="preserve"> </w:t>
            </w:r>
            <w:r>
              <w:t xml:space="preserve">[0.622, 0.733]</w:t>
            </w:r>
          </w:p>
        </w:tc>
        <w:tc>
          <w:tcPr>
            <w:tcW w:type="dxa" w:w="1512"/>
          </w:tcPr>
          <w:p>
            <w:pPr>
              <w:pStyle w:val="Compact"/>
            </w:pPr>
            <w:r>
              <w:t xml:space="preserve">0.517 [0.429, 0.595]</w:t>
            </w:r>
          </w:p>
        </w:tc>
        <w:tc>
          <w:tcPr>
            <w:tcW w:type="dxa" w:w="1512"/>
          </w:tcPr>
          <w:p>
            <w:pPr>
              <w:pStyle w:val="Compact"/>
            </w:pPr>
            <w:r>
              <w:rPr>
                <w:b/>
                <w:bCs/>
              </w:rPr>
              <w:t xml:space="preserve">0.336</w:t>
            </w:r>
            <w:r>
              <w:t xml:space="preserve"> </w:t>
            </w:r>
            <w:r>
              <w:t xml:space="preserve">[0.275, 0.398]</w:t>
            </w:r>
          </w:p>
        </w:tc>
        <w:tc>
          <w:tcPr>
            <w:tcW w:type="dxa" w:w="1512"/>
          </w:tcPr>
          <w:p>
            <w:pPr>
              <w:pStyle w:val="Compact"/>
            </w:pPr>
            <w:r>
              <w:rPr>
                <w:b/>
                <w:bCs/>
              </w:rPr>
              <w:t xml:space="preserve">0.362</w:t>
            </w:r>
            <w:r>
              <w:t xml:space="preserve"> </w:t>
            </w:r>
            <w:r>
              <w:t xml:space="preserve">[0.285, 0.442]</w:t>
            </w:r>
          </w:p>
        </w:tc>
        <w:tc>
          <w:tcPr>
            <w:tcW w:type="dxa" w:w="1512"/>
          </w:tcPr>
          <w:p>
            <w:pPr>
              <w:pStyle w:val="Compact"/>
            </w:pPr>
            <w:r>
              <w:rPr>
                <w:b/>
                <w:bCs/>
              </w:rPr>
              <w:t xml:space="preserve">0.356</w:t>
            </w:r>
            <w:r>
              <w:t xml:space="preserve"> </w:t>
            </w:r>
            <w:r>
              <w:t xml:space="preserve">[0.233, 0.499]</w:t>
            </w:r>
          </w:p>
        </w:tc>
      </w:tr>
      <w:tr>
        <w:tc>
          <w:tcPr>
            <w:tcW w:type="dxa" w:w="1512"/>
          </w:tcPr>
          <w:p>
            <w:pPr>
              <w:pStyle w:val="Compact"/>
            </w:pPr>
            <w:r>
              <w:rPr>
                <w:rStyle w:val="VerbatimChar"/>
              </w:rPr>
              <w:t xml:space="preserve">tvdi_difference_mean</w:t>
            </w:r>
          </w:p>
        </w:tc>
        <w:tc>
          <w:tcPr>
            <w:tcW w:type="dxa" w:w="1512"/>
          </w:tcPr>
          <w:p>
            <w:pPr>
              <w:pStyle w:val="Compact"/>
            </w:pPr>
            <w:r>
              <w:t xml:space="preserve">0.460 [0.409, 0.510]</w:t>
            </w:r>
          </w:p>
        </w:tc>
        <w:tc>
          <w:tcPr>
            <w:tcW w:type="dxa" w:w="1512"/>
          </w:tcPr>
          <w:p>
            <w:pPr>
              <w:pStyle w:val="Compact"/>
            </w:pPr>
            <w:r>
              <w:t xml:space="preserve">0.512 [0.443, 0.583]</w:t>
            </w:r>
          </w:p>
        </w:tc>
        <w:tc>
          <w:tcPr>
            <w:tcW w:type="dxa" w:w="1512"/>
          </w:tcPr>
          <w:p>
            <w:pPr>
              <w:pStyle w:val="Compact"/>
            </w:pPr>
            <w:r>
              <w:t xml:space="preserve">0.490 [0.396, 0.575]</w:t>
            </w:r>
          </w:p>
        </w:tc>
        <w:tc>
          <w:tcPr>
            <w:tcW w:type="dxa" w:w="1512"/>
          </w:tcPr>
          <w:p>
            <w:pPr>
              <w:pStyle w:val="Compact"/>
            </w:pPr>
            <w:r>
              <w:t xml:space="preserve">0.519 [0.444, 0.589]</w:t>
            </w:r>
          </w:p>
        </w:tc>
        <w:tc>
          <w:tcPr>
            <w:tcW w:type="dxa" w:w="1512"/>
          </w:tcPr>
          <w:p>
            <w:pPr>
              <w:pStyle w:val="Compact"/>
            </w:pPr>
            <w:r>
              <w:rPr>
                <w:b/>
                <w:bCs/>
              </w:rPr>
              <w:t xml:space="preserve">0.378</w:t>
            </w:r>
            <w:r>
              <w:t xml:space="preserve"> </w:t>
            </w:r>
            <w:r>
              <w:t xml:space="preserve">[0.282, 0.497]</w:t>
            </w:r>
          </w:p>
        </w:tc>
      </w:tr>
      <w:tr>
        <w:tc>
          <w:tcPr>
            <w:tcW w:type="dxa" w:w="1512"/>
          </w:tcPr>
          <w:p>
            <w:pPr>
              <w:pStyle w:val="Compact"/>
            </w:pPr>
            <w:r>
              <w:rPr>
                <w:rStyle w:val="VerbatimChar"/>
              </w:rPr>
              <w:t xml:space="preserve">downscaled_lst_mean</w:t>
            </w:r>
          </w:p>
        </w:tc>
        <w:tc>
          <w:tcPr>
            <w:tcW w:type="dxa" w:w="1512"/>
          </w:tcPr>
          <w:p>
            <w:pPr>
              <w:pStyle w:val="Compact"/>
            </w:pPr>
            <w:r>
              <w:rPr>
                <w:b/>
                <w:bCs/>
              </w:rPr>
              <w:t xml:space="preserve">0.683</w:t>
            </w:r>
            <w:r>
              <w:t xml:space="preserve"> </w:t>
            </w:r>
            <w:r>
              <w:t xml:space="preserve">[0.626, 0.739]</w:t>
            </w:r>
          </w:p>
        </w:tc>
        <w:tc>
          <w:tcPr>
            <w:tcW w:type="dxa" w:w="1512"/>
          </w:tcPr>
          <w:p>
            <w:pPr>
              <w:pStyle w:val="Compact"/>
            </w:pPr>
            <w:r>
              <w:t xml:space="preserve">0.484 [0.400, 0.560]</w:t>
            </w:r>
          </w:p>
        </w:tc>
        <w:tc>
          <w:tcPr>
            <w:tcW w:type="dxa" w:w="1512"/>
          </w:tcPr>
          <w:p>
            <w:pPr>
              <w:pStyle w:val="Compact"/>
            </w:pPr>
            <w:r>
              <w:rPr>
                <w:b/>
                <w:bCs/>
              </w:rPr>
              <w:t xml:space="preserve">0.307</w:t>
            </w:r>
            <w:r>
              <w:t xml:space="preserve"> </w:t>
            </w:r>
            <w:r>
              <w:t xml:space="preserve">[0.253, 0.366]</w:t>
            </w:r>
          </w:p>
        </w:tc>
        <w:tc>
          <w:tcPr>
            <w:tcW w:type="dxa" w:w="1512"/>
          </w:tcPr>
          <w:p>
            <w:pPr>
              <w:pStyle w:val="Compact"/>
            </w:pPr>
            <w:r>
              <w:rPr>
                <w:b/>
                <w:bCs/>
              </w:rPr>
              <w:t xml:space="preserve">0.377</w:t>
            </w:r>
            <w:r>
              <w:t xml:space="preserve"> </w:t>
            </w:r>
            <w:r>
              <w:t xml:space="preserve">[0.297, 0.459]</w:t>
            </w:r>
          </w:p>
        </w:tc>
        <w:tc>
          <w:tcPr>
            <w:tcW w:type="dxa" w:w="1512"/>
          </w:tcPr>
          <w:p>
            <w:pPr>
              <w:pStyle w:val="Compact"/>
            </w:pPr>
            <w:r>
              <w:t xml:space="preserve">0.365 [0.240, 0.511]</w:t>
            </w:r>
          </w:p>
        </w:tc>
      </w:tr>
      <w:tr>
        <w:tc>
          <w:tcPr>
            <w:tcW w:type="dxa" w:w="1512"/>
          </w:tcPr>
          <w:p>
            <w:pPr>
              <w:pStyle w:val="Compact"/>
            </w:pPr>
            <w:r>
              <w:rPr>
                <w:rStyle w:val="VerbatimChar"/>
              </w:rPr>
              <w:t xml:space="preserve">fused_lst_mean</w:t>
            </w:r>
          </w:p>
        </w:tc>
        <w:tc>
          <w:tcPr>
            <w:tcW w:type="dxa" w:w="1512"/>
          </w:tcPr>
          <w:p>
            <w:pPr>
              <w:pStyle w:val="Compact"/>
            </w:pPr>
            <w:r>
              <w:rPr>
                <w:b/>
                <w:bCs/>
              </w:rPr>
              <w:t xml:space="preserve">0.666</w:t>
            </w:r>
            <w:r>
              <w:t xml:space="preserve"> </w:t>
            </w:r>
            <w:r>
              <w:t xml:space="preserve">[0.610, 0.721]</w:t>
            </w:r>
          </w:p>
        </w:tc>
        <w:tc>
          <w:tcPr>
            <w:tcW w:type="dxa" w:w="1512"/>
          </w:tcPr>
          <w:p>
            <w:pPr>
              <w:pStyle w:val="Compact"/>
            </w:pPr>
            <w:r>
              <w:t xml:space="preserve">0.481 [0.404, 0.551]</w:t>
            </w:r>
          </w:p>
        </w:tc>
        <w:tc>
          <w:tcPr>
            <w:tcW w:type="dxa" w:w="1512"/>
          </w:tcPr>
          <w:p>
            <w:pPr>
              <w:pStyle w:val="Compact"/>
            </w:pPr>
            <w:r>
              <w:rPr>
                <w:b/>
                <w:bCs/>
              </w:rPr>
              <w:t xml:space="preserve">0.325</w:t>
            </w:r>
            <w:r>
              <w:t xml:space="preserve"> </w:t>
            </w:r>
            <w:r>
              <w:t xml:space="preserve">[0.272, 0.383]</w:t>
            </w:r>
          </w:p>
        </w:tc>
        <w:tc>
          <w:tcPr>
            <w:tcW w:type="dxa" w:w="1512"/>
          </w:tcPr>
          <w:p>
            <w:pPr>
              <w:pStyle w:val="Compact"/>
            </w:pPr>
            <w:r>
              <w:rPr>
                <w:b/>
                <w:bCs/>
              </w:rPr>
              <w:t xml:space="preserve">0.376</w:t>
            </w:r>
            <w:r>
              <w:t xml:space="preserve"> </w:t>
            </w:r>
            <w:r>
              <w:t xml:space="preserve">[0.300, 0.456]</w:t>
            </w:r>
          </w:p>
        </w:tc>
        <w:tc>
          <w:tcPr>
            <w:tcW w:type="dxa" w:w="1512"/>
          </w:tcPr>
          <w:p>
            <w:pPr>
              <w:pStyle w:val="Compact"/>
            </w:pPr>
            <w:r>
              <w:t xml:space="preserve">0.370 [0.248, 0.513]</w:t>
            </w:r>
          </w:p>
        </w:tc>
      </w:tr>
    </w:tbl>
    <w:p>
      <w:pPr>
        <w:pStyle w:val="BodyText"/>
      </w:pPr>
      <w:r>
        <w:rPr>
          <w:b/>
          <w:bCs/>
        </w:rPr>
        <w:t xml:space="preserve">What counts as a reversal.</w:t>
      </w:r>
      <w:r>
        <w:t xml:space="preserve"> </w:t>
      </w:r>
      <w:r>
        <w:t xml:space="preserve">A pair of regions is called a reversal only when their signed</w:t>
      </w:r>
      <w:r>
        <w:t xml:space="preserve"> </w:t>
      </w:r>
      <w:r>
        <w:t xml:space="preserve">associations point to opposite sides of 0.5</w:t>
      </w:r>
      <w:r>
        <w:t xml:space="preserve"> </w:t>
      </w:r>
      <w:r>
        <w:rPr>
          <w:b/>
          <w:bCs/>
        </w:rPr>
        <w:t xml:space="preserve">and each region’s own interval excludes 0.5</w:t>
      </w:r>
      <w:r>
        <w:t xml:space="preserve">. That is</w:t>
      </w:r>
      <w:r>
        <w:t xml:space="preserve"> </w:t>
      </w:r>
      <w:r>
        <w:t xml:space="preserve">stricter than requiring the two regions’ intervals to be disjoint, and the difference matters: for</w:t>
      </w:r>
      <w:r>
        <w:t xml:space="preserve"> </w:t>
      </w:r>
      <w:r>
        <w:rPr>
          <w:rStyle w:val="VerbatimChar"/>
        </w:rPr>
        <w:t xml:space="preserve">current_lst_mean</w:t>
      </w:r>
      <w:r>
        <w:t xml:space="preserve"> </w:t>
      </w:r>
      <w:r>
        <w:t xml:space="preserve">between Manavgat and Bejís the two intervals are disjoint, [0.608, 0.719] against</w:t>
      </w:r>
      <w:r>
        <w:t xml:space="preserve"> </w:t>
      </w:r>
      <w:r>
        <w:t xml:space="preserve">[0.401, 0.547], but Bejís’s own interval includes 0.5, so Bejís has no established direction to</w:t>
      </w:r>
      <w:r>
        <w:t xml:space="preserve"> </w:t>
      </w:r>
      <w:r>
        <w:t xml:space="preserve">reverse from. That pair is a point reversal, not a supported one.</w:t>
      </w:r>
    </w:p>
    <w:p>
      <w:pPr>
        <w:pStyle w:val="BodyText"/>
      </w:pPr>
      <w:r>
        <w:rPr>
          <w:b/>
          <w:bCs/>
        </w:rPr>
        <w:t xml:space="preserve">Table S10. The cross-region reversals that meet the stricter criterion.</w:t>
      </w:r>
      <w:r>
        <w:t xml:space="preserve"> </w:t>
      </w:r>
      <w:r>
        <w:t xml:space="preserve">Corrected Manavgat label.</w:t>
      </w:r>
      <w:r>
        <w:t xml:space="preserve"> </w:t>
      </w:r>
      <w:r>
        <w:t xml:space="preserve">The strict criterion is applied to Table S9’s intervals. Difference intervals are the paired 10-cell</w:t>
      </w:r>
      <w:r>
        <w:t xml:space="preserve"> </w:t>
      </w:r>
      <w:r>
        <w:t xml:space="preserve">block bootstrap of</w:t>
      </w:r>
      <w:r>
        <w:t xml:space="preserve"> </w:t>
      </w:r>
      <w:r>
        <w:rPr>
          <w:rStyle w:val="VerbatimChar"/>
        </w:rPr>
        <w:t xml:space="preserve">paper/code/ems_inference_multiplicity.py</w:t>
      </w:r>
      <w:r>
        <w:t xml:space="preserve"> </w:t>
      </w:r>
      <w:r>
        <w:t xml:space="preserve">(</w:t>
      </w:r>
      <w:r>
        <w:rPr>
          <w:rStyle w:val="VerbatimChar"/>
        </w:rPr>
        <w:t xml:space="preserve">paper/labelfix_rerun/inference/reversal_family_holm.csv</w:t>
      </w:r>
      <w:r>
        <w:t xml:space="preserve">, 1000 replicates), which flags the same</w:t>
      </w:r>
      <w:r>
        <w:t xml:space="preserve"> </w:t>
      </w:r>
      <w:r>
        <w:t xml:space="preserve">fourteen pairs. The frozen table’s intervals came from</w:t>
      </w:r>
      <w:r>
        <w:t xml:space="preserve"> </w:t>
      </w:r>
      <w:r>
        <w:rPr>
          <w:rStyle w:val="VerbatimChar"/>
        </w:rPr>
        <w:t xml:space="preserve">paper/signed_auc_bootstrap.mjs</w:t>
      </w:r>
      <w:r>
        <w:t xml:space="preserve">, a different</w:t>
      </w:r>
      <w:r>
        <w:t xml:space="preserve"> </w:t>
      </w:r>
      <w:r>
        <w:t xml:space="preserve">resampling stream that differs from this one by at most 0.007 on the frozen data. Checked row by row</w:t>
      </w:r>
      <w:r>
        <w:t xml:space="preserve"> </w:t>
      </w:r>
      <w:r>
        <w:t xml:space="preserve">by</w:t>
      </w:r>
      <w:r>
        <w:t xml:space="preserve"> </w:t>
      </w:r>
      <w:r>
        <w:rPr>
          <w:rStyle w:val="VerbatimChar"/>
        </w:rPr>
        <w:t xml:space="preserve">paper/code/appendix_tables.py</w:t>
      </w:r>
      <w:r>
        <w:t xml:space="preserve">.</w:t>
      </w:r>
    </w:p>
    <w:tbl>
      <w:tblPr>
        <w:tblStyle w:val="Table"/>
        <w:tblW w:type="auto" w:w="0"/>
        <w:tblLook w:firstRow="1" w:lastRow="0" w:firstColumn="0" w:lastColumn="0" w:noHBand="0" w:noVBand="0" w:val="0020"/>
      </w:tblPr>
      <w:tblGrid>
        <w:gridCol w:w="2393"/>
        <w:gridCol w:w="1260"/>
        <w:gridCol w:w="630"/>
        <w:gridCol w:w="1260"/>
        <w:gridCol w:w="630"/>
        <w:gridCol w:w="2897"/>
      </w:tblGrid>
      <w:tr>
        <w:trPr>
          <w:tblHeader w:val="on"/>
        </w:trPr>
        <w:tc>
          <w:tcPr>
            <w:tcW w:type="dxa" w:w="2393"/>
          </w:tcPr>
          <w:p>
            <w:pPr>
              <w:pStyle w:val="Compact"/>
            </w:pPr>
            <w:r>
              <w:t xml:space="preserve">Feature</w:t>
            </w:r>
          </w:p>
        </w:tc>
        <w:tc>
          <w:tcPr>
            <w:tcW w:type="dxa" w:w="1260"/>
          </w:tcPr>
          <w:p>
            <w:pPr>
              <w:pStyle w:val="Compact"/>
            </w:pPr>
            <w:r>
              <w:t xml:space="preserve">Region A</w:t>
            </w:r>
          </w:p>
        </w:tc>
        <w:tc>
          <w:tcPr>
            <w:tcW w:type="dxa" w:w="630"/>
          </w:tcPr>
          <w:p>
            <w:pPr>
              <w:pStyle w:val="Compact"/>
              <w:jc w:val="right"/>
            </w:pPr>
            <w:r>
              <w:t xml:space="preserve">AUC</w:t>
            </w:r>
          </w:p>
        </w:tc>
        <w:tc>
          <w:tcPr>
            <w:tcW w:type="dxa" w:w="1260"/>
          </w:tcPr>
          <w:p>
            <w:pPr>
              <w:pStyle w:val="Compact"/>
            </w:pPr>
            <w:r>
              <w:t xml:space="preserve">Region B</w:t>
            </w:r>
          </w:p>
        </w:tc>
        <w:tc>
          <w:tcPr>
            <w:tcW w:type="dxa" w:w="630"/>
          </w:tcPr>
          <w:p>
            <w:pPr>
              <w:pStyle w:val="Compact"/>
              <w:jc w:val="right"/>
            </w:pPr>
            <w:r>
              <w:t xml:space="preserve">AUC</w:t>
            </w:r>
          </w:p>
        </w:tc>
        <w:tc>
          <w:tcPr>
            <w:tcW w:type="dxa" w:w="2897"/>
          </w:tcPr>
          <w:p>
            <w:pPr>
              <w:pStyle w:val="Compact"/>
            </w:pPr>
            <w:r>
              <w:t xml:space="preserve">Difference [95 % CI]</w:t>
            </w:r>
          </w:p>
        </w:tc>
      </w:tr>
      <w:tr>
        <w:tc>
          <w:tcPr>
            <w:tcW w:type="dxa" w:w="2393"/>
          </w:tcPr>
          <w:p>
            <w:pPr>
              <w:pStyle w:val="Compact"/>
            </w:pPr>
            <w:r>
              <w:rPr>
                <w:rStyle w:val="VerbatimChar"/>
              </w:rPr>
              <w:t xml:space="preserve">elevation_mean</w:t>
            </w:r>
          </w:p>
        </w:tc>
        <w:tc>
          <w:tcPr>
            <w:tcW w:type="dxa" w:w="1260"/>
          </w:tcPr>
          <w:p>
            <w:pPr>
              <w:pStyle w:val="Compact"/>
            </w:pPr>
            <w:r>
              <w:t xml:space="preserve">Manavgat</w:t>
            </w:r>
          </w:p>
        </w:tc>
        <w:tc>
          <w:tcPr>
            <w:tcW w:type="dxa" w:w="630"/>
          </w:tcPr>
          <w:p>
            <w:pPr>
              <w:pStyle w:val="Compact"/>
              <w:jc w:val="right"/>
            </w:pPr>
            <w:r>
              <w:t xml:space="preserve">0.232</w:t>
            </w:r>
          </w:p>
        </w:tc>
        <w:tc>
          <w:tcPr>
            <w:tcW w:type="dxa" w:w="1260"/>
          </w:tcPr>
          <w:p>
            <w:pPr>
              <w:pStyle w:val="Compact"/>
            </w:pPr>
            <w:r>
              <w:t xml:space="preserve">Bejís</w:t>
            </w:r>
          </w:p>
        </w:tc>
        <w:tc>
          <w:tcPr>
            <w:tcW w:type="dxa" w:w="630"/>
          </w:tcPr>
          <w:p>
            <w:pPr>
              <w:pStyle w:val="Compact"/>
              <w:jc w:val="right"/>
            </w:pPr>
            <w:r>
              <w:t xml:space="preserve">0.643</w:t>
            </w:r>
          </w:p>
        </w:tc>
        <w:tc>
          <w:tcPr>
            <w:tcW w:type="dxa" w:w="2897"/>
          </w:tcPr>
          <w:p>
            <w:pPr>
              <w:pStyle w:val="Compact"/>
            </w:pPr>
            <w:r>
              <w:t xml:space="preserve">+0.411 [+0.312, +0.509]</w:t>
            </w:r>
          </w:p>
        </w:tc>
      </w:tr>
      <w:tr>
        <w:tc>
          <w:tcPr>
            <w:tcW w:type="dxa" w:w="2393"/>
          </w:tcPr>
          <w:p>
            <w:pPr>
              <w:pStyle w:val="Compact"/>
            </w:pPr>
            <w:r>
              <w:rPr>
                <w:rStyle w:val="VerbatimChar"/>
              </w:rPr>
              <w:t xml:space="preserve">elevation_mean</w:t>
            </w:r>
          </w:p>
        </w:tc>
        <w:tc>
          <w:tcPr>
            <w:tcW w:type="dxa" w:w="1260"/>
          </w:tcPr>
          <w:p>
            <w:pPr>
              <w:pStyle w:val="Compact"/>
            </w:pPr>
            <w:r>
              <w:t xml:space="preserve">Manavgat</w:t>
            </w:r>
          </w:p>
        </w:tc>
        <w:tc>
          <w:tcPr>
            <w:tcW w:type="dxa" w:w="630"/>
          </w:tcPr>
          <w:p>
            <w:pPr>
              <w:pStyle w:val="Compact"/>
              <w:jc w:val="right"/>
            </w:pPr>
            <w:r>
              <w:t xml:space="preserve">0.232</w:t>
            </w:r>
          </w:p>
        </w:tc>
        <w:tc>
          <w:tcPr>
            <w:tcW w:type="dxa" w:w="1260"/>
          </w:tcPr>
          <w:p>
            <w:pPr>
              <w:pStyle w:val="Compact"/>
            </w:pPr>
            <w:r>
              <w:t xml:space="preserve">Muğla</w:t>
            </w:r>
          </w:p>
        </w:tc>
        <w:tc>
          <w:tcPr>
            <w:tcW w:type="dxa" w:w="630"/>
          </w:tcPr>
          <w:p>
            <w:pPr>
              <w:pStyle w:val="Compact"/>
              <w:jc w:val="right"/>
            </w:pPr>
            <w:r>
              <w:t xml:space="preserve">0.611</w:t>
            </w:r>
          </w:p>
        </w:tc>
        <w:tc>
          <w:tcPr>
            <w:tcW w:type="dxa" w:w="2897"/>
          </w:tcPr>
          <w:p>
            <w:pPr>
              <w:pStyle w:val="Compact"/>
            </w:pPr>
            <w:r>
              <w:t xml:space="preserve">+0.379 [+0.274, +0.476]</w:t>
            </w:r>
          </w:p>
        </w:tc>
      </w:tr>
      <w:tr>
        <w:tc>
          <w:tcPr>
            <w:tcW w:type="dxa" w:w="2393"/>
          </w:tcPr>
          <w:p>
            <w:pPr>
              <w:pStyle w:val="Compact"/>
            </w:pPr>
            <w:r>
              <w:rPr>
                <w:rStyle w:val="VerbatimChar"/>
              </w:rPr>
              <w:t xml:space="preserve">slope_mean</w:t>
            </w:r>
          </w:p>
        </w:tc>
        <w:tc>
          <w:tcPr>
            <w:tcW w:type="dxa" w:w="1260"/>
          </w:tcPr>
          <w:p>
            <w:pPr>
              <w:pStyle w:val="Compact"/>
            </w:pPr>
            <w:r>
              <w:t xml:space="preserve">Manavgat</w:t>
            </w:r>
          </w:p>
        </w:tc>
        <w:tc>
          <w:tcPr>
            <w:tcW w:type="dxa" w:w="630"/>
          </w:tcPr>
          <w:p>
            <w:pPr>
              <w:pStyle w:val="Compact"/>
              <w:jc w:val="right"/>
            </w:pPr>
            <w:r>
              <w:t xml:space="preserve">0.400</w:t>
            </w:r>
          </w:p>
        </w:tc>
        <w:tc>
          <w:tcPr>
            <w:tcW w:type="dxa" w:w="1260"/>
          </w:tcPr>
          <w:p>
            <w:pPr>
              <w:pStyle w:val="Compact"/>
            </w:pPr>
            <w:r>
              <w:t xml:space="preserve">Muğla</w:t>
            </w:r>
          </w:p>
        </w:tc>
        <w:tc>
          <w:tcPr>
            <w:tcW w:type="dxa" w:w="630"/>
          </w:tcPr>
          <w:p>
            <w:pPr>
              <w:pStyle w:val="Compact"/>
              <w:jc w:val="right"/>
            </w:pPr>
            <w:r>
              <w:t xml:space="preserve">0.637</w:t>
            </w:r>
          </w:p>
        </w:tc>
        <w:tc>
          <w:tcPr>
            <w:tcW w:type="dxa" w:w="2897"/>
          </w:tcPr>
          <w:p>
            <w:pPr>
              <w:pStyle w:val="Compact"/>
            </w:pPr>
            <w:r>
              <w:t xml:space="preserve">+0.237 [+0.158, +0.313]</w:t>
            </w:r>
          </w:p>
        </w:tc>
      </w:tr>
      <w:tr>
        <w:tc>
          <w:tcPr>
            <w:tcW w:type="dxa" w:w="2393"/>
          </w:tcPr>
          <w:p>
            <w:pPr>
              <w:pStyle w:val="Compact"/>
            </w:pPr>
            <w:r>
              <w:rPr>
                <w:rStyle w:val="VerbatimChar"/>
              </w:rPr>
              <w:t xml:space="preserve">slope_mean</w:t>
            </w:r>
          </w:p>
        </w:tc>
        <w:tc>
          <w:tcPr>
            <w:tcW w:type="dxa" w:w="1260"/>
          </w:tcPr>
          <w:p>
            <w:pPr>
              <w:pStyle w:val="Compact"/>
            </w:pPr>
            <w:r>
              <w:t xml:space="preserve">Manavgat</w:t>
            </w:r>
          </w:p>
        </w:tc>
        <w:tc>
          <w:tcPr>
            <w:tcW w:type="dxa" w:w="630"/>
          </w:tcPr>
          <w:p>
            <w:pPr>
              <w:pStyle w:val="Compact"/>
              <w:jc w:val="right"/>
            </w:pPr>
            <w:r>
              <w:t xml:space="preserve">0.400</w:t>
            </w:r>
          </w:p>
        </w:tc>
        <w:tc>
          <w:tcPr>
            <w:tcW w:type="dxa" w:w="1260"/>
          </w:tcPr>
          <w:p>
            <w:pPr>
              <w:pStyle w:val="Compact"/>
            </w:pPr>
            <w:r>
              <w:t xml:space="preserve">Montiferru</w:t>
            </w:r>
          </w:p>
        </w:tc>
        <w:tc>
          <w:tcPr>
            <w:tcW w:type="dxa" w:w="630"/>
          </w:tcPr>
          <w:p>
            <w:pPr>
              <w:pStyle w:val="Compact"/>
              <w:jc w:val="right"/>
            </w:pPr>
            <w:r>
              <w:t xml:space="preserve">0.652</w:t>
            </w:r>
          </w:p>
        </w:tc>
        <w:tc>
          <w:tcPr>
            <w:tcW w:type="dxa" w:w="2897"/>
          </w:tcPr>
          <w:p>
            <w:pPr>
              <w:pStyle w:val="Compact"/>
            </w:pPr>
            <w:r>
              <w:t xml:space="preserve">+0.252 [+0.100, +0.389]</w:t>
            </w:r>
          </w:p>
        </w:tc>
      </w:tr>
      <w:tr>
        <w:tc>
          <w:tcPr>
            <w:tcW w:type="dxa" w:w="2393"/>
          </w:tcPr>
          <w:p>
            <w:pPr>
              <w:pStyle w:val="Compact"/>
            </w:pPr>
            <w:r>
              <w:rPr>
                <w:rStyle w:val="VerbatimChar"/>
              </w:rPr>
              <w:t xml:space="preserve">lst_anomaly_mean</w:t>
            </w:r>
          </w:p>
        </w:tc>
        <w:tc>
          <w:tcPr>
            <w:tcW w:type="dxa" w:w="1260"/>
          </w:tcPr>
          <w:p>
            <w:pPr>
              <w:pStyle w:val="Compact"/>
            </w:pPr>
            <w:r>
              <w:t xml:space="preserve">Bejís</w:t>
            </w:r>
          </w:p>
        </w:tc>
        <w:tc>
          <w:tcPr>
            <w:tcW w:type="dxa" w:w="630"/>
          </w:tcPr>
          <w:p>
            <w:pPr>
              <w:pStyle w:val="Compact"/>
              <w:jc w:val="right"/>
            </w:pPr>
            <w:r>
              <w:t xml:space="preserve">0.418</w:t>
            </w:r>
          </w:p>
        </w:tc>
        <w:tc>
          <w:tcPr>
            <w:tcW w:type="dxa" w:w="1260"/>
          </w:tcPr>
          <w:p>
            <w:pPr>
              <w:pStyle w:val="Compact"/>
            </w:pPr>
            <w:r>
              <w:t xml:space="preserve">Evia</w:t>
            </w:r>
          </w:p>
        </w:tc>
        <w:tc>
          <w:tcPr>
            <w:tcW w:type="dxa" w:w="630"/>
          </w:tcPr>
          <w:p>
            <w:pPr>
              <w:pStyle w:val="Compact"/>
              <w:jc w:val="right"/>
            </w:pPr>
            <w:r>
              <w:t xml:space="preserve">0.640</w:t>
            </w:r>
          </w:p>
        </w:tc>
        <w:tc>
          <w:tcPr>
            <w:tcW w:type="dxa" w:w="2897"/>
          </w:tcPr>
          <w:p>
            <w:pPr>
              <w:pStyle w:val="Compact"/>
            </w:pPr>
            <w:r>
              <w:t xml:space="preserve">+0.222 [+0.129, +0.316]</w:t>
            </w:r>
          </w:p>
        </w:tc>
      </w:tr>
      <w:tr>
        <w:tc>
          <w:tcPr>
            <w:tcW w:type="dxa" w:w="2393"/>
          </w:tcPr>
          <w:p>
            <w:pPr>
              <w:pStyle w:val="Compact"/>
            </w:pPr>
            <w:r>
              <w:rPr>
                <w:rStyle w:val="VerbatimChar"/>
              </w:rPr>
              <w:t xml:space="preserve">current_lst_mean</w:t>
            </w:r>
          </w:p>
        </w:tc>
        <w:tc>
          <w:tcPr>
            <w:tcW w:type="dxa" w:w="1260"/>
          </w:tcPr>
          <w:p>
            <w:pPr>
              <w:pStyle w:val="Compact"/>
            </w:pPr>
            <w:r>
              <w:t xml:space="preserve">Muğla</w:t>
            </w:r>
          </w:p>
        </w:tc>
        <w:tc>
          <w:tcPr>
            <w:tcW w:type="dxa" w:w="630"/>
          </w:tcPr>
          <w:p>
            <w:pPr>
              <w:pStyle w:val="Compact"/>
              <w:jc w:val="right"/>
            </w:pPr>
            <w:r>
              <w:t xml:space="preserve">0.325</w:t>
            </w:r>
          </w:p>
        </w:tc>
        <w:tc>
          <w:tcPr>
            <w:tcW w:type="dxa" w:w="1260"/>
          </w:tcPr>
          <w:p>
            <w:pPr>
              <w:pStyle w:val="Compact"/>
            </w:pPr>
            <w:r>
              <w:t xml:space="preserve">Manavgat</w:t>
            </w:r>
          </w:p>
        </w:tc>
        <w:tc>
          <w:tcPr>
            <w:tcW w:type="dxa" w:w="630"/>
          </w:tcPr>
          <w:p>
            <w:pPr>
              <w:pStyle w:val="Compact"/>
              <w:jc w:val="right"/>
            </w:pPr>
            <w:r>
              <w:t xml:space="preserve">0.665</w:t>
            </w:r>
          </w:p>
        </w:tc>
        <w:tc>
          <w:tcPr>
            <w:tcW w:type="dxa" w:w="2897"/>
          </w:tcPr>
          <w:p>
            <w:pPr>
              <w:pStyle w:val="Compact"/>
            </w:pPr>
            <w:r>
              <w:t xml:space="preserve">+0.340 [+0.260, +0.413]</w:t>
            </w:r>
          </w:p>
        </w:tc>
      </w:tr>
      <w:tr>
        <w:tc>
          <w:tcPr>
            <w:tcW w:type="dxa" w:w="2393"/>
          </w:tcPr>
          <w:p>
            <w:pPr>
              <w:pStyle w:val="Compact"/>
            </w:pPr>
            <w:r>
              <w:rPr>
                <w:rStyle w:val="VerbatimChar"/>
              </w:rPr>
              <w:t xml:space="preserve">current_lst_mean</w:t>
            </w:r>
          </w:p>
        </w:tc>
        <w:tc>
          <w:tcPr>
            <w:tcW w:type="dxa" w:w="1260"/>
          </w:tcPr>
          <w:p>
            <w:pPr>
              <w:pStyle w:val="Compact"/>
            </w:pPr>
            <w:r>
              <w:t xml:space="preserve">Evia</w:t>
            </w:r>
          </w:p>
        </w:tc>
        <w:tc>
          <w:tcPr>
            <w:tcW w:type="dxa" w:w="630"/>
          </w:tcPr>
          <w:p>
            <w:pPr>
              <w:pStyle w:val="Compact"/>
              <w:jc w:val="right"/>
            </w:pPr>
            <w:r>
              <w:t xml:space="preserve">0.377</w:t>
            </w:r>
          </w:p>
        </w:tc>
        <w:tc>
          <w:tcPr>
            <w:tcW w:type="dxa" w:w="1260"/>
          </w:tcPr>
          <w:p>
            <w:pPr>
              <w:pStyle w:val="Compact"/>
            </w:pPr>
            <w:r>
              <w:t xml:space="preserve">Manavgat</w:t>
            </w:r>
          </w:p>
        </w:tc>
        <w:tc>
          <w:tcPr>
            <w:tcW w:type="dxa" w:w="630"/>
          </w:tcPr>
          <w:p>
            <w:pPr>
              <w:pStyle w:val="Compact"/>
              <w:jc w:val="right"/>
            </w:pPr>
            <w:r>
              <w:t xml:space="preserve">0.665</w:t>
            </w:r>
          </w:p>
        </w:tc>
        <w:tc>
          <w:tcPr>
            <w:tcW w:type="dxa" w:w="2897"/>
          </w:tcPr>
          <w:p>
            <w:pPr>
              <w:pStyle w:val="Compact"/>
            </w:pPr>
            <w:r>
              <w:t xml:space="preserve">+0.288 [+0.195, +0.384]</w:t>
            </w:r>
          </w:p>
        </w:tc>
      </w:tr>
      <w:tr>
        <w:tc>
          <w:tcPr>
            <w:tcW w:type="dxa" w:w="2393"/>
          </w:tcPr>
          <w:p>
            <w:pPr>
              <w:pStyle w:val="Compact"/>
            </w:pPr>
            <w:r>
              <w:rPr>
                <w:rStyle w:val="VerbatimChar"/>
              </w:rPr>
              <w:t xml:space="preserve">current_tvdi_mean</w:t>
            </w:r>
          </w:p>
        </w:tc>
        <w:tc>
          <w:tcPr>
            <w:tcW w:type="dxa" w:w="1260"/>
          </w:tcPr>
          <w:p>
            <w:pPr>
              <w:pStyle w:val="Compact"/>
            </w:pPr>
            <w:r>
              <w:t xml:space="preserve">Muğla</w:t>
            </w:r>
          </w:p>
        </w:tc>
        <w:tc>
          <w:tcPr>
            <w:tcW w:type="dxa" w:w="630"/>
          </w:tcPr>
          <w:p>
            <w:pPr>
              <w:pStyle w:val="Compact"/>
              <w:jc w:val="right"/>
            </w:pPr>
            <w:r>
              <w:t xml:space="preserve">0.336</w:t>
            </w:r>
          </w:p>
        </w:tc>
        <w:tc>
          <w:tcPr>
            <w:tcW w:type="dxa" w:w="1260"/>
          </w:tcPr>
          <w:p>
            <w:pPr>
              <w:pStyle w:val="Compact"/>
            </w:pPr>
            <w:r>
              <w:t xml:space="preserve">Manavgat</w:t>
            </w:r>
          </w:p>
        </w:tc>
        <w:tc>
          <w:tcPr>
            <w:tcW w:type="dxa" w:w="630"/>
          </w:tcPr>
          <w:p>
            <w:pPr>
              <w:pStyle w:val="Compact"/>
              <w:jc w:val="right"/>
            </w:pPr>
            <w:r>
              <w:t xml:space="preserve">0.677</w:t>
            </w:r>
          </w:p>
        </w:tc>
        <w:tc>
          <w:tcPr>
            <w:tcW w:type="dxa" w:w="2897"/>
          </w:tcPr>
          <w:p>
            <w:pPr>
              <w:pStyle w:val="Compact"/>
            </w:pPr>
            <w:r>
              <w:t xml:space="preserve">+0.341 [+0.253, +0.422]</w:t>
            </w:r>
          </w:p>
        </w:tc>
      </w:tr>
      <w:tr>
        <w:tc>
          <w:tcPr>
            <w:tcW w:type="dxa" w:w="2393"/>
          </w:tcPr>
          <w:p>
            <w:pPr>
              <w:pStyle w:val="Compact"/>
            </w:pPr>
            <w:r>
              <w:rPr>
                <w:rStyle w:val="VerbatimChar"/>
              </w:rPr>
              <w:t xml:space="preserve">current_tvdi_mean</w:t>
            </w:r>
          </w:p>
        </w:tc>
        <w:tc>
          <w:tcPr>
            <w:tcW w:type="dxa" w:w="1260"/>
          </w:tcPr>
          <w:p>
            <w:pPr>
              <w:pStyle w:val="Compact"/>
            </w:pPr>
            <w:r>
              <w:t xml:space="preserve">Evia</w:t>
            </w:r>
          </w:p>
        </w:tc>
        <w:tc>
          <w:tcPr>
            <w:tcW w:type="dxa" w:w="630"/>
          </w:tcPr>
          <w:p>
            <w:pPr>
              <w:pStyle w:val="Compact"/>
              <w:jc w:val="right"/>
            </w:pPr>
            <w:r>
              <w:t xml:space="preserve">0.362</w:t>
            </w:r>
          </w:p>
        </w:tc>
        <w:tc>
          <w:tcPr>
            <w:tcW w:type="dxa" w:w="1260"/>
          </w:tcPr>
          <w:p>
            <w:pPr>
              <w:pStyle w:val="Compact"/>
            </w:pPr>
            <w:r>
              <w:t xml:space="preserve">Manavgat</w:t>
            </w:r>
          </w:p>
        </w:tc>
        <w:tc>
          <w:tcPr>
            <w:tcW w:type="dxa" w:w="630"/>
          </w:tcPr>
          <w:p>
            <w:pPr>
              <w:pStyle w:val="Compact"/>
              <w:jc w:val="right"/>
            </w:pPr>
            <w:r>
              <w:t xml:space="preserve">0.677</w:t>
            </w:r>
          </w:p>
        </w:tc>
        <w:tc>
          <w:tcPr>
            <w:tcW w:type="dxa" w:w="2897"/>
          </w:tcPr>
          <w:p>
            <w:pPr>
              <w:pStyle w:val="Compact"/>
            </w:pPr>
            <w:r>
              <w:t xml:space="preserve">+0.315 [+0.221, +0.413]</w:t>
            </w:r>
          </w:p>
        </w:tc>
      </w:tr>
      <w:tr>
        <w:tc>
          <w:tcPr>
            <w:tcW w:type="dxa" w:w="2393"/>
          </w:tcPr>
          <w:p>
            <w:pPr>
              <w:pStyle w:val="Compact"/>
            </w:pPr>
            <w:r>
              <w:rPr>
                <w:rStyle w:val="VerbatimChar"/>
              </w:rPr>
              <w:t xml:space="preserve">current_tvdi_mean</w:t>
            </w:r>
          </w:p>
        </w:tc>
        <w:tc>
          <w:tcPr>
            <w:tcW w:type="dxa" w:w="1260"/>
          </w:tcPr>
          <w:p>
            <w:pPr>
              <w:pStyle w:val="Compact"/>
            </w:pPr>
            <w:r>
              <w:t xml:space="preserve">Montiferru</w:t>
            </w:r>
          </w:p>
        </w:tc>
        <w:tc>
          <w:tcPr>
            <w:tcW w:type="dxa" w:w="630"/>
          </w:tcPr>
          <w:p>
            <w:pPr>
              <w:pStyle w:val="Compact"/>
              <w:jc w:val="right"/>
            </w:pPr>
            <w:r>
              <w:t xml:space="preserve">0.356</w:t>
            </w:r>
          </w:p>
        </w:tc>
        <w:tc>
          <w:tcPr>
            <w:tcW w:type="dxa" w:w="1260"/>
          </w:tcPr>
          <w:p>
            <w:pPr>
              <w:pStyle w:val="Compact"/>
            </w:pPr>
            <w:r>
              <w:t xml:space="preserve">Manavgat</w:t>
            </w:r>
          </w:p>
        </w:tc>
        <w:tc>
          <w:tcPr>
            <w:tcW w:type="dxa" w:w="630"/>
          </w:tcPr>
          <w:p>
            <w:pPr>
              <w:pStyle w:val="Compact"/>
              <w:jc w:val="right"/>
            </w:pPr>
            <w:r>
              <w:t xml:space="preserve">0.677</w:t>
            </w:r>
          </w:p>
        </w:tc>
        <w:tc>
          <w:tcPr>
            <w:tcW w:type="dxa" w:w="2897"/>
          </w:tcPr>
          <w:p>
            <w:pPr>
              <w:pStyle w:val="Compact"/>
            </w:pPr>
            <w:r>
              <w:t xml:space="preserve">+0.322 [+0.161, +0.453]</w:t>
            </w:r>
          </w:p>
        </w:tc>
      </w:tr>
      <w:tr>
        <w:tc>
          <w:tcPr>
            <w:tcW w:type="dxa" w:w="2393"/>
          </w:tcPr>
          <w:p>
            <w:pPr>
              <w:pStyle w:val="Compact"/>
            </w:pPr>
            <w:r>
              <w:rPr>
                <w:rStyle w:val="VerbatimChar"/>
              </w:rPr>
              <w:t xml:space="preserve">downscaled_lst_mean</w:t>
            </w:r>
          </w:p>
        </w:tc>
        <w:tc>
          <w:tcPr>
            <w:tcW w:type="dxa" w:w="1260"/>
          </w:tcPr>
          <w:p>
            <w:pPr>
              <w:pStyle w:val="Compact"/>
            </w:pPr>
            <w:r>
              <w:t xml:space="preserve">Muğla</w:t>
            </w:r>
          </w:p>
        </w:tc>
        <w:tc>
          <w:tcPr>
            <w:tcW w:type="dxa" w:w="630"/>
          </w:tcPr>
          <w:p>
            <w:pPr>
              <w:pStyle w:val="Compact"/>
              <w:jc w:val="right"/>
            </w:pPr>
            <w:r>
              <w:t xml:space="preserve">0.307</w:t>
            </w:r>
          </w:p>
        </w:tc>
        <w:tc>
          <w:tcPr>
            <w:tcW w:type="dxa" w:w="1260"/>
          </w:tcPr>
          <w:p>
            <w:pPr>
              <w:pStyle w:val="Compact"/>
            </w:pPr>
            <w:r>
              <w:t xml:space="preserve">Manavgat</w:t>
            </w:r>
          </w:p>
        </w:tc>
        <w:tc>
          <w:tcPr>
            <w:tcW w:type="dxa" w:w="630"/>
          </w:tcPr>
          <w:p>
            <w:pPr>
              <w:pStyle w:val="Compact"/>
              <w:jc w:val="right"/>
            </w:pPr>
            <w:r>
              <w:t xml:space="preserve">0.683</w:t>
            </w:r>
          </w:p>
        </w:tc>
        <w:tc>
          <w:tcPr>
            <w:tcW w:type="dxa" w:w="2897"/>
          </w:tcPr>
          <w:p>
            <w:pPr>
              <w:pStyle w:val="Compact"/>
            </w:pPr>
            <w:r>
              <w:t xml:space="preserve">+0.376 [+0.295, +0.451]</w:t>
            </w:r>
          </w:p>
        </w:tc>
      </w:tr>
      <w:tr>
        <w:tc>
          <w:tcPr>
            <w:tcW w:type="dxa" w:w="2393"/>
          </w:tcPr>
          <w:p>
            <w:pPr>
              <w:pStyle w:val="Compact"/>
            </w:pPr>
            <w:r>
              <w:rPr>
                <w:rStyle w:val="VerbatimChar"/>
              </w:rPr>
              <w:t xml:space="preserve">downscaled_lst_mean</w:t>
            </w:r>
          </w:p>
        </w:tc>
        <w:tc>
          <w:tcPr>
            <w:tcW w:type="dxa" w:w="1260"/>
          </w:tcPr>
          <w:p>
            <w:pPr>
              <w:pStyle w:val="Compact"/>
            </w:pPr>
            <w:r>
              <w:t xml:space="preserve">Evia</w:t>
            </w:r>
          </w:p>
        </w:tc>
        <w:tc>
          <w:tcPr>
            <w:tcW w:type="dxa" w:w="630"/>
          </w:tcPr>
          <w:p>
            <w:pPr>
              <w:pStyle w:val="Compact"/>
              <w:jc w:val="right"/>
            </w:pPr>
            <w:r>
              <w:t xml:space="preserve">0.377</w:t>
            </w:r>
          </w:p>
        </w:tc>
        <w:tc>
          <w:tcPr>
            <w:tcW w:type="dxa" w:w="1260"/>
          </w:tcPr>
          <w:p>
            <w:pPr>
              <w:pStyle w:val="Compact"/>
            </w:pPr>
            <w:r>
              <w:t xml:space="preserve">Manavgat</w:t>
            </w:r>
          </w:p>
        </w:tc>
        <w:tc>
          <w:tcPr>
            <w:tcW w:type="dxa" w:w="630"/>
          </w:tcPr>
          <w:p>
            <w:pPr>
              <w:pStyle w:val="Compact"/>
              <w:jc w:val="right"/>
            </w:pPr>
            <w:r>
              <w:t xml:space="preserve">0.683</w:t>
            </w:r>
          </w:p>
        </w:tc>
        <w:tc>
          <w:tcPr>
            <w:tcW w:type="dxa" w:w="2897"/>
          </w:tcPr>
          <w:p>
            <w:pPr>
              <w:pStyle w:val="Compact"/>
            </w:pPr>
            <w:r>
              <w:t xml:space="preserve">+0.307 [+0.209, +0.405]</w:t>
            </w:r>
          </w:p>
        </w:tc>
      </w:tr>
      <w:tr>
        <w:tc>
          <w:tcPr>
            <w:tcW w:type="dxa" w:w="2393"/>
          </w:tcPr>
          <w:p>
            <w:pPr>
              <w:pStyle w:val="Compact"/>
            </w:pPr>
            <w:r>
              <w:rPr>
                <w:rStyle w:val="VerbatimChar"/>
              </w:rPr>
              <w:t xml:space="preserve">fused_lst_mean</w:t>
            </w:r>
          </w:p>
        </w:tc>
        <w:tc>
          <w:tcPr>
            <w:tcW w:type="dxa" w:w="1260"/>
          </w:tcPr>
          <w:p>
            <w:pPr>
              <w:pStyle w:val="Compact"/>
            </w:pPr>
            <w:r>
              <w:t xml:space="preserve">Muğla</w:t>
            </w:r>
          </w:p>
        </w:tc>
        <w:tc>
          <w:tcPr>
            <w:tcW w:type="dxa" w:w="630"/>
          </w:tcPr>
          <w:p>
            <w:pPr>
              <w:pStyle w:val="Compact"/>
              <w:jc w:val="right"/>
            </w:pPr>
            <w:r>
              <w:t xml:space="preserve">0.325</w:t>
            </w:r>
          </w:p>
        </w:tc>
        <w:tc>
          <w:tcPr>
            <w:tcW w:type="dxa" w:w="1260"/>
          </w:tcPr>
          <w:p>
            <w:pPr>
              <w:pStyle w:val="Compact"/>
            </w:pPr>
            <w:r>
              <w:t xml:space="preserve">Manavgat</w:t>
            </w:r>
          </w:p>
        </w:tc>
        <w:tc>
          <w:tcPr>
            <w:tcW w:type="dxa" w:w="630"/>
          </w:tcPr>
          <w:p>
            <w:pPr>
              <w:pStyle w:val="Compact"/>
              <w:jc w:val="right"/>
            </w:pPr>
            <w:r>
              <w:t xml:space="preserve">0.666</w:t>
            </w:r>
          </w:p>
        </w:tc>
        <w:tc>
          <w:tcPr>
            <w:tcW w:type="dxa" w:w="2897"/>
          </w:tcPr>
          <w:p>
            <w:pPr>
              <w:pStyle w:val="Compact"/>
            </w:pPr>
            <w:r>
              <w:t xml:space="preserve">+0.341 [+0.261, +0.413]</w:t>
            </w:r>
          </w:p>
        </w:tc>
      </w:tr>
      <w:tr>
        <w:tc>
          <w:tcPr>
            <w:tcW w:type="dxa" w:w="2393"/>
          </w:tcPr>
          <w:p>
            <w:pPr>
              <w:pStyle w:val="Compact"/>
            </w:pPr>
            <w:r>
              <w:rPr>
                <w:rStyle w:val="VerbatimChar"/>
              </w:rPr>
              <w:t xml:space="preserve">fused_lst_mean</w:t>
            </w:r>
          </w:p>
        </w:tc>
        <w:tc>
          <w:tcPr>
            <w:tcW w:type="dxa" w:w="1260"/>
          </w:tcPr>
          <w:p>
            <w:pPr>
              <w:pStyle w:val="Compact"/>
            </w:pPr>
            <w:r>
              <w:t xml:space="preserve">Evia</w:t>
            </w:r>
          </w:p>
        </w:tc>
        <w:tc>
          <w:tcPr>
            <w:tcW w:type="dxa" w:w="630"/>
          </w:tcPr>
          <w:p>
            <w:pPr>
              <w:pStyle w:val="Compact"/>
              <w:jc w:val="right"/>
            </w:pPr>
            <w:r>
              <w:t xml:space="preserve">0.376</w:t>
            </w:r>
          </w:p>
        </w:tc>
        <w:tc>
          <w:tcPr>
            <w:tcW w:type="dxa" w:w="1260"/>
          </w:tcPr>
          <w:p>
            <w:pPr>
              <w:pStyle w:val="Compact"/>
            </w:pPr>
            <w:r>
              <w:t xml:space="preserve">Manavgat</w:t>
            </w:r>
          </w:p>
        </w:tc>
        <w:tc>
          <w:tcPr>
            <w:tcW w:type="dxa" w:w="630"/>
          </w:tcPr>
          <w:p>
            <w:pPr>
              <w:pStyle w:val="Compact"/>
              <w:jc w:val="right"/>
            </w:pPr>
            <w:r>
              <w:t xml:space="preserve">0.666</w:t>
            </w:r>
          </w:p>
        </w:tc>
        <w:tc>
          <w:tcPr>
            <w:tcW w:type="dxa" w:w="2897"/>
          </w:tcPr>
          <w:p>
            <w:pPr>
              <w:pStyle w:val="Compact"/>
            </w:pPr>
            <w:r>
              <w:t xml:space="preserve">+0.291 [+0.198, +0.386]</w:t>
            </w:r>
          </w:p>
        </w:tc>
      </w:tr>
    </w:tbl>
    <w:p>
      <w:pPr>
        <w:pStyle w:val="BodyText"/>
      </w:pPr>
      <w:r>
        <w:t xml:space="preserve">Fourteen pair-level reversals across</w:t>
      </w:r>
      <w:r>
        <w:t xml:space="preserve"> </w:t>
      </w:r>
      <w:r>
        <w:rPr>
          <w:b/>
          <w:bCs/>
        </w:rPr>
        <w:t xml:space="preserve">seven</w:t>
      </w:r>
      <w:r>
        <w:t xml:space="preserve"> </w:t>
      </w:r>
      <w:r>
        <w:t xml:space="preserve">features, thirteen of them involving Manavgat. Under</w:t>
      </w:r>
      <w:r>
        <w:t xml:space="preserve"> </w:t>
      </w:r>
      <w:r>
        <w:t xml:space="preserve">the frozen label there were three, across two features, elevation and the LST anomaly. Section 3.11</w:t>
      </w:r>
      <w:r>
        <w:t xml:space="preserve"> </w:t>
      </w:r>
      <w:r>
        <w:t xml:space="preserve">removes exactly those two, and that selection was fixed under the frozen label and is kept, not</w:t>
      </w:r>
      <w:r>
        <w:t xml:space="preserve"> </w:t>
      </w:r>
      <w:r>
        <w:t xml:space="preserve">re-selected (Section 4.6). Twenty-six further pairs reverse at the point estimate only, and they are</w:t>
      </w:r>
      <w:r>
        <w:t xml:space="preserve"> </w:t>
      </w:r>
      <w:r>
        <w:t xml:space="preserve">not counted. The frozen text gave twenty-nine for that count, but the frozen Step9G values give</w:t>
      </w:r>
      <w:r>
        <w:t xml:space="preserve"> </w:t>
      </w:r>
      <w:r>
        <w:t xml:space="preserve">thirty-three: a pre-existing count error, independent of the label. The conservative criterion costs</w:t>
      </w:r>
      <w:r>
        <w:t xml:space="preserve"> </w:t>
      </w:r>
      <w:r>
        <w:t xml:space="preserve">the paper findings rather than manufacturing them: a difference interval on the pair, which is the</w:t>
      </w:r>
      <w:r>
        <w:t xml:space="preserve"> </w:t>
      </w:r>
      <w:r>
        <w:t xml:space="preserve">instrument Section S1.13 uses, would support seventeen further reversals.</w:t>
      </w:r>
    </w:p>
    <w:bookmarkStart w:id="51" w:name="X352a247e862b156ea5c3bc60cd0031eea17b758"/>
    <w:p>
      <w:pPr>
        <w:pStyle w:val="Heading2"/>
      </w:pPr>
      <w:r>
        <w:t xml:space="preserve">S2.1 The transfer matrix in precision-recall terms</w:t>
      </w:r>
    </w:p>
    <w:p>
      <w:pPr>
        <w:pStyle w:val="FirstParagraph"/>
      </w:pPr>
      <w:r>
        <w:t xml:space="preserve">ROC-AUC is reported throughout the main text for comparability with the susceptibility literature.</w:t>
      </w:r>
      <w:r>
        <w:t xml:space="preserve"> </w:t>
      </w:r>
      <w:r>
        <w:t xml:space="preserve">A susceptibility surface is used as a ranked area budget, so precision-recall is the operational</w:t>
      </w:r>
      <w:r>
        <w:t xml:space="preserve"> </w:t>
      </w:r>
      <w:r>
        <w:t xml:space="preserve">quantity, and at target prevalences of 7.0 to 28.7 % the two can differ sharply. Read from the step9b</w:t>
      </w:r>
      <w:r>
        <w:t xml:space="preserve"> </w:t>
      </w:r>
      <w:r>
        <w:t xml:space="preserve">exports of the re-frozen outputs (</w:t>
      </w:r>
      <w:r>
        <w:rPr>
          <w:rStyle w:val="VerbatimChar"/>
        </w:rPr>
        <w:t xml:space="preserve">paper/labelfix_rerun/round5/tables/corrected/*/step9b_metrics.json</w:t>
      </w:r>
      <w:r>
        <w:t xml:space="preserve">).</w:t>
      </w:r>
    </w:p>
    <w:p>
      <w:pPr>
        <w:pStyle w:val="BodyText"/>
      </w:pPr>
      <w:r>
        <w:rPr>
          <w:b/>
          <w:bCs/>
        </w:rPr>
        <w:t xml:space="preserve">Table S11. Thermal transfer, PR-AUC against the no-skill baseline.</w:t>
      </w:r>
      <w:r>
        <w:t xml:space="preserve"> </w:t>
      </w:r>
      <w:r>
        <w:t xml:space="preserve">The baseline is the target’s</w:t>
      </w:r>
      <w:r>
        <w:t xml:space="preserve"> </w:t>
      </w:r>
      <w:r>
        <w:t xml:space="preserve">burned prevalence. Lift is PR-AUC divided by that baseline; a lift of 1 is no better than random ranking. Ordered by lift.</w:t>
      </w:r>
      <w:r>
        <w:t xml:space="preserve"> </w:t>
      </w:r>
      <w:r>
        <w:t xml:space="preserve">Corrected Manavgat label. Checked row by row by</w:t>
      </w:r>
      <w:r>
        <w:t xml:space="preserve"> </w:t>
      </w:r>
      <w:r>
        <w:rPr>
          <w:rStyle w:val="VerbatimChar"/>
        </w:rPr>
        <w:t xml:space="preserve">paper/code/appendix_tables.py</w:t>
      </w:r>
      <w:r>
        <w:t xml:space="preserve">. Two frozen cells did not equal their source rounded to 3 dp,</w:t>
      </w:r>
      <w:r>
        <w:t xml:space="preserve"> </w:t>
      </w:r>
      <w:r>
        <w:t xml:space="preserve">Bejís → Muğla ROC-AUC (printed 0.619, source 0.6185) and Montiferru → Manavgat PR-AUC (printed 0.043,</w:t>
      </w:r>
      <w:r>
        <w:t xml:space="preserve"> </w:t>
      </w:r>
      <w:r>
        <w:t xml:space="preserve">source 0.0425): a pre-existing rounding error, independent of the label.</w:t>
      </w:r>
    </w:p>
    <w:tbl>
      <w:tblPr>
        <w:tblStyle w:val="Table"/>
        <w:tblW w:type="auto" w:w="0"/>
        <w:tblLook w:firstRow="1" w:lastRow="0" w:firstColumn="0" w:lastColumn="0" w:noHBand="0" w:noVBand="0" w:val="0020"/>
      </w:tblPr>
      <w:tblGrid>
        <w:gridCol w:w="4141"/>
        <w:gridCol w:w="1380"/>
        <w:gridCol w:w="1183"/>
        <w:gridCol w:w="1577"/>
        <w:gridCol w:w="789"/>
      </w:tblGrid>
      <w:tr>
        <w:trPr>
          <w:tblHeader w:val="on"/>
        </w:trPr>
        <w:tc>
          <w:tcPr>
            <w:tcW w:type="dxa" w:w="4141"/>
          </w:tcPr>
          <w:p>
            <w:pPr>
              <w:pStyle w:val="Compact"/>
            </w:pPr>
            <w:r>
              <w:t xml:space="preserve">Direction</w:t>
            </w:r>
          </w:p>
        </w:tc>
        <w:tc>
          <w:tcPr>
            <w:tcW w:type="dxa" w:w="1380"/>
          </w:tcPr>
          <w:p>
            <w:pPr>
              <w:pStyle w:val="Compact"/>
              <w:jc w:val="right"/>
            </w:pPr>
            <w:r>
              <w:t xml:space="preserve">ROC-AUC</w:t>
            </w:r>
          </w:p>
        </w:tc>
        <w:tc>
          <w:tcPr>
            <w:tcW w:type="dxa" w:w="1183"/>
          </w:tcPr>
          <w:p>
            <w:pPr>
              <w:pStyle w:val="Compact"/>
              <w:jc w:val="right"/>
            </w:pPr>
            <w:r>
              <w:t xml:space="preserve">PR-AUC</w:t>
            </w:r>
          </w:p>
        </w:tc>
        <w:tc>
          <w:tcPr>
            <w:tcW w:type="dxa" w:w="1577"/>
          </w:tcPr>
          <w:p>
            <w:pPr>
              <w:pStyle w:val="Compact"/>
              <w:jc w:val="right"/>
            </w:pPr>
            <w:r>
              <w:t xml:space="preserve">No-skill</w:t>
            </w:r>
          </w:p>
        </w:tc>
        <w:tc>
          <w:tcPr>
            <w:tcW w:type="dxa" w:w="789"/>
          </w:tcPr>
          <w:p>
            <w:pPr>
              <w:pStyle w:val="Compact"/>
              <w:jc w:val="right"/>
            </w:pPr>
            <w:r>
              <w:t xml:space="preserve">Lift</w:t>
            </w:r>
          </w:p>
        </w:tc>
      </w:tr>
      <w:tr>
        <w:tc>
          <w:tcPr>
            <w:tcW w:type="dxa" w:w="4141"/>
          </w:tcPr>
          <w:p>
            <w:pPr>
              <w:pStyle w:val="Compact"/>
            </w:pPr>
            <w:r>
              <w:t xml:space="preserve">Evia → Manavgat</w:t>
            </w:r>
          </w:p>
        </w:tc>
        <w:tc>
          <w:tcPr>
            <w:tcW w:type="dxa" w:w="1380"/>
          </w:tcPr>
          <w:p>
            <w:pPr>
              <w:pStyle w:val="Compact"/>
              <w:jc w:val="right"/>
            </w:pPr>
            <w:r>
              <w:t xml:space="preserve">0.677</w:t>
            </w:r>
          </w:p>
        </w:tc>
        <w:tc>
          <w:tcPr>
            <w:tcW w:type="dxa" w:w="1183"/>
          </w:tcPr>
          <w:p>
            <w:pPr>
              <w:pStyle w:val="Compact"/>
              <w:jc w:val="right"/>
            </w:pPr>
            <w:r>
              <w:t xml:space="preserve">0.321</w:t>
            </w:r>
          </w:p>
        </w:tc>
        <w:tc>
          <w:tcPr>
            <w:tcW w:type="dxa" w:w="1577"/>
          </w:tcPr>
          <w:p>
            <w:pPr>
              <w:pStyle w:val="Compact"/>
              <w:jc w:val="right"/>
            </w:pPr>
            <w:r>
              <w:t xml:space="preserve">0.143</w:t>
            </w:r>
          </w:p>
        </w:tc>
        <w:tc>
          <w:tcPr>
            <w:tcW w:type="dxa" w:w="789"/>
          </w:tcPr>
          <w:p>
            <w:pPr>
              <w:pStyle w:val="Compact"/>
              <w:jc w:val="right"/>
            </w:pPr>
            <w:r>
              <w:rPr>
                <w:b/>
                <w:bCs/>
              </w:rPr>
              <w:t xml:space="preserve">2.24</w:t>
            </w:r>
          </w:p>
        </w:tc>
      </w:tr>
      <w:tr>
        <w:tc>
          <w:tcPr>
            <w:tcW w:type="dxa" w:w="4141"/>
          </w:tcPr>
          <w:p>
            <w:pPr>
              <w:pStyle w:val="Compact"/>
            </w:pPr>
            <w:r>
              <w:t xml:space="preserve">Manavgat → Evia</w:t>
            </w:r>
          </w:p>
        </w:tc>
        <w:tc>
          <w:tcPr>
            <w:tcW w:type="dxa" w:w="1380"/>
          </w:tcPr>
          <w:p>
            <w:pPr>
              <w:pStyle w:val="Compact"/>
              <w:jc w:val="right"/>
            </w:pPr>
            <w:r>
              <w:t xml:space="preserve">0.654</w:t>
            </w:r>
          </w:p>
        </w:tc>
        <w:tc>
          <w:tcPr>
            <w:tcW w:type="dxa" w:w="1183"/>
          </w:tcPr>
          <w:p>
            <w:pPr>
              <w:pStyle w:val="Compact"/>
              <w:jc w:val="right"/>
            </w:pPr>
            <w:r>
              <w:t xml:space="preserve">0.407</w:t>
            </w:r>
          </w:p>
        </w:tc>
        <w:tc>
          <w:tcPr>
            <w:tcW w:type="dxa" w:w="1577"/>
          </w:tcPr>
          <w:p>
            <w:pPr>
              <w:pStyle w:val="Compact"/>
              <w:jc w:val="right"/>
            </w:pPr>
            <w:r>
              <w:t xml:space="preserve">0.287</w:t>
            </w:r>
          </w:p>
        </w:tc>
        <w:tc>
          <w:tcPr>
            <w:tcW w:type="dxa" w:w="789"/>
          </w:tcPr>
          <w:p>
            <w:pPr>
              <w:pStyle w:val="Compact"/>
              <w:jc w:val="right"/>
            </w:pPr>
            <w:r>
              <w:t xml:space="preserve">1.42</w:t>
            </w:r>
          </w:p>
        </w:tc>
      </w:tr>
      <w:tr>
        <w:tc>
          <w:tcPr>
            <w:tcW w:type="dxa" w:w="4141"/>
          </w:tcPr>
          <w:p>
            <w:pPr>
              <w:pStyle w:val="Compact"/>
            </w:pPr>
            <w:r>
              <w:t xml:space="preserve">Bejís → Montiferru</w:t>
            </w:r>
          </w:p>
        </w:tc>
        <w:tc>
          <w:tcPr>
            <w:tcW w:type="dxa" w:w="1380"/>
          </w:tcPr>
          <w:p>
            <w:pPr>
              <w:pStyle w:val="Compact"/>
              <w:jc w:val="right"/>
            </w:pPr>
            <w:r>
              <w:t xml:space="preserve">0.594</w:t>
            </w:r>
          </w:p>
        </w:tc>
        <w:tc>
          <w:tcPr>
            <w:tcW w:type="dxa" w:w="1183"/>
          </w:tcPr>
          <w:p>
            <w:pPr>
              <w:pStyle w:val="Compact"/>
              <w:jc w:val="right"/>
            </w:pPr>
            <w:r>
              <w:t xml:space="preserve">0.289</w:t>
            </w:r>
          </w:p>
        </w:tc>
        <w:tc>
          <w:tcPr>
            <w:tcW w:type="dxa" w:w="1577"/>
          </w:tcPr>
          <w:p>
            <w:pPr>
              <w:pStyle w:val="Compact"/>
              <w:jc w:val="right"/>
            </w:pPr>
            <w:r>
              <w:t xml:space="preserve">0.212</w:t>
            </w:r>
          </w:p>
        </w:tc>
        <w:tc>
          <w:tcPr>
            <w:tcW w:type="dxa" w:w="789"/>
          </w:tcPr>
          <w:p>
            <w:pPr>
              <w:pStyle w:val="Compact"/>
              <w:jc w:val="right"/>
            </w:pPr>
            <w:r>
              <w:t xml:space="preserve">1.36</w:t>
            </w:r>
          </w:p>
        </w:tc>
      </w:tr>
      <w:tr>
        <w:tc>
          <w:tcPr>
            <w:tcW w:type="dxa" w:w="4141"/>
          </w:tcPr>
          <w:p>
            <w:pPr>
              <w:pStyle w:val="Compact"/>
            </w:pPr>
            <w:r>
              <w:t xml:space="preserve">Evia → Montiferru</w:t>
            </w:r>
          </w:p>
        </w:tc>
        <w:tc>
          <w:tcPr>
            <w:tcW w:type="dxa" w:w="1380"/>
          </w:tcPr>
          <w:p>
            <w:pPr>
              <w:pStyle w:val="Compact"/>
              <w:jc w:val="right"/>
            </w:pPr>
            <w:r>
              <w:t xml:space="preserve">0.647</w:t>
            </w:r>
          </w:p>
        </w:tc>
        <w:tc>
          <w:tcPr>
            <w:tcW w:type="dxa" w:w="1183"/>
          </w:tcPr>
          <w:p>
            <w:pPr>
              <w:pStyle w:val="Compact"/>
              <w:jc w:val="right"/>
            </w:pPr>
            <w:r>
              <w:t xml:space="preserve">0.283</w:t>
            </w:r>
          </w:p>
        </w:tc>
        <w:tc>
          <w:tcPr>
            <w:tcW w:type="dxa" w:w="1577"/>
          </w:tcPr>
          <w:p>
            <w:pPr>
              <w:pStyle w:val="Compact"/>
              <w:jc w:val="right"/>
            </w:pPr>
            <w:r>
              <w:t xml:space="preserve">0.212</w:t>
            </w:r>
          </w:p>
        </w:tc>
        <w:tc>
          <w:tcPr>
            <w:tcW w:type="dxa" w:w="789"/>
          </w:tcPr>
          <w:p>
            <w:pPr>
              <w:pStyle w:val="Compact"/>
              <w:jc w:val="right"/>
            </w:pPr>
            <w:r>
              <w:t xml:space="preserve">1.34</w:t>
            </w:r>
          </w:p>
        </w:tc>
      </w:tr>
      <w:tr>
        <w:tc>
          <w:tcPr>
            <w:tcW w:type="dxa" w:w="4141"/>
          </w:tcPr>
          <w:p>
            <w:pPr>
              <w:pStyle w:val="Compact"/>
            </w:pPr>
            <w:r>
              <w:t xml:space="preserve">Bejís → Muğla</w:t>
            </w:r>
          </w:p>
        </w:tc>
        <w:tc>
          <w:tcPr>
            <w:tcW w:type="dxa" w:w="1380"/>
          </w:tcPr>
          <w:p>
            <w:pPr>
              <w:pStyle w:val="Compact"/>
              <w:jc w:val="right"/>
            </w:pPr>
            <w:r>
              <w:t xml:space="preserve">0.618</w:t>
            </w:r>
          </w:p>
        </w:tc>
        <w:tc>
          <w:tcPr>
            <w:tcW w:type="dxa" w:w="1183"/>
          </w:tcPr>
          <w:p>
            <w:pPr>
              <w:pStyle w:val="Compact"/>
              <w:jc w:val="right"/>
            </w:pPr>
            <w:r>
              <w:t xml:space="preserve">0.093</w:t>
            </w:r>
          </w:p>
        </w:tc>
        <w:tc>
          <w:tcPr>
            <w:tcW w:type="dxa" w:w="1577"/>
          </w:tcPr>
          <w:p>
            <w:pPr>
              <w:pStyle w:val="Compact"/>
              <w:jc w:val="right"/>
            </w:pPr>
            <w:r>
              <w:t xml:space="preserve">0.070</w:t>
            </w:r>
          </w:p>
        </w:tc>
        <w:tc>
          <w:tcPr>
            <w:tcW w:type="dxa" w:w="789"/>
          </w:tcPr>
          <w:p>
            <w:pPr>
              <w:pStyle w:val="Compact"/>
              <w:jc w:val="right"/>
            </w:pPr>
            <w:r>
              <w:t xml:space="preserve">1.33</w:t>
            </w:r>
          </w:p>
        </w:tc>
      </w:tr>
      <w:tr>
        <w:tc>
          <w:tcPr>
            <w:tcW w:type="dxa" w:w="4141"/>
          </w:tcPr>
          <w:p>
            <w:pPr>
              <w:pStyle w:val="Compact"/>
            </w:pPr>
            <w:r>
              <w:t xml:space="preserve">Muğla → Evia</w:t>
            </w:r>
          </w:p>
        </w:tc>
        <w:tc>
          <w:tcPr>
            <w:tcW w:type="dxa" w:w="1380"/>
          </w:tcPr>
          <w:p>
            <w:pPr>
              <w:pStyle w:val="Compact"/>
              <w:jc w:val="right"/>
            </w:pPr>
            <w:r>
              <w:t xml:space="preserve">0.653</w:t>
            </w:r>
          </w:p>
        </w:tc>
        <w:tc>
          <w:tcPr>
            <w:tcW w:type="dxa" w:w="1183"/>
          </w:tcPr>
          <w:p>
            <w:pPr>
              <w:pStyle w:val="Compact"/>
              <w:jc w:val="right"/>
            </w:pPr>
            <w:r>
              <w:t xml:space="preserve">0.379</w:t>
            </w:r>
          </w:p>
        </w:tc>
        <w:tc>
          <w:tcPr>
            <w:tcW w:type="dxa" w:w="1577"/>
          </w:tcPr>
          <w:p>
            <w:pPr>
              <w:pStyle w:val="Compact"/>
              <w:jc w:val="right"/>
            </w:pPr>
            <w:r>
              <w:t xml:space="preserve">0.287</w:t>
            </w:r>
          </w:p>
        </w:tc>
        <w:tc>
          <w:tcPr>
            <w:tcW w:type="dxa" w:w="789"/>
          </w:tcPr>
          <w:p>
            <w:pPr>
              <w:pStyle w:val="Compact"/>
              <w:jc w:val="right"/>
            </w:pPr>
            <w:r>
              <w:t xml:space="preserve">1.32</w:t>
            </w:r>
          </w:p>
        </w:tc>
      </w:tr>
      <w:tr>
        <w:tc>
          <w:tcPr>
            <w:tcW w:type="dxa" w:w="4141"/>
          </w:tcPr>
          <w:p>
            <w:pPr>
              <w:pStyle w:val="Compact"/>
            </w:pPr>
            <w:r>
              <w:t xml:space="preserve">Montiferru → Bejís</w:t>
            </w:r>
          </w:p>
        </w:tc>
        <w:tc>
          <w:tcPr>
            <w:tcW w:type="dxa" w:w="1380"/>
          </w:tcPr>
          <w:p>
            <w:pPr>
              <w:pStyle w:val="Compact"/>
              <w:jc w:val="right"/>
            </w:pPr>
            <w:r>
              <w:t xml:space="preserve">0.548</w:t>
            </w:r>
          </w:p>
        </w:tc>
        <w:tc>
          <w:tcPr>
            <w:tcW w:type="dxa" w:w="1183"/>
          </w:tcPr>
          <w:p>
            <w:pPr>
              <w:pStyle w:val="Compact"/>
              <w:jc w:val="right"/>
            </w:pPr>
            <w:r>
              <w:t xml:space="preserve">0.093</w:t>
            </w:r>
          </w:p>
        </w:tc>
        <w:tc>
          <w:tcPr>
            <w:tcW w:type="dxa" w:w="1577"/>
          </w:tcPr>
          <w:p>
            <w:pPr>
              <w:pStyle w:val="Compact"/>
              <w:jc w:val="right"/>
            </w:pPr>
            <w:r>
              <w:t xml:space="preserve">0.072</w:t>
            </w:r>
          </w:p>
        </w:tc>
        <w:tc>
          <w:tcPr>
            <w:tcW w:type="dxa" w:w="789"/>
          </w:tcPr>
          <w:p>
            <w:pPr>
              <w:pStyle w:val="Compact"/>
              <w:jc w:val="right"/>
            </w:pPr>
            <w:r>
              <w:t xml:space="preserve">1.28</w:t>
            </w:r>
          </w:p>
        </w:tc>
      </w:tr>
      <w:tr>
        <w:tc>
          <w:tcPr>
            <w:tcW w:type="dxa" w:w="4141"/>
          </w:tcPr>
          <w:p>
            <w:pPr>
              <w:pStyle w:val="Compact"/>
            </w:pPr>
            <w:r>
              <w:t xml:space="preserve">Montiferru → Muğla</w:t>
            </w:r>
          </w:p>
        </w:tc>
        <w:tc>
          <w:tcPr>
            <w:tcW w:type="dxa" w:w="1380"/>
          </w:tcPr>
          <w:p>
            <w:pPr>
              <w:pStyle w:val="Compact"/>
              <w:jc w:val="right"/>
            </w:pPr>
            <w:r>
              <w:t xml:space="preserve">0.619</w:t>
            </w:r>
          </w:p>
        </w:tc>
        <w:tc>
          <w:tcPr>
            <w:tcW w:type="dxa" w:w="1183"/>
          </w:tcPr>
          <w:p>
            <w:pPr>
              <w:pStyle w:val="Compact"/>
              <w:jc w:val="right"/>
            </w:pPr>
            <w:r>
              <w:t xml:space="preserve">0.089</w:t>
            </w:r>
          </w:p>
        </w:tc>
        <w:tc>
          <w:tcPr>
            <w:tcW w:type="dxa" w:w="1577"/>
          </w:tcPr>
          <w:p>
            <w:pPr>
              <w:pStyle w:val="Compact"/>
              <w:jc w:val="right"/>
            </w:pPr>
            <w:r>
              <w:t xml:space="preserve">0.070</w:t>
            </w:r>
          </w:p>
        </w:tc>
        <w:tc>
          <w:tcPr>
            <w:tcW w:type="dxa" w:w="789"/>
          </w:tcPr>
          <w:p>
            <w:pPr>
              <w:pStyle w:val="Compact"/>
              <w:jc w:val="right"/>
            </w:pPr>
            <w:r>
              <w:t xml:space="preserve">1.27</w:t>
            </w:r>
          </w:p>
        </w:tc>
      </w:tr>
      <w:tr>
        <w:tc>
          <w:tcPr>
            <w:tcW w:type="dxa" w:w="4141"/>
          </w:tcPr>
          <w:p>
            <w:pPr>
              <w:pStyle w:val="Compact"/>
            </w:pPr>
            <w:r>
              <w:t xml:space="preserve">Evia → Muğla</w:t>
            </w:r>
          </w:p>
        </w:tc>
        <w:tc>
          <w:tcPr>
            <w:tcW w:type="dxa" w:w="1380"/>
          </w:tcPr>
          <w:p>
            <w:pPr>
              <w:pStyle w:val="Compact"/>
              <w:jc w:val="right"/>
            </w:pPr>
            <w:r>
              <w:t xml:space="preserve">0.577</w:t>
            </w:r>
          </w:p>
        </w:tc>
        <w:tc>
          <w:tcPr>
            <w:tcW w:type="dxa" w:w="1183"/>
          </w:tcPr>
          <w:p>
            <w:pPr>
              <w:pStyle w:val="Compact"/>
              <w:jc w:val="right"/>
            </w:pPr>
            <w:r>
              <w:t xml:space="preserve">0.086</w:t>
            </w:r>
          </w:p>
        </w:tc>
        <w:tc>
          <w:tcPr>
            <w:tcW w:type="dxa" w:w="1577"/>
          </w:tcPr>
          <w:p>
            <w:pPr>
              <w:pStyle w:val="Compact"/>
              <w:jc w:val="right"/>
            </w:pPr>
            <w:r>
              <w:t xml:space="preserve">0.070</w:t>
            </w:r>
          </w:p>
        </w:tc>
        <w:tc>
          <w:tcPr>
            <w:tcW w:type="dxa" w:w="789"/>
          </w:tcPr>
          <w:p>
            <w:pPr>
              <w:pStyle w:val="Compact"/>
              <w:jc w:val="right"/>
            </w:pPr>
            <w:r>
              <w:t xml:space="preserve">1.23</w:t>
            </w:r>
          </w:p>
        </w:tc>
      </w:tr>
      <w:tr>
        <w:tc>
          <w:tcPr>
            <w:tcW w:type="dxa" w:w="4141"/>
          </w:tcPr>
          <w:p>
            <w:pPr>
              <w:pStyle w:val="Compact"/>
            </w:pPr>
            <w:r>
              <w:t xml:space="preserve">Muğla → Bejís</w:t>
            </w:r>
          </w:p>
        </w:tc>
        <w:tc>
          <w:tcPr>
            <w:tcW w:type="dxa" w:w="1380"/>
          </w:tcPr>
          <w:p>
            <w:pPr>
              <w:pStyle w:val="Compact"/>
              <w:jc w:val="right"/>
            </w:pPr>
            <w:r>
              <w:t xml:space="preserve">0.583</w:t>
            </w:r>
          </w:p>
        </w:tc>
        <w:tc>
          <w:tcPr>
            <w:tcW w:type="dxa" w:w="1183"/>
          </w:tcPr>
          <w:p>
            <w:pPr>
              <w:pStyle w:val="Compact"/>
              <w:jc w:val="right"/>
            </w:pPr>
            <w:r>
              <w:t xml:space="preserve">0.088</w:t>
            </w:r>
          </w:p>
        </w:tc>
        <w:tc>
          <w:tcPr>
            <w:tcW w:type="dxa" w:w="1577"/>
          </w:tcPr>
          <w:p>
            <w:pPr>
              <w:pStyle w:val="Compact"/>
              <w:jc w:val="right"/>
            </w:pPr>
            <w:r>
              <w:t xml:space="preserve">0.072</w:t>
            </w:r>
          </w:p>
        </w:tc>
        <w:tc>
          <w:tcPr>
            <w:tcW w:type="dxa" w:w="789"/>
          </w:tcPr>
          <w:p>
            <w:pPr>
              <w:pStyle w:val="Compact"/>
              <w:jc w:val="right"/>
            </w:pPr>
            <w:r>
              <w:t xml:space="preserve">1.22</w:t>
            </w:r>
          </w:p>
        </w:tc>
      </w:tr>
      <w:tr>
        <w:tc>
          <w:tcPr>
            <w:tcW w:type="dxa" w:w="4141"/>
          </w:tcPr>
          <w:p>
            <w:pPr>
              <w:pStyle w:val="Compact"/>
            </w:pPr>
            <w:r>
              <w:t xml:space="preserve">Manavgat → Montiferru</w:t>
            </w:r>
          </w:p>
        </w:tc>
        <w:tc>
          <w:tcPr>
            <w:tcW w:type="dxa" w:w="1380"/>
          </w:tcPr>
          <w:p>
            <w:pPr>
              <w:pStyle w:val="Compact"/>
              <w:jc w:val="right"/>
            </w:pPr>
            <w:r>
              <w:t xml:space="preserve">0.518</w:t>
            </w:r>
          </w:p>
        </w:tc>
        <w:tc>
          <w:tcPr>
            <w:tcW w:type="dxa" w:w="1183"/>
          </w:tcPr>
          <w:p>
            <w:pPr>
              <w:pStyle w:val="Compact"/>
              <w:jc w:val="right"/>
            </w:pPr>
            <w:r>
              <w:t xml:space="preserve">0.243</w:t>
            </w:r>
          </w:p>
        </w:tc>
        <w:tc>
          <w:tcPr>
            <w:tcW w:type="dxa" w:w="1577"/>
          </w:tcPr>
          <w:p>
            <w:pPr>
              <w:pStyle w:val="Compact"/>
              <w:jc w:val="right"/>
            </w:pPr>
            <w:r>
              <w:t xml:space="preserve">0.212</w:t>
            </w:r>
          </w:p>
        </w:tc>
        <w:tc>
          <w:tcPr>
            <w:tcW w:type="dxa" w:w="789"/>
          </w:tcPr>
          <w:p>
            <w:pPr>
              <w:pStyle w:val="Compact"/>
              <w:jc w:val="right"/>
            </w:pPr>
            <w:r>
              <w:t xml:space="preserve">1.15</w:t>
            </w:r>
          </w:p>
        </w:tc>
      </w:tr>
      <w:tr>
        <w:tc>
          <w:tcPr>
            <w:tcW w:type="dxa" w:w="4141"/>
          </w:tcPr>
          <w:p>
            <w:pPr>
              <w:pStyle w:val="Compact"/>
            </w:pPr>
            <w:r>
              <w:t xml:space="preserve">Montiferru → Evia</w:t>
            </w:r>
          </w:p>
        </w:tc>
        <w:tc>
          <w:tcPr>
            <w:tcW w:type="dxa" w:w="1380"/>
          </w:tcPr>
          <w:p>
            <w:pPr>
              <w:pStyle w:val="Compact"/>
              <w:jc w:val="right"/>
            </w:pPr>
            <w:r>
              <w:t xml:space="preserve">0.586</w:t>
            </w:r>
          </w:p>
        </w:tc>
        <w:tc>
          <w:tcPr>
            <w:tcW w:type="dxa" w:w="1183"/>
          </w:tcPr>
          <w:p>
            <w:pPr>
              <w:pStyle w:val="Compact"/>
              <w:jc w:val="right"/>
            </w:pPr>
            <w:r>
              <w:t xml:space="preserve">0.317</w:t>
            </w:r>
          </w:p>
        </w:tc>
        <w:tc>
          <w:tcPr>
            <w:tcW w:type="dxa" w:w="1577"/>
          </w:tcPr>
          <w:p>
            <w:pPr>
              <w:pStyle w:val="Compact"/>
              <w:jc w:val="right"/>
            </w:pPr>
            <w:r>
              <w:t xml:space="preserve">0.287</w:t>
            </w:r>
          </w:p>
        </w:tc>
        <w:tc>
          <w:tcPr>
            <w:tcW w:type="dxa" w:w="789"/>
          </w:tcPr>
          <w:p>
            <w:pPr>
              <w:pStyle w:val="Compact"/>
              <w:jc w:val="right"/>
            </w:pPr>
            <w:r>
              <w:t xml:space="preserve">1.11</w:t>
            </w:r>
          </w:p>
        </w:tc>
      </w:tr>
      <w:tr>
        <w:tc>
          <w:tcPr>
            <w:tcW w:type="dxa" w:w="4141"/>
          </w:tcPr>
          <w:p>
            <w:pPr>
              <w:pStyle w:val="Compact"/>
            </w:pPr>
            <w:r>
              <w:t xml:space="preserve">Muğla → Montiferru</w:t>
            </w:r>
          </w:p>
        </w:tc>
        <w:tc>
          <w:tcPr>
            <w:tcW w:type="dxa" w:w="1380"/>
          </w:tcPr>
          <w:p>
            <w:pPr>
              <w:pStyle w:val="Compact"/>
              <w:jc w:val="right"/>
            </w:pPr>
            <w:r>
              <w:t xml:space="preserve">0.531</w:t>
            </w:r>
          </w:p>
        </w:tc>
        <w:tc>
          <w:tcPr>
            <w:tcW w:type="dxa" w:w="1183"/>
          </w:tcPr>
          <w:p>
            <w:pPr>
              <w:pStyle w:val="Compact"/>
              <w:jc w:val="right"/>
            </w:pPr>
            <w:r>
              <w:t xml:space="preserve">0.214</w:t>
            </w:r>
          </w:p>
        </w:tc>
        <w:tc>
          <w:tcPr>
            <w:tcW w:type="dxa" w:w="1577"/>
          </w:tcPr>
          <w:p>
            <w:pPr>
              <w:pStyle w:val="Compact"/>
              <w:jc w:val="right"/>
            </w:pPr>
            <w:r>
              <w:t xml:space="preserve">0.212</w:t>
            </w:r>
          </w:p>
        </w:tc>
        <w:tc>
          <w:tcPr>
            <w:tcW w:type="dxa" w:w="789"/>
          </w:tcPr>
          <w:p>
            <w:pPr>
              <w:pStyle w:val="Compact"/>
              <w:jc w:val="right"/>
            </w:pPr>
            <w:r>
              <w:t xml:space="preserve">1.01</w:t>
            </w:r>
          </w:p>
        </w:tc>
      </w:tr>
      <w:tr>
        <w:tc>
          <w:tcPr>
            <w:tcW w:type="dxa" w:w="4141"/>
          </w:tcPr>
          <w:p>
            <w:pPr>
              <w:pStyle w:val="Compact"/>
            </w:pPr>
            <w:r>
              <w:t xml:space="preserve">Manavgat → Muğla</w:t>
            </w:r>
          </w:p>
        </w:tc>
        <w:tc>
          <w:tcPr>
            <w:tcW w:type="dxa" w:w="1380"/>
          </w:tcPr>
          <w:p>
            <w:pPr>
              <w:pStyle w:val="Compact"/>
              <w:jc w:val="right"/>
            </w:pPr>
            <w:r>
              <w:t xml:space="preserve">0.438</w:t>
            </w:r>
          </w:p>
        </w:tc>
        <w:tc>
          <w:tcPr>
            <w:tcW w:type="dxa" w:w="1183"/>
          </w:tcPr>
          <w:p>
            <w:pPr>
              <w:pStyle w:val="Compact"/>
              <w:jc w:val="right"/>
            </w:pPr>
            <w:r>
              <w:t xml:space="preserve">0.060</w:t>
            </w:r>
          </w:p>
        </w:tc>
        <w:tc>
          <w:tcPr>
            <w:tcW w:type="dxa" w:w="1577"/>
          </w:tcPr>
          <w:p>
            <w:pPr>
              <w:pStyle w:val="Compact"/>
              <w:jc w:val="right"/>
            </w:pPr>
            <w:r>
              <w:t xml:space="preserve">0.070</w:t>
            </w:r>
          </w:p>
        </w:tc>
        <w:tc>
          <w:tcPr>
            <w:tcW w:type="dxa" w:w="789"/>
          </w:tcPr>
          <w:p>
            <w:pPr>
              <w:pStyle w:val="Compact"/>
              <w:jc w:val="right"/>
            </w:pPr>
            <w:r>
              <w:rPr>
                <w:b/>
                <w:bCs/>
              </w:rPr>
              <w:t xml:space="preserve">0.85</w:t>
            </w:r>
          </w:p>
        </w:tc>
      </w:tr>
      <w:tr>
        <w:tc>
          <w:tcPr>
            <w:tcW w:type="dxa" w:w="4141"/>
          </w:tcPr>
          <w:p>
            <w:pPr>
              <w:pStyle w:val="Compact"/>
            </w:pPr>
            <w:r>
              <w:t xml:space="preserve">Evia → Bejís</w:t>
            </w:r>
          </w:p>
        </w:tc>
        <w:tc>
          <w:tcPr>
            <w:tcW w:type="dxa" w:w="1380"/>
          </w:tcPr>
          <w:p>
            <w:pPr>
              <w:pStyle w:val="Compact"/>
              <w:jc w:val="right"/>
            </w:pPr>
            <w:r>
              <w:t xml:space="preserve">0.448</w:t>
            </w:r>
          </w:p>
        </w:tc>
        <w:tc>
          <w:tcPr>
            <w:tcW w:type="dxa" w:w="1183"/>
          </w:tcPr>
          <w:p>
            <w:pPr>
              <w:pStyle w:val="Compact"/>
              <w:jc w:val="right"/>
            </w:pPr>
            <w:r>
              <w:t xml:space="preserve">0.059</w:t>
            </w:r>
          </w:p>
        </w:tc>
        <w:tc>
          <w:tcPr>
            <w:tcW w:type="dxa" w:w="1577"/>
          </w:tcPr>
          <w:p>
            <w:pPr>
              <w:pStyle w:val="Compact"/>
              <w:jc w:val="right"/>
            </w:pPr>
            <w:r>
              <w:t xml:space="preserve">0.072</w:t>
            </w:r>
          </w:p>
        </w:tc>
        <w:tc>
          <w:tcPr>
            <w:tcW w:type="dxa" w:w="789"/>
          </w:tcPr>
          <w:p>
            <w:pPr>
              <w:pStyle w:val="Compact"/>
              <w:jc w:val="right"/>
            </w:pPr>
            <w:r>
              <w:rPr>
                <w:b/>
                <w:bCs/>
              </w:rPr>
              <w:t xml:space="preserve">0.82</w:t>
            </w:r>
          </w:p>
        </w:tc>
      </w:tr>
      <w:tr>
        <w:tc>
          <w:tcPr>
            <w:tcW w:type="dxa" w:w="4141"/>
          </w:tcPr>
          <w:p>
            <w:pPr>
              <w:pStyle w:val="Compact"/>
            </w:pPr>
            <w:r>
              <w:t xml:space="preserve">Montiferru → Manavgat</w:t>
            </w:r>
          </w:p>
        </w:tc>
        <w:tc>
          <w:tcPr>
            <w:tcW w:type="dxa" w:w="1380"/>
          </w:tcPr>
          <w:p>
            <w:pPr>
              <w:pStyle w:val="Compact"/>
              <w:jc w:val="right"/>
            </w:pPr>
            <w:r>
              <w:t xml:space="preserve">0.404</w:t>
            </w:r>
          </w:p>
        </w:tc>
        <w:tc>
          <w:tcPr>
            <w:tcW w:type="dxa" w:w="1183"/>
          </w:tcPr>
          <w:p>
            <w:pPr>
              <w:pStyle w:val="Compact"/>
              <w:jc w:val="right"/>
            </w:pPr>
            <w:r>
              <w:t xml:space="preserve">0.113</w:t>
            </w:r>
          </w:p>
        </w:tc>
        <w:tc>
          <w:tcPr>
            <w:tcW w:type="dxa" w:w="1577"/>
          </w:tcPr>
          <w:p>
            <w:pPr>
              <w:pStyle w:val="Compact"/>
              <w:jc w:val="right"/>
            </w:pPr>
            <w:r>
              <w:t xml:space="preserve">0.143</w:t>
            </w:r>
          </w:p>
        </w:tc>
        <w:tc>
          <w:tcPr>
            <w:tcW w:type="dxa" w:w="789"/>
          </w:tcPr>
          <w:p>
            <w:pPr>
              <w:pStyle w:val="Compact"/>
              <w:jc w:val="right"/>
            </w:pPr>
            <w:r>
              <w:rPr>
                <w:b/>
                <w:bCs/>
              </w:rPr>
              <w:t xml:space="preserve">0.79</w:t>
            </w:r>
          </w:p>
        </w:tc>
      </w:tr>
      <w:tr>
        <w:tc>
          <w:tcPr>
            <w:tcW w:type="dxa" w:w="4141"/>
          </w:tcPr>
          <w:p>
            <w:pPr>
              <w:pStyle w:val="Compact"/>
            </w:pPr>
            <w:r>
              <w:t xml:space="preserve">Bejís → Evia</w:t>
            </w:r>
          </w:p>
        </w:tc>
        <w:tc>
          <w:tcPr>
            <w:tcW w:type="dxa" w:w="1380"/>
          </w:tcPr>
          <w:p>
            <w:pPr>
              <w:pStyle w:val="Compact"/>
              <w:jc w:val="right"/>
            </w:pPr>
            <w:r>
              <w:t xml:space="preserve">0.383</w:t>
            </w:r>
          </w:p>
        </w:tc>
        <w:tc>
          <w:tcPr>
            <w:tcW w:type="dxa" w:w="1183"/>
          </w:tcPr>
          <w:p>
            <w:pPr>
              <w:pStyle w:val="Compact"/>
              <w:jc w:val="right"/>
            </w:pPr>
            <w:r>
              <w:t xml:space="preserve">0.226</w:t>
            </w:r>
          </w:p>
        </w:tc>
        <w:tc>
          <w:tcPr>
            <w:tcW w:type="dxa" w:w="1577"/>
          </w:tcPr>
          <w:p>
            <w:pPr>
              <w:pStyle w:val="Compact"/>
              <w:jc w:val="right"/>
            </w:pPr>
            <w:r>
              <w:t xml:space="preserve">0.287</w:t>
            </w:r>
          </w:p>
        </w:tc>
        <w:tc>
          <w:tcPr>
            <w:tcW w:type="dxa" w:w="789"/>
          </w:tcPr>
          <w:p>
            <w:pPr>
              <w:pStyle w:val="Compact"/>
              <w:jc w:val="right"/>
            </w:pPr>
            <w:r>
              <w:rPr>
                <w:b/>
                <w:bCs/>
              </w:rPr>
              <w:t xml:space="preserve">0.79</w:t>
            </w:r>
          </w:p>
        </w:tc>
      </w:tr>
      <w:tr>
        <w:tc>
          <w:tcPr>
            <w:tcW w:type="dxa" w:w="4141"/>
          </w:tcPr>
          <w:p>
            <w:pPr>
              <w:pStyle w:val="Compact"/>
            </w:pPr>
            <w:r>
              <w:t xml:space="preserve">Manavgat → Bejís</w:t>
            </w:r>
          </w:p>
        </w:tc>
        <w:tc>
          <w:tcPr>
            <w:tcW w:type="dxa" w:w="1380"/>
          </w:tcPr>
          <w:p>
            <w:pPr>
              <w:pStyle w:val="Compact"/>
              <w:jc w:val="right"/>
            </w:pPr>
            <w:r>
              <w:t xml:space="preserve">0.396</w:t>
            </w:r>
          </w:p>
        </w:tc>
        <w:tc>
          <w:tcPr>
            <w:tcW w:type="dxa" w:w="1183"/>
          </w:tcPr>
          <w:p>
            <w:pPr>
              <w:pStyle w:val="Compact"/>
              <w:jc w:val="right"/>
            </w:pPr>
            <w:r>
              <w:t xml:space="preserve">0.054</w:t>
            </w:r>
          </w:p>
        </w:tc>
        <w:tc>
          <w:tcPr>
            <w:tcW w:type="dxa" w:w="1577"/>
          </w:tcPr>
          <w:p>
            <w:pPr>
              <w:pStyle w:val="Compact"/>
              <w:jc w:val="right"/>
            </w:pPr>
            <w:r>
              <w:t xml:space="preserve">0.072</w:t>
            </w:r>
          </w:p>
        </w:tc>
        <w:tc>
          <w:tcPr>
            <w:tcW w:type="dxa" w:w="789"/>
          </w:tcPr>
          <w:p>
            <w:pPr>
              <w:pStyle w:val="Compact"/>
              <w:jc w:val="right"/>
            </w:pPr>
            <w:r>
              <w:rPr>
                <w:b/>
                <w:bCs/>
              </w:rPr>
              <w:t xml:space="preserve">0.75</w:t>
            </w:r>
          </w:p>
        </w:tc>
      </w:tr>
      <w:tr>
        <w:tc>
          <w:tcPr>
            <w:tcW w:type="dxa" w:w="4141"/>
          </w:tcPr>
          <w:p>
            <w:pPr>
              <w:pStyle w:val="Compact"/>
            </w:pPr>
            <w:r>
              <w:t xml:space="preserve">Muğla → Manavgat</w:t>
            </w:r>
          </w:p>
        </w:tc>
        <w:tc>
          <w:tcPr>
            <w:tcW w:type="dxa" w:w="1380"/>
          </w:tcPr>
          <w:p>
            <w:pPr>
              <w:pStyle w:val="Compact"/>
              <w:jc w:val="right"/>
            </w:pPr>
            <w:r>
              <w:t xml:space="preserve">0.345</w:t>
            </w:r>
          </w:p>
        </w:tc>
        <w:tc>
          <w:tcPr>
            <w:tcW w:type="dxa" w:w="1183"/>
          </w:tcPr>
          <w:p>
            <w:pPr>
              <w:pStyle w:val="Compact"/>
              <w:jc w:val="right"/>
            </w:pPr>
            <w:r>
              <w:t xml:space="preserve">0.101</w:t>
            </w:r>
          </w:p>
        </w:tc>
        <w:tc>
          <w:tcPr>
            <w:tcW w:type="dxa" w:w="1577"/>
          </w:tcPr>
          <w:p>
            <w:pPr>
              <w:pStyle w:val="Compact"/>
              <w:jc w:val="right"/>
            </w:pPr>
            <w:r>
              <w:t xml:space="preserve">0.143</w:t>
            </w:r>
          </w:p>
        </w:tc>
        <w:tc>
          <w:tcPr>
            <w:tcW w:type="dxa" w:w="789"/>
          </w:tcPr>
          <w:p>
            <w:pPr>
              <w:pStyle w:val="Compact"/>
              <w:jc w:val="right"/>
            </w:pPr>
            <w:r>
              <w:rPr>
                <w:b/>
                <w:bCs/>
              </w:rPr>
              <w:t xml:space="preserve">0.70</w:t>
            </w:r>
          </w:p>
        </w:tc>
      </w:tr>
      <w:tr>
        <w:tc>
          <w:tcPr>
            <w:tcW w:type="dxa" w:w="4141"/>
          </w:tcPr>
          <w:p>
            <w:pPr>
              <w:pStyle w:val="Compact"/>
            </w:pPr>
            <w:r>
              <w:t xml:space="preserve">Bejís → Manavgat</w:t>
            </w:r>
          </w:p>
        </w:tc>
        <w:tc>
          <w:tcPr>
            <w:tcW w:type="dxa" w:w="1380"/>
          </w:tcPr>
          <w:p>
            <w:pPr>
              <w:pStyle w:val="Compact"/>
              <w:jc w:val="right"/>
            </w:pPr>
            <w:r>
              <w:t xml:space="preserve">0.314</w:t>
            </w:r>
          </w:p>
        </w:tc>
        <w:tc>
          <w:tcPr>
            <w:tcW w:type="dxa" w:w="1183"/>
          </w:tcPr>
          <w:p>
            <w:pPr>
              <w:pStyle w:val="Compact"/>
              <w:jc w:val="right"/>
            </w:pPr>
            <w:r>
              <w:t xml:space="preserve">0.098</w:t>
            </w:r>
          </w:p>
        </w:tc>
        <w:tc>
          <w:tcPr>
            <w:tcW w:type="dxa" w:w="1577"/>
          </w:tcPr>
          <w:p>
            <w:pPr>
              <w:pStyle w:val="Compact"/>
              <w:jc w:val="right"/>
            </w:pPr>
            <w:r>
              <w:t xml:space="preserve">0.143</w:t>
            </w:r>
          </w:p>
        </w:tc>
        <w:tc>
          <w:tcPr>
            <w:tcW w:type="dxa" w:w="789"/>
          </w:tcPr>
          <w:p>
            <w:pPr>
              <w:pStyle w:val="Compact"/>
              <w:jc w:val="right"/>
            </w:pPr>
            <w:r>
              <w:rPr>
                <w:b/>
                <w:bCs/>
              </w:rPr>
              <w:t xml:space="preserve">0.68</w:t>
            </w:r>
          </w:p>
        </w:tc>
      </w:tr>
      <w:tr>
        <w:tc>
          <w:tcPr>
            <w:tcW w:type="dxa" w:w="4141"/>
          </w:tcPr>
          <w:p>
            <w:pPr>
              <w:pStyle w:val="Compact"/>
            </w:pPr>
            <w:r>
              <w:rPr>
                <w:b/>
                <w:bCs/>
              </w:rPr>
              <w:t xml:space="preserve">Mean</w:t>
            </w:r>
          </w:p>
        </w:tc>
        <w:tc>
          <w:tcPr>
            <w:tcW w:type="dxa" w:w="1380"/>
          </w:tcPr>
          <w:p>
            <w:pPr>
              <w:pStyle w:val="Compact"/>
              <w:jc w:val="right"/>
            </w:pPr>
            <w:r>
              <w:rPr>
                <w:b/>
                <w:bCs/>
              </w:rPr>
              <w:t xml:space="preserve">0.527</w:t>
            </w:r>
          </w:p>
        </w:tc>
        <w:tc>
          <w:tcPr>
            <w:tcW w:type="dxa" w:w="1183"/>
          </w:tcPr>
          <w:p>
            <w:pPr>
              <w:pStyle w:val="Compact"/>
              <w:jc w:val="right"/>
            </w:pPr>
            <w:r>
              <w:rPr>
                <w:b/>
                <w:bCs/>
              </w:rPr>
              <w:t xml:space="preserve">0.181</w:t>
            </w:r>
          </w:p>
        </w:tc>
        <w:tc>
          <w:tcPr>
            <w:tcW w:type="dxa" w:w="1577"/>
          </w:tcPr>
          <w:p>
            <w:pPr>
              <w:pStyle w:val="Compact"/>
              <w:jc w:val="right"/>
            </w:pPr>
            <w:r>
              <w:rPr>
                <w:b/>
                <w:bCs/>
              </w:rPr>
              <w:t xml:space="preserve">0.157</w:t>
            </w:r>
          </w:p>
        </w:tc>
        <w:tc>
          <w:tcPr>
            <w:tcW w:type="dxa" w:w="789"/>
          </w:tcPr>
          <w:p>
            <w:pPr>
              <w:pStyle w:val="Compact"/>
              <w:jc w:val="right"/>
            </w:pPr>
            <w:r>
              <w:rPr>
                <w:b/>
                <w:bCs/>
              </w:rPr>
              <w:t xml:space="preserve">1.13</w:t>
            </w:r>
          </w:p>
        </w:tc>
      </w:tr>
    </w:tbl>
    <w:p>
      <w:pPr>
        <w:pStyle w:val="BodyText"/>
      </w:pPr>
      <w:r>
        <w:t xml:space="preserve">Seven directions fall below their own no-skill baseline, and only one exceeds twice it. The seven are</w:t>
      </w:r>
      <w:r>
        <w:t xml:space="preserve"> </w:t>
      </w:r>
      <w:r>
        <w:t xml:space="preserve">the same seven that are below chance on ROC-AUC, which is what a reversed ranking predicts in either</w:t>
      </w:r>
      <w:r>
        <w:t xml:space="preserve"> </w:t>
      </w:r>
      <w:r>
        <w:t xml:space="preserve">metric. Section 4.4 shows that this count is largely a property of the evaluation frames rather than</w:t>
      </w:r>
      <w:r>
        <w:t xml:space="preserve"> </w:t>
      </w:r>
      <w:r>
        <w:t xml:space="preserve">of a reversed predictor-burning relationship.</w:t>
      </w:r>
    </w:p>
    <w:bookmarkEnd w:id="51"/>
    <w:bookmarkStart w:id="52" w:name="Xa82a7106f004e36a9dc3d52b0e8d308ca3cd787"/>
    <w:p>
      <w:pPr>
        <w:pStyle w:val="Heading2"/>
      </w:pPr>
      <w:r>
        <w:t xml:space="preserve">S2.2 The same-geography event pair, in full</w:t>
      </w:r>
    </w:p>
    <w:p>
      <w:pPr>
        <w:pStyle w:val="FirstParagraph"/>
      </w:pPr>
      <w:r>
        <w:t xml:space="preserve">Section S1.13 reports this arm and Section 4.4 withdraws its</w:t>
      </w:r>
      <w:r>
        <w:t xml:space="preserve"> </w:t>
      </w:r>
      <w:r>
        <w:rPr>
          <w:b/>
          <w:bCs/>
        </w:rPr>
        <w:t xml:space="preserve">elevation</w:t>
      </w:r>
      <w:r>
        <w:t xml:space="preserve"> </w:t>
      </w:r>
      <w:r>
        <w:t xml:space="preserve">reversal as a frame</w:t>
      </w:r>
      <w:r>
        <w:t xml:space="preserve"> </w:t>
      </w:r>
      <w:r>
        <w:t xml:space="preserve">artefact; Section S1.15 explains why the thermal channels of this arm carry no verdict either way. The</w:t>
      </w:r>
      <w:r>
        <w:t xml:space="preserve"> </w:t>
      </w:r>
      <w:r>
        <w:t xml:space="preserve">per-feature values are kept here because the arm is what motivated the frame test, and because</w:t>
      </w:r>
      <w:r>
        <w:t xml:space="preserve"> </w:t>
      </w:r>
      <w:r>
        <w:t xml:space="preserve">its structural asymmetries have no analogue in the twenty-direction matrix.</w:t>
      </w:r>
    </w:p>
    <w:p>
      <w:pPr>
        <w:pStyle w:val="BodyText"/>
      </w:pPr>
      <w:r>
        <w:rPr>
          <w:b/>
          <w:bCs/>
        </w:rPr>
        <w:t xml:space="preserve">Table S12. Signed univariate feature-burned AUC, Muğla 2021 versus 2022.</w:t>
      </w:r>
      <w:r>
        <w:t xml:space="preserve"> </w:t>
      </w:r>
      <w:r>
        <w:t xml:space="preserve">Raw AUC against</w:t>
      </w:r>
      <w:r>
        <w:t xml:space="preserve"> </w:t>
      </w:r>
      <w:r>
        <w:rPr>
          <w:rStyle w:val="VerbatimChar"/>
        </w:rPr>
        <w:t xml:space="preserve">burned</w:t>
      </w:r>
      <w:r>
        <w:t xml:space="preserve">, never folded to max(AUC, 1 − AUC); 10-cell (≈ 5 km) spatial-block bootstrap, 1,000</w:t>
      </w:r>
      <w:r>
        <w:t xml:space="preserve"> </w:t>
      </w:r>
      <w:r>
        <w:t xml:space="preserve">replicates, seed 42 (Section 3.14). Analysis population 41,730 rows / 2,911 burned (2021) and</w:t>
      </w:r>
      <w:r>
        <w:t xml:space="preserve"> </w:t>
      </w:r>
      <w:r>
        <w:t xml:space="preserve">38,790 rows / 331 burned (2022).</w:t>
      </w:r>
      <w:r>
        <w:t xml:space="preserve"> </w:t>
      </w:r>
      <w:r>
        <w:rPr>
          <w:b/>
          <w:bCs/>
        </w:rPr>
        <w:t xml:space="preserve">Positive-carrying 5 km blocks: 70 for the 2021 arm and 11 for the</w:t>
      </w:r>
      <w:r>
        <w:rPr>
          <w:b/>
          <w:bCs/>
        </w:rPr>
        <w:t xml:space="preserve"> </w:t>
      </w:r>
      <w:r>
        <w:rPr>
          <w:b/>
          <w:bCs/>
        </w:rPr>
        <w:t xml:space="preserve">2022 arm.</w:t>
      </w:r>
      <w:r>
        <w:t xml:space="preserve"> </w:t>
      </w:r>
      <w:r>
        <w:t xml:space="preserve">Table 1’s note sets sixteen as the floor this design supports at that blocking, so the</w:t>
      </w:r>
      <w:r>
        <w:t xml:space="preserve"> </w:t>
      </w:r>
      <w:r>
        <w:t xml:space="preserve">2022 intervals here fall below the paper’s own standard and are read as indicative, exactly as the</w:t>
      </w:r>
      <w:r>
        <w:t xml:space="preserve"> </w:t>
      </w:r>
      <w:r>
        <w:t xml:space="preserve">20-cell row of Table 1 is. The 2022 arm is additionally a single compact scar, so its eleven blocks</w:t>
      </w:r>
      <w:r>
        <w:t xml:space="preserve"> </w:t>
      </w:r>
      <w:r>
        <w:t xml:space="preserve">are contiguous. Read from</w:t>
      </w:r>
      <w:r>
        <w:t xml:space="preserve"> </w:t>
      </w:r>
      <w:r>
        <w:rPr>
          <w:rStyle w:val="VerbatimChar"/>
        </w:rPr>
        <w:t xml:space="preserve">paper/step9g_raw/.../mugla_2021__mugla_2022_event_relative/step9g_direction_reversal_table.csv</w:t>
      </w:r>
      <w:r>
        <w:t xml:space="preserve">.</w:t>
      </w:r>
    </w:p>
    <w:tbl>
      <w:tblPr>
        <w:tblStyle w:val="Table"/>
        <w:tblW w:type="auto" w:w="0"/>
        <w:tblLook w:firstRow="1" w:lastRow="0" w:firstColumn="0" w:lastColumn="0" w:noHBand="0" w:noVBand="0" w:val="0020"/>
      </w:tblPr>
      <w:tblGrid>
        <w:gridCol w:w="2296"/>
        <w:gridCol w:w="2296"/>
        <w:gridCol w:w="2296"/>
        <w:gridCol w:w="2181"/>
      </w:tblGrid>
      <w:tr>
        <w:trPr>
          <w:tblHeader w:val="on"/>
        </w:trPr>
        <w:tc>
          <w:tcPr>
            <w:tcW w:type="dxa" w:w="2296"/>
          </w:tcPr>
          <w:p>
            <w:pPr>
              <w:pStyle w:val="Compact"/>
            </w:pPr>
            <w:r>
              <w:t xml:space="preserve">Feature</w:t>
            </w:r>
          </w:p>
        </w:tc>
        <w:tc>
          <w:tcPr>
            <w:tcW w:type="dxa" w:w="2296"/>
          </w:tcPr>
          <w:p>
            <w:pPr>
              <w:pStyle w:val="Compact"/>
            </w:pPr>
            <w:r>
              <w:t xml:space="preserve">2021 AUC [95 % CI]</w:t>
            </w:r>
          </w:p>
        </w:tc>
        <w:tc>
          <w:tcPr>
            <w:tcW w:type="dxa" w:w="2296"/>
          </w:tcPr>
          <w:p>
            <w:pPr>
              <w:pStyle w:val="Compact"/>
            </w:pPr>
            <w:r>
              <w:t xml:space="preserve">2022 AUC [95 % CI]</w:t>
            </w:r>
          </w:p>
        </w:tc>
        <w:tc>
          <w:tcPr>
            <w:tcW w:type="dxa" w:w="2181"/>
          </w:tcPr>
          <w:p>
            <w:pPr>
              <w:pStyle w:val="Compact"/>
            </w:pPr>
            <w:r>
              <w:t xml:space="preserve">Reversal</w:t>
            </w:r>
          </w:p>
        </w:tc>
      </w:tr>
      <w:tr>
        <w:tc>
          <w:tcPr>
            <w:tcW w:type="dxa" w:w="2296"/>
          </w:tcPr>
          <w:p>
            <w:pPr>
              <w:pStyle w:val="Compact"/>
            </w:pPr>
            <w:r>
              <w:rPr>
                <w:b/>
                <w:bCs/>
              </w:rPr>
              <w:t xml:space="preserve">elevation_mean</w:t>
            </w:r>
          </w:p>
        </w:tc>
        <w:tc>
          <w:tcPr>
            <w:tcW w:type="dxa" w:w="2296"/>
          </w:tcPr>
          <w:p>
            <w:pPr>
              <w:pStyle w:val="Compact"/>
            </w:pPr>
            <w:r>
              <w:rPr>
                <w:b/>
                <w:bCs/>
              </w:rPr>
              <w:t xml:space="preserve">0.611 [0.532, 0.690]</w:t>
            </w:r>
          </w:p>
        </w:tc>
        <w:tc>
          <w:tcPr>
            <w:tcW w:type="dxa" w:w="2296"/>
          </w:tcPr>
          <w:p>
            <w:pPr>
              <w:pStyle w:val="Compact"/>
            </w:pPr>
            <w:r>
              <w:rPr>
                <w:b/>
                <w:bCs/>
              </w:rPr>
              <w:t xml:space="preserve">0.296 [0.230, 0.355]</w:t>
            </w:r>
          </w:p>
        </w:tc>
        <w:tc>
          <w:tcPr>
            <w:tcW w:type="dxa" w:w="2181"/>
          </w:tcPr>
          <w:p>
            <w:pPr>
              <w:pStyle w:val="Compact"/>
            </w:pPr>
            <w:r>
              <w:rPr>
                <w:b/>
                <w:bCs/>
              </w:rPr>
              <w:t xml:space="preserve">bootstrap-supported</w:t>
            </w:r>
          </w:p>
        </w:tc>
      </w:tr>
      <w:tr>
        <w:tc>
          <w:tcPr>
            <w:tcW w:type="dxa" w:w="2296"/>
          </w:tcPr>
          <w:p>
            <w:pPr>
              <w:pStyle w:val="Compact"/>
            </w:pPr>
            <w:r>
              <w:t xml:space="preserve">current_lst_mean</w:t>
            </w:r>
          </w:p>
        </w:tc>
        <w:tc>
          <w:tcPr>
            <w:tcW w:type="dxa" w:w="2296"/>
          </w:tcPr>
          <w:p>
            <w:pPr>
              <w:pStyle w:val="Compact"/>
            </w:pPr>
            <w:r>
              <w:t xml:space="preserve">0.325 [0.271, 0.382]</w:t>
            </w:r>
          </w:p>
        </w:tc>
        <w:tc>
          <w:tcPr>
            <w:tcW w:type="dxa" w:w="2296"/>
          </w:tcPr>
          <w:p>
            <w:pPr>
              <w:pStyle w:val="Compact"/>
            </w:pPr>
            <w:r>
              <w:t xml:space="preserve">0.515 [0.434, 0.580]</w:t>
            </w:r>
          </w:p>
        </w:tc>
        <w:tc>
          <w:tcPr>
            <w:tcW w:type="dxa" w:w="2181"/>
          </w:tcPr>
          <w:p>
            <w:pPr>
              <w:pStyle w:val="Compact"/>
            </w:pPr>
            <w:r>
              <w:t xml:space="preserve">point only</w:t>
            </w:r>
          </w:p>
        </w:tc>
      </w:tr>
      <w:tr>
        <w:tc>
          <w:tcPr>
            <w:tcW w:type="dxa" w:w="2296"/>
          </w:tcPr>
          <w:p>
            <w:pPr>
              <w:pStyle w:val="Compact"/>
            </w:pPr>
            <w:r>
              <w:t xml:space="preserve">current_tvdi_mean</w:t>
            </w:r>
          </w:p>
        </w:tc>
        <w:tc>
          <w:tcPr>
            <w:tcW w:type="dxa" w:w="2296"/>
          </w:tcPr>
          <w:p>
            <w:pPr>
              <w:pStyle w:val="Compact"/>
            </w:pPr>
            <w:r>
              <w:t xml:space="preserve">0.336 [0.275, 0.398]</w:t>
            </w:r>
          </w:p>
        </w:tc>
        <w:tc>
          <w:tcPr>
            <w:tcW w:type="dxa" w:w="2296"/>
          </w:tcPr>
          <w:p>
            <w:pPr>
              <w:pStyle w:val="Compact"/>
            </w:pPr>
            <w:r>
              <w:t xml:space="preserve">0.594 [0.475, 0.674]</w:t>
            </w:r>
          </w:p>
        </w:tc>
        <w:tc>
          <w:tcPr>
            <w:tcW w:type="dxa" w:w="2181"/>
          </w:tcPr>
          <w:p>
            <w:pPr>
              <w:pStyle w:val="Compact"/>
            </w:pPr>
            <w:r>
              <w:t xml:space="preserve">point only</w:t>
            </w:r>
          </w:p>
        </w:tc>
      </w:tr>
      <w:tr>
        <w:tc>
          <w:tcPr>
            <w:tcW w:type="dxa" w:w="2296"/>
          </w:tcPr>
          <w:p>
            <w:pPr>
              <w:pStyle w:val="Compact"/>
            </w:pPr>
            <w:r>
              <w:t xml:space="preserve">downscaled_lst_mean</w:t>
            </w:r>
          </w:p>
        </w:tc>
        <w:tc>
          <w:tcPr>
            <w:tcW w:type="dxa" w:w="2296"/>
          </w:tcPr>
          <w:p>
            <w:pPr>
              <w:pStyle w:val="Compact"/>
            </w:pPr>
            <w:r>
              <w:t xml:space="preserve">0.307 [0.253, 0.366]</w:t>
            </w:r>
          </w:p>
        </w:tc>
        <w:tc>
          <w:tcPr>
            <w:tcW w:type="dxa" w:w="2296"/>
          </w:tcPr>
          <w:p>
            <w:pPr>
              <w:pStyle w:val="Compact"/>
            </w:pPr>
            <w:r>
              <w:t xml:space="preserve">0.508 [0.435, 0.571]</w:t>
            </w:r>
          </w:p>
        </w:tc>
        <w:tc>
          <w:tcPr>
            <w:tcW w:type="dxa" w:w="2181"/>
          </w:tcPr>
          <w:p>
            <w:pPr>
              <w:pStyle w:val="Compact"/>
            </w:pPr>
            <w:r>
              <w:t xml:space="preserve">point only</w:t>
            </w:r>
          </w:p>
        </w:tc>
      </w:tr>
      <w:tr>
        <w:tc>
          <w:tcPr>
            <w:tcW w:type="dxa" w:w="2296"/>
          </w:tcPr>
          <w:p>
            <w:pPr>
              <w:pStyle w:val="Compact"/>
            </w:pPr>
            <w:r>
              <w:t xml:space="preserve">fused_lst_mean</w:t>
            </w:r>
          </w:p>
        </w:tc>
        <w:tc>
          <w:tcPr>
            <w:tcW w:type="dxa" w:w="2296"/>
          </w:tcPr>
          <w:p>
            <w:pPr>
              <w:pStyle w:val="Compact"/>
            </w:pPr>
            <w:r>
              <w:t xml:space="preserve">0.325 [0.272, 0.383]</w:t>
            </w:r>
          </w:p>
        </w:tc>
        <w:tc>
          <w:tcPr>
            <w:tcW w:type="dxa" w:w="2296"/>
          </w:tcPr>
          <w:p>
            <w:pPr>
              <w:pStyle w:val="Compact"/>
            </w:pPr>
            <w:r>
              <w:t xml:space="preserve">0.519 [0.436, 0.583]</w:t>
            </w:r>
          </w:p>
        </w:tc>
        <w:tc>
          <w:tcPr>
            <w:tcW w:type="dxa" w:w="2181"/>
          </w:tcPr>
          <w:p>
            <w:pPr>
              <w:pStyle w:val="Compact"/>
            </w:pPr>
            <w:r>
              <w:t xml:space="preserve">point only</w:t>
            </w:r>
          </w:p>
        </w:tc>
      </w:tr>
      <w:tr>
        <w:tc>
          <w:tcPr>
            <w:tcW w:type="dxa" w:w="2296"/>
          </w:tcPr>
          <w:p>
            <w:pPr>
              <w:pStyle w:val="Compact"/>
            </w:pPr>
            <w:r>
              <w:t xml:space="preserve">ndvi_mean</w:t>
            </w:r>
          </w:p>
        </w:tc>
        <w:tc>
          <w:tcPr>
            <w:tcW w:type="dxa" w:w="2296"/>
          </w:tcPr>
          <w:p>
            <w:pPr>
              <w:pStyle w:val="Compact"/>
            </w:pPr>
            <w:r>
              <w:t xml:space="preserve">0.662 [0.616, 0.704]</w:t>
            </w:r>
          </w:p>
        </w:tc>
        <w:tc>
          <w:tcPr>
            <w:tcW w:type="dxa" w:w="2296"/>
          </w:tcPr>
          <w:p>
            <w:pPr>
              <w:pStyle w:val="Compact"/>
            </w:pPr>
            <w:r>
              <w:t xml:space="preserve">0.707 [0.624, 0.777]</w:t>
            </w:r>
          </w:p>
        </w:tc>
        <w:tc>
          <w:tcPr>
            <w:tcW w:type="dxa" w:w="2181"/>
          </w:tcPr>
          <w:p>
            <w:pPr>
              <w:pStyle w:val="Compact"/>
            </w:pPr>
            <w:r>
              <w:t xml:space="preserve">none</w:t>
            </w:r>
          </w:p>
        </w:tc>
      </w:tr>
      <w:tr>
        <w:tc>
          <w:tcPr>
            <w:tcW w:type="dxa" w:w="2296"/>
          </w:tcPr>
          <w:p>
            <w:pPr>
              <w:pStyle w:val="Compact"/>
            </w:pPr>
            <w:r>
              <w:t xml:space="preserve">slope_mean</w:t>
            </w:r>
          </w:p>
        </w:tc>
        <w:tc>
          <w:tcPr>
            <w:tcW w:type="dxa" w:w="2296"/>
          </w:tcPr>
          <w:p>
            <w:pPr>
              <w:pStyle w:val="Compact"/>
            </w:pPr>
            <w:r>
              <w:t xml:space="preserve">0.637 [0.582, 0.686]</w:t>
            </w:r>
          </w:p>
        </w:tc>
        <w:tc>
          <w:tcPr>
            <w:tcW w:type="dxa" w:w="2296"/>
          </w:tcPr>
          <w:p>
            <w:pPr>
              <w:pStyle w:val="Compact"/>
            </w:pPr>
            <w:r>
              <w:t xml:space="preserve">0.558 [0.468, 0.634]</w:t>
            </w:r>
          </w:p>
        </w:tc>
        <w:tc>
          <w:tcPr>
            <w:tcW w:type="dxa" w:w="2181"/>
          </w:tcPr>
          <w:p>
            <w:pPr>
              <w:pStyle w:val="Compact"/>
            </w:pPr>
            <w:r>
              <w:t xml:space="preserve">none</w:t>
            </w:r>
          </w:p>
        </w:tc>
      </w:tr>
      <w:tr>
        <w:tc>
          <w:tcPr>
            <w:tcW w:type="dxa" w:w="2296"/>
          </w:tcPr>
          <w:p>
            <w:pPr>
              <w:pStyle w:val="Compact"/>
            </w:pPr>
            <w:r>
              <w:t xml:space="preserve">lst_anomaly_mean</w:t>
            </w:r>
          </w:p>
        </w:tc>
        <w:tc>
          <w:tcPr>
            <w:tcW w:type="dxa" w:w="2296"/>
          </w:tcPr>
          <w:p>
            <w:pPr>
              <w:pStyle w:val="Compact"/>
            </w:pPr>
            <w:r>
              <w:t xml:space="preserve">0.485 [0.395, 0.566]</w:t>
            </w:r>
          </w:p>
        </w:tc>
        <w:tc>
          <w:tcPr>
            <w:tcW w:type="dxa" w:w="2296"/>
          </w:tcPr>
          <w:p>
            <w:pPr>
              <w:pStyle w:val="Compact"/>
            </w:pPr>
            <w:r>
              <w:t xml:space="preserve">0.380 [0.249, 0.502]</w:t>
            </w:r>
          </w:p>
        </w:tc>
        <w:tc>
          <w:tcPr>
            <w:tcW w:type="dxa" w:w="2181"/>
          </w:tcPr>
          <w:p>
            <w:pPr>
              <w:pStyle w:val="Compact"/>
            </w:pPr>
            <w:r>
              <w:t xml:space="preserve">none</w:t>
            </w:r>
          </w:p>
        </w:tc>
      </w:tr>
      <w:tr>
        <w:tc>
          <w:tcPr>
            <w:tcW w:type="dxa" w:w="2296"/>
          </w:tcPr>
          <w:p>
            <w:pPr>
              <w:pStyle w:val="Compact"/>
            </w:pPr>
            <w:r>
              <w:t xml:space="preserve">tvdi_difference_mean</w:t>
            </w:r>
          </w:p>
        </w:tc>
        <w:tc>
          <w:tcPr>
            <w:tcW w:type="dxa" w:w="2296"/>
          </w:tcPr>
          <w:p>
            <w:pPr>
              <w:pStyle w:val="Compact"/>
            </w:pPr>
            <w:r>
              <w:t xml:space="preserve">0.490 [0.396, 0.575]</w:t>
            </w:r>
          </w:p>
        </w:tc>
        <w:tc>
          <w:tcPr>
            <w:tcW w:type="dxa" w:w="2296"/>
          </w:tcPr>
          <w:p>
            <w:pPr>
              <w:pStyle w:val="Compact"/>
            </w:pPr>
            <w:r>
              <w:t xml:space="preserve">0.397 [0.265, 0.514]</w:t>
            </w:r>
          </w:p>
        </w:tc>
        <w:tc>
          <w:tcPr>
            <w:tcW w:type="dxa" w:w="2181"/>
          </w:tcPr>
          <w:p>
            <w:pPr>
              <w:pStyle w:val="Compact"/>
            </w:pPr>
            <w:r>
              <w:t xml:space="preserve">none</w:t>
            </w:r>
          </w:p>
        </w:tc>
      </w:tr>
    </w:tbl>
    <w:bookmarkEnd w:id="52"/>
    <w:bookmarkStart w:id="53" w:name="Xb04c43faa0a78ce01256a28bdcfaf43e48d920a"/>
    <w:p>
      <w:pPr>
        <w:pStyle w:val="Heading2"/>
      </w:pPr>
      <w:r>
        <w:t xml:space="preserve">S2.3 The evaluation frames, and the signed associations they produce</w:t>
      </w:r>
    </w:p>
    <w:p>
      <w:pPr>
        <w:pStyle w:val="FirstParagraph"/>
      </w:pPr>
      <w:r>
        <w:t xml:space="preserve">Section 4.4 states these results; the per-region values are here.</w:t>
      </w:r>
    </w:p>
    <w:p>
      <w:pPr>
        <w:pStyle w:val="BodyText"/>
      </w:pPr>
      <w:r>
        <w:rPr>
          <w:b/>
          <w:bCs/>
        </w:rPr>
        <w:t xml:space="preserve">Table S13. Evaluation-frame geometry of the five study regions.</w:t>
      </w:r>
      <w:r>
        <w:t xml:space="preserve"> </w:t>
      </w:r>
      <w:r>
        <w:t xml:space="preserve">Primary natural-vegetation</w:t>
      </w:r>
      <w:r>
        <w:t xml:space="preserve"> </w:t>
      </w:r>
      <w:r>
        <w:t xml:space="preserve">population. Distance is Euclidean to the nearest burned cell on the 500 m grid, at 0.45 km per cell.</w:t>
      </w:r>
      <w:r>
        <w:t xml:space="preserve"> </w:t>
      </w:r>
      <w:r>
        <w:t xml:space="preserve">Corrected Manavgat label. Computed by</w:t>
      </w:r>
      <w:r>
        <w:t xml:space="preserve"> </w:t>
      </w:r>
      <w:r>
        <w:rPr>
          <w:rStyle w:val="VerbatimChar"/>
        </w:rPr>
        <w:t xml:space="preserve">paper/code/appendix_tables.py</w:t>
      </w:r>
      <w:r>
        <w:t xml:space="preserve"> </w:t>
      </w:r>
      <w:r>
        <w:t xml:space="preserve">from the step8a tables (read</w:t>
      </w:r>
      <w:r>
        <w:t xml:space="preserve"> </w:t>
      </w:r>
      <w:r>
        <w:t xml:space="preserve">through</w:t>
      </w:r>
      <w:r>
        <w:t xml:space="preserve"> </w:t>
      </w:r>
      <w:r>
        <w:rPr>
          <w:rStyle w:val="VerbatimChar"/>
        </w:rPr>
        <w:t xml:space="preserve">paper/code/_canonical.py</w:t>
      </w:r>
      <w:r>
        <w:t xml:space="preserve">, which verifies each file’s sha256), as</w:t>
      </w:r>
      <w:r>
        <w:t xml:space="preserve"> </w:t>
      </w:r>
      <w:r>
        <w:rPr>
          <w:rStyle w:val="VerbatimChar"/>
        </w:rPr>
        <w:t xml:space="preserve">paper/code/verify_aoi_frame.py</w:t>
      </w:r>
      <w:r>
        <w:t xml:space="preserve"> </w:t>
      </w:r>
      <w:r>
        <w:t xml:space="preserve">does; the frozen computation reproduces the frozen table exactly.</w:t>
      </w:r>
    </w:p>
    <w:tbl>
      <w:tblPr>
        <w:tblStyle w:val="Table"/>
        <w:tblW w:type="auto" w:w="0"/>
        <w:tblLook w:firstRow="1" w:lastRow="0" w:firstColumn="0" w:lastColumn="0" w:noHBand="0" w:noVBand="0" w:val="0020"/>
      </w:tblPr>
      <w:tblGrid>
        <w:gridCol w:w="1395"/>
        <w:gridCol w:w="837"/>
        <w:gridCol w:w="837"/>
        <w:gridCol w:w="3488"/>
        <w:gridCol w:w="2512"/>
      </w:tblGrid>
      <w:tr>
        <w:trPr>
          <w:tblHeader w:val="on"/>
        </w:trPr>
        <w:tc>
          <w:tcPr>
            <w:tcW w:type="dxa" w:w="1395"/>
          </w:tcPr>
          <w:p>
            <w:pPr>
              <w:pStyle w:val="Compact"/>
            </w:pPr>
            <w:r>
              <w:t xml:space="preserve">Region</w:t>
            </w:r>
          </w:p>
        </w:tc>
        <w:tc>
          <w:tcPr>
            <w:tcW w:type="dxa" w:w="837"/>
          </w:tcPr>
          <w:p>
            <w:pPr>
              <w:pStyle w:val="Compact"/>
              <w:jc w:val="right"/>
            </w:pPr>
            <w:r>
              <w:t xml:space="preserve">cells</w:t>
            </w:r>
          </w:p>
        </w:tc>
        <w:tc>
          <w:tcPr>
            <w:tcW w:type="dxa" w:w="837"/>
          </w:tcPr>
          <w:p>
            <w:pPr>
              <w:pStyle w:val="Compact"/>
              <w:jc w:val="right"/>
            </w:pPr>
            <w:r>
              <w:t xml:space="preserve">burned</w:t>
            </w:r>
          </w:p>
        </w:tc>
        <w:tc>
          <w:tcPr>
            <w:tcW w:type="dxa" w:w="3488"/>
          </w:tcPr>
          <w:p>
            <w:pPr>
              <w:pStyle w:val="Compact"/>
              <w:jc w:val="right"/>
            </w:pPr>
            <w:r>
              <w:t xml:space="preserve">median distance to burned</w:t>
            </w:r>
          </w:p>
        </w:tc>
        <w:tc>
          <w:tcPr>
            <w:tcW w:type="dxa" w:w="2512"/>
          </w:tcPr>
          <w:p>
            <w:pPr>
              <w:pStyle w:val="Compact"/>
              <w:jc w:val="right"/>
            </w:pPr>
            <w:r>
              <w:t xml:space="preserve">share beyond 10 km</w:t>
            </w:r>
          </w:p>
        </w:tc>
      </w:tr>
      <w:tr>
        <w:tc>
          <w:tcPr>
            <w:tcW w:type="dxa" w:w="1395"/>
          </w:tcPr>
          <w:p>
            <w:pPr>
              <w:pStyle w:val="Compact"/>
            </w:pPr>
            <w:r>
              <w:t xml:space="preserve">Manavgat</w:t>
            </w:r>
          </w:p>
        </w:tc>
        <w:tc>
          <w:tcPr>
            <w:tcW w:type="dxa" w:w="837"/>
          </w:tcPr>
          <w:p>
            <w:pPr>
              <w:pStyle w:val="Compact"/>
              <w:jc w:val="right"/>
            </w:pPr>
            <w:r>
              <w:t xml:space="preserve">20,511</w:t>
            </w:r>
          </w:p>
        </w:tc>
        <w:tc>
          <w:tcPr>
            <w:tcW w:type="dxa" w:w="837"/>
          </w:tcPr>
          <w:p>
            <w:pPr>
              <w:pStyle w:val="Compact"/>
              <w:jc w:val="right"/>
            </w:pPr>
            <w:r>
              <w:t xml:space="preserve">2,935</w:t>
            </w:r>
          </w:p>
        </w:tc>
        <w:tc>
          <w:tcPr>
            <w:tcW w:type="dxa" w:w="3488"/>
          </w:tcPr>
          <w:p>
            <w:pPr>
              <w:pStyle w:val="Compact"/>
              <w:jc w:val="right"/>
            </w:pPr>
            <w:r>
              <w:t xml:space="preserve">13.1 km</w:t>
            </w:r>
          </w:p>
        </w:tc>
        <w:tc>
          <w:tcPr>
            <w:tcW w:type="dxa" w:w="2512"/>
          </w:tcPr>
          <w:p>
            <w:pPr>
              <w:pStyle w:val="Compact"/>
              <w:jc w:val="right"/>
            </w:pPr>
            <w:r>
              <w:rPr>
                <w:b/>
                <w:bCs/>
              </w:rPr>
              <w:t xml:space="preserve">58.5 %</w:t>
            </w:r>
          </w:p>
        </w:tc>
      </w:tr>
      <w:tr>
        <w:tc>
          <w:tcPr>
            <w:tcW w:type="dxa" w:w="1395"/>
          </w:tcPr>
          <w:p>
            <w:pPr>
              <w:pStyle w:val="Compact"/>
            </w:pPr>
            <w:r>
              <w:t xml:space="preserve">Bejís</w:t>
            </w:r>
          </w:p>
        </w:tc>
        <w:tc>
          <w:tcPr>
            <w:tcW w:type="dxa" w:w="837"/>
          </w:tcPr>
          <w:p>
            <w:pPr>
              <w:pStyle w:val="Compact"/>
              <w:jc w:val="right"/>
            </w:pPr>
            <w:r>
              <w:t xml:space="preserve">15,190</w:t>
            </w:r>
          </w:p>
        </w:tc>
        <w:tc>
          <w:tcPr>
            <w:tcW w:type="dxa" w:w="837"/>
          </w:tcPr>
          <w:p>
            <w:pPr>
              <w:pStyle w:val="Compact"/>
              <w:jc w:val="right"/>
            </w:pPr>
            <w:r>
              <w:t xml:space="preserve">1,100</w:t>
            </w:r>
          </w:p>
        </w:tc>
        <w:tc>
          <w:tcPr>
            <w:tcW w:type="dxa" w:w="3488"/>
          </w:tcPr>
          <w:p>
            <w:pPr>
              <w:pStyle w:val="Compact"/>
              <w:jc w:val="right"/>
            </w:pPr>
            <w:r>
              <w:t xml:space="preserve">13.5 km</w:t>
            </w:r>
          </w:p>
        </w:tc>
        <w:tc>
          <w:tcPr>
            <w:tcW w:type="dxa" w:w="2512"/>
          </w:tcPr>
          <w:p>
            <w:pPr>
              <w:pStyle w:val="Compact"/>
              <w:jc w:val="right"/>
            </w:pPr>
            <w:r>
              <w:rPr>
                <w:b/>
                <w:bCs/>
              </w:rPr>
              <w:t xml:space="preserve">63.1 %</w:t>
            </w:r>
          </w:p>
        </w:tc>
      </w:tr>
      <w:tr>
        <w:tc>
          <w:tcPr>
            <w:tcW w:type="dxa" w:w="1395"/>
          </w:tcPr>
          <w:p>
            <w:pPr>
              <w:pStyle w:val="Compact"/>
            </w:pPr>
            <w:r>
              <w:t xml:space="preserve">Muğla</w:t>
            </w:r>
          </w:p>
        </w:tc>
        <w:tc>
          <w:tcPr>
            <w:tcW w:type="dxa" w:w="837"/>
          </w:tcPr>
          <w:p>
            <w:pPr>
              <w:pStyle w:val="Compact"/>
              <w:jc w:val="right"/>
            </w:pPr>
            <w:r>
              <w:t xml:space="preserve">41,730</w:t>
            </w:r>
          </w:p>
        </w:tc>
        <w:tc>
          <w:tcPr>
            <w:tcW w:type="dxa" w:w="837"/>
          </w:tcPr>
          <w:p>
            <w:pPr>
              <w:pStyle w:val="Compact"/>
              <w:jc w:val="right"/>
            </w:pPr>
            <w:r>
              <w:t xml:space="preserve">2,911</w:t>
            </w:r>
          </w:p>
        </w:tc>
        <w:tc>
          <w:tcPr>
            <w:tcW w:type="dxa" w:w="3488"/>
          </w:tcPr>
          <w:p>
            <w:pPr>
              <w:pStyle w:val="Compact"/>
              <w:jc w:val="right"/>
            </w:pPr>
            <w:r>
              <w:t xml:space="preserve">11.3 km</w:t>
            </w:r>
          </w:p>
        </w:tc>
        <w:tc>
          <w:tcPr>
            <w:tcW w:type="dxa" w:w="2512"/>
          </w:tcPr>
          <w:p>
            <w:pPr>
              <w:pStyle w:val="Compact"/>
              <w:jc w:val="right"/>
            </w:pPr>
            <w:r>
              <w:t xml:space="preserve">55.3 %</w:t>
            </w:r>
          </w:p>
        </w:tc>
      </w:tr>
      <w:tr>
        <w:tc>
          <w:tcPr>
            <w:tcW w:type="dxa" w:w="1395"/>
          </w:tcPr>
          <w:p>
            <w:pPr>
              <w:pStyle w:val="Compact"/>
            </w:pPr>
            <w:r>
              <w:t xml:space="preserve">Evia</w:t>
            </w:r>
          </w:p>
        </w:tc>
        <w:tc>
          <w:tcPr>
            <w:tcW w:type="dxa" w:w="837"/>
          </w:tcPr>
          <w:p>
            <w:pPr>
              <w:pStyle w:val="Compact"/>
              <w:jc w:val="right"/>
            </w:pPr>
            <w:r>
              <w:t xml:space="preserve">9,298</w:t>
            </w:r>
          </w:p>
        </w:tc>
        <w:tc>
          <w:tcPr>
            <w:tcW w:type="dxa" w:w="837"/>
          </w:tcPr>
          <w:p>
            <w:pPr>
              <w:pStyle w:val="Compact"/>
              <w:jc w:val="right"/>
            </w:pPr>
            <w:r>
              <w:t xml:space="preserve">2,664</w:t>
            </w:r>
          </w:p>
        </w:tc>
        <w:tc>
          <w:tcPr>
            <w:tcW w:type="dxa" w:w="3488"/>
          </w:tcPr>
          <w:p>
            <w:pPr>
              <w:pStyle w:val="Compact"/>
              <w:jc w:val="right"/>
            </w:pPr>
            <w:r>
              <w:t xml:space="preserve">8.0 km</w:t>
            </w:r>
          </w:p>
        </w:tc>
        <w:tc>
          <w:tcPr>
            <w:tcW w:type="dxa" w:w="2512"/>
          </w:tcPr>
          <w:p>
            <w:pPr>
              <w:pStyle w:val="Compact"/>
              <w:jc w:val="right"/>
            </w:pPr>
            <w:r>
              <w:t xml:space="preserve">43.7 %</w:t>
            </w:r>
          </w:p>
        </w:tc>
      </w:tr>
      <w:tr>
        <w:tc>
          <w:tcPr>
            <w:tcW w:type="dxa" w:w="1395"/>
          </w:tcPr>
          <w:p>
            <w:pPr>
              <w:pStyle w:val="Compact"/>
            </w:pPr>
            <w:r>
              <w:t xml:space="preserve">Montiferru</w:t>
            </w:r>
          </w:p>
        </w:tc>
        <w:tc>
          <w:tcPr>
            <w:tcW w:type="dxa" w:w="837"/>
          </w:tcPr>
          <w:p>
            <w:pPr>
              <w:pStyle w:val="Compact"/>
              <w:jc w:val="right"/>
            </w:pPr>
            <w:r>
              <w:t xml:space="preserve">2,544</w:t>
            </w:r>
          </w:p>
        </w:tc>
        <w:tc>
          <w:tcPr>
            <w:tcW w:type="dxa" w:w="837"/>
          </w:tcPr>
          <w:p>
            <w:pPr>
              <w:pStyle w:val="Compact"/>
              <w:jc w:val="right"/>
            </w:pPr>
            <w:r>
              <w:t xml:space="preserve">539</w:t>
            </w:r>
          </w:p>
        </w:tc>
        <w:tc>
          <w:tcPr>
            <w:tcW w:type="dxa" w:w="3488"/>
          </w:tcPr>
          <w:p>
            <w:pPr>
              <w:pStyle w:val="Compact"/>
              <w:jc w:val="right"/>
            </w:pPr>
            <w:r>
              <w:t xml:space="preserve">2.7 km</w:t>
            </w:r>
          </w:p>
        </w:tc>
        <w:tc>
          <w:tcPr>
            <w:tcW w:type="dxa" w:w="2512"/>
          </w:tcPr>
          <w:p>
            <w:pPr>
              <w:pStyle w:val="Compact"/>
              <w:jc w:val="right"/>
            </w:pPr>
            <w:r>
              <w:rPr>
                <w:b/>
                <w:bCs/>
              </w:rPr>
              <w:t xml:space="preserve">2.1 %</w:t>
            </w:r>
          </w:p>
        </w:tc>
      </w:tr>
    </w:tbl>
    <w:p>
      <w:pPr>
        <w:pStyle w:val="BodyText"/>
      </w:pPr>
      <w:r>
        <w:rPr>
          <w:b/>
          <w:bCs/>
        </w:rPr>
        <w:t xml:space="preserve">Table S14. Signed univariate AUC, frame as drawn against a 10 km collar.</w:t>
      </w:r>
      <w:r>
        <w:t xml:space="preserve"> </w:t>
      </w:r>
      <w:r>
        <w:t xml:space="preserve">Point estimates; the</w:t>
      </w:r>
      <w:r>
        <w:t xml:space="preserve"> </w:t>
      </w:r>
      <w:r>
        <w:t xml:space="preserve">intervals that decide the reversal question are given in the text below and in</w:t>
      </w:r>
      <w:r>
        <w:t xml:space="preserve"> </w:t>
      </w:r>
      <w:r>
        <w:rPr>
          <w:rStyle w:val="VerbatimChar"/>
        </w:rPr>
        <w:t xml:space="preserve">collar_frame_bootstrap.csv</w:t>
      </w:r>
      <w:r>
        <w:t xml:space="preserve"> </w:t>
      </w:r>
      <w:r>
        <w:t xml:space="preserve">(10-cell blocks, 1000 replicates, seed 42). Signed and never folded to</w:t>
      </w:r>
      <w:r>
        <w:t xml:space="preserve"> </w:t>
      </w:r>
      <w:r>
        <w:t xml:space="preserve">max(AUC, 1 − AUC), so a value below 0.5 is a direction, not weakness. The collar drops no burned cells in any region. Corrected Manavgat label; full frame from Table S9’s</w:t>
      </w:r>
      <w:r>
        <w:t xml:space="preserve"> </w:t>
      </w:r>
      <w:r>
        <w:t xml:space="preserve">source, collar from</w:t>
      </w:r>
      <w:r>
        <w:t xml:space="preserve"> </w:t>
      </w:r>
      <w:r>
        <w:rPr>
          <w:rStyle w:val="VerbatimChar"/>
        </w:rPr>
        <w:t xml:space="preserve">paper/labelfix_rerun/code/aoi_frame_auc_frozen_mugla.csv</w:t>
      </w:r>
      <w:r>
        <w:t xml:space="preserve">. Checked row by row by</w:t>
      </w:r>
      <w:r>
        <w:t xml:space="preserve"> </w:t>
      </w:r>
      <w:r>
        <w:rPr>
          <w:rStyle w:val="VerbatimChar"/>
        </w:rPr>
        <w:t xml:space="preserve">paper/code/appendix_tables.py</w:t>
      </w:r>
      <w:r>
        <w:t xml:space="preserve">. On the</w:t>
      </w:r>
      <w:r>
        <w:t xml:space="preserve"> </w:t>
      </w:r>
      <w:r>
        <w:t xml:space="preserve">corrected label Manavgat sits on the other side of 0.5 on every row, the collar rows included.</w:t>
      </w:r>
    </w:p>
    <w:tbl>
      <w:tblPr>
        <w:tblStyle w:val="Table"/>
        <w:tblW w:type="auto" w:w="0"/>
        <w:tblLook w:firstRow="1" w:lastRow="0" w:firstColumn="0" w:lastColumn="0" w:noHBand="0" w:noVBand="0" w:val="0020"/>
      </w:tblPr>
      <w:tblGrid>
        <w:gridCol w:w="3721"/>
        <w:gridCol w:w="930"/>
        <w:gridCol w:w="581"/>
        <w:gridCol w:w="581"/>
        <w:gridCol w:w="581"/>
        <w:gridCol w:w="1163"/>
        <w:gridCol w:w="1512"/>
      </w:tblGrid>
      <w:tr>
        <w:trPr>
          <w:tblHeader w:val="on"/>
        </w:trPr>
        <w:tc>
          <w:tcPr>
            <w:tcW w:type="dxa" w:w="3721"/>
          </w:tcPr>
          <w:p>
            <w:pPr>
              <w:pStyle w:val="Compact"/>
            </w:pPr>
            <w:r>
              <w:t xml:space="preserve">Signed univariate AUC</w:t>
            </w:r>
          </w:p>
        </w:tc>
        <w:tc>
          <w:tcPr>
            <w:tcW w:type="dxa" w:w="930"/>
          </w:tcPr>
          <w:p>
            <w:pPr>
              <w:pStyle w:val="Compact"/>
              <w:jc w:val="right"/>
            </w:pPr>
            <w:r>
              <w:t xml:space="preserve">Manavgat</w:t>
            </w:r>
          </w:p>
        </w:tc>
        <w:tc>
          <w:tcPr>
            <w:tcW w:type="dxa" w:w="581"/>
          </w:tcPr>
          <w:p>
            <w:pPr>
              <w:pStyle w:val="Compact"/>
              <w:jc w:val="right"/>
            </w:pPr>
            <w:r>
              <w:t xml:space="preserve">Bejís</w:t>
            </w:r>
          </w:p>
        </w:tc>
        <w:tc>
          <w:tcPr>
            <w:tcW w:type="dxa" w:w="581"/>
          </w:tcPr>
          <w:p>
            <w:pPr>
              <w:pStyle w:val="Compact"/>
              <w:jc w:val="right"/>
            </w:pPr>
            <w:r>
              <w:t xml:space="preserve">Muğla</w:t>
            </w:r>
          </w:p>
        </w:tc>
        <w:tc>
          <w:tcPr>
            <w:tcW w:type="dxa" w:w="581"/>
          </w:tcPr>
          <w:p>
            <w:pPr>
              <w:pStyle w:val="Compact"/>
              <w:jc w:val="right"/>
            </w:pPr>
            <w:r>
              <w:t xml:space="preserve">Evia</w:t>
            </w:r>
          </w:p>
        </w:tc>
        <w:tc>
          <w:tcPr>
            <w:tcW w:type="dxa" w:w="1163"/>
          </w:tcPr>
          <w:p>
            <w:pPr>
              <w:pStyle w:val="Compact"/>
              <w:jc w:val="right"/>
            </w:pPr>
            <w:r>
              <w:t xml:space="preserve">Montiferru</w:t>
            </w:r>
          </w:p>
        </w:tc>
        <w:tc>
          <w:tcPr>
            <w:tcW w:type="dxa" w:w="1512"/>
          </w:tcPr>
          <w:p>
            <w:pPr>
              <w:pStyle w:val="Compact"/>
            </w:pPr>
            <w:r>
              <w:t xml:space="preserve">straddles 0.5</w:t>
            </w:r>
          </w:p>
        </w:tc>
      </w:tr>
      <w:tr>
        <w:tc>
          <w:tcPr>
            <w:tcW w:type="dxa" w:w="3721"/>
          </w:tcPr>
          <w:p>
            <w:pPr>
              <w:pStyle w:val="Compact"/>
            </w:pPr>
            <w:r>
              <w:t xml:space="preserve">elevation, full frame (Table S9)</w:t>
            </w:r>
          </w:p>
        </w:tc>
        <w:tc>
          <w:tcPr>
            <w:tcW w:type="dxa" w:w="930"/>
          </w:tcPr>
          <w:p>
            <w:pPr>
              <w:pStyle w:val="Compact"/>
              <w:jc w:val="right"/>
            </w:pPr>
            <w:r>
              <w:rPr>
                <w:b/>
                <w:bCs/>
              </w:rPr>
              <w:t xml:space="preserve">0.232</w:t>
            </w:r>
          </w:p>
        </w:tc>
        <w:tc>
          <w:tcPr>
            <w:tcW w:type="dxa" w:w="581"/>
          </w:tcPr>
          <w:p>
            <w:pPr>
              <w:pStyle w:val="Compact"/>
              <w:jc w:val="right"/>
            </w:pPr>
            <w:r>
              <w:t xml:space="preserve">0.643</w:t>
            </w:r>
          </w:p>
        </w:tc>
        <w:tc>
          <w:tcPr>
            <w:tcW w:type="dxa" w:w="581"/>
          </w:tcPr>
          <w:p>
            <w:pPr>
              <w:pStyle w:val="Compact"/>
              <w:jc w:val="right"/>
            </w:pPr>
            <w:r>
              <w:t xml:space="preserve">0.611</w:t>
            </w:r>
          </w:p>
        </w:tc>
        <w:tc>
          <w:tcPr>
            <w:tcW w:type="dxa" w:w="581"/>
          </w:tcPr>
          <w:p>
            <w:pPr>
              <w:pStyle w:val="Compact"/>
              <w:jc w:val="right"/>
            </w:pPr>
            <w:r>
              <w:t xml:space="preserve">0.541</w:t>
            </w:r>
          </w:p>
        </w:tc>
        <w:tc>
          <w:tcPr>
            <w:tcW w:type="dxa" w:w="1163"/>
          </w:tcPr>
          <w:p>
            <w:pPr>
              <w:pStyle w:val="Compact"/>
              <w:jc w:val="right"/>
            </w:pPr>
            <w:r>
              <w:t xml:space="preserve">0.584</w:t>
            </w:r>
          </w:p>
        </w:tc>
        <w:tc>
          <w:tcPr>
            <w:tcW w:type="dxa" w:w="1512"/>
          </w:tcPr>
          <w:p>
            <w:pPr>
              <w:pStyle w:val="Compact"/>
            </w:pPr>
            <w:r>
              <w:rPr>
                <w:b/>
                <w:bCs/>
              </w:rPr>
              <w:t xml:space="preserve">yes</w:t>
            </w:r>
          </w:p>
        </w:tc>
      </w:tr>
      <w:tr>
        <w:tc>
          <w:tcPr>
            <w:tcW w:type="dxa" w:w="3721"/>
          </w:tcPr>
          <w:p>
            <w:pPr>
              <w:pStyle w:val="Compact"/>
            </w:pPr>
            <w:r>
              <w:t xml:space="preserve">elevation, 10 km collar</w:t>
            </w:r>
          </w:p>
        </w:tc>
        <w:tc>
          <w:tcPr>
            <w:tcW w:type="dxa" w:w="930"/>
          </w:tcPr>
          <w:p>
            <w:pPr>
              <w:pStyle w:val="Compact"/>
              <w:jc w:val="right"/>
            </w:pPr>
            <w:r>
              <w:rPr>
                <w:b/>
                <w:bCs/>
              </w:rPr>
              <w:t xml:space="preserve">0.376</w:t>
            </w:r>
          </w:p>
        </w:tc>
        <w:tc>
          <w:tcPr>
            <w:tcW w:type="dxa" w:w="581"/>
          </w:tcPr>
          <w:p>
            <w:pPr>
              <w:pStyle w:val="Compact"/>
              <w:jc w:val="right"/>
            </w:pPr>
            <w:r>
              <w:t xml:space="preserve">0.614</w:t>
            </w:r>
          </w:p>
        </w:tc>
        <w:tc>
          <w:tcPr>
            <w:tcW w:type="dxa" w:w="581"/>
          </w:tcPr>
          <w:p>
            <w:pPr>
              <w:pStyle w:val="Compact"/>
              <w:jc w:val="right"/>
            </w:pPr>
            <w:r>
              <w:t xml:space="preserve">0.606</w:t>
            </w:r>
          </w:p>
        </w:tc>
        <w:tc>
          <w:tcPr>
            <w:tcW w:type="dxa" w:w="581"/>
          </w:tcPr>
          <w:p>
            <w:pPr>
              <w:pStyle w:val="Compact"/>
              <w:jc w:val="right"/>
            </w:pPr>
            <w:r>
              <w:t xml:space="preserve">0.648</w:t>
            </w:r>
          </w:p>
        </w:tc>
        <w:tc>
          <w:tcPr>
            <w:tcW w:type="dxa" w:w="1163"/>
          </w:tcPr>
          <w:p>
            <w:pPr>
              <w:pStyle w:val="Compact"/>
              <w:jc w:val="right"/>
            </w:pPr>
            <w:r>
              <w:t xml:space="preserve">0.581</w:t>
            </w:r>
          </w:p>
        </w:tc>
        <w:tc>
          <w:tcPr>
            <w:tcW w:type="dxa" w:w="1512"/>
          </w:tcPr>
          <w:p>
            <w:pPr>
              <w:pStyle w:val="Compact"/>
            </w:pPr>
            <w:r>
              <w:rPr>
                <w:b/>
                <w:bCs/>
              </w:rPr>
              <w:t xml:space="preserve">yes</w:t>
            </w:r>
          </w:p>
        </w:tc>
      </w:tr>
      <w:tr>
        <w:tc>
          <w:tcPr>
            <w:tcW w:type="dxa" w:w="3721"/>
          </w:tcPr>
          <w:p>
            <w:pPr>
              <w:pStyle w:val="Compact"/>
            </w:pPr>
            <w:r>
              <w:t xml:space="preserve">current LST, full frame</w:t>
            </w:r>
          </w:p>
        </w:tc>
        <w:tc>
          <w:tcPr>
            <w:tcW w:type="dxa" w:w="930"/>
          </w:tcPr>
          <w:p>
            <w:pPr>
              <w:pStyle w:val="Compact"/>
              <w:jc w:val="right"/>
            </w:pPr>
            <w:r>
              <w:rPr>
                <w:b/>
                <w:bCs/>
              </w:rPr>
              <w:t xml:space="preserve">0.665</w:t>
            </w:r>
          </w:p>
        </w:tc>
        <w:tc>
          <w:tcPr>
            <w:tcW w:type="dxa" w:w="581"/>
          </w:tcPr>
          <w:p>
            <w:pPr>
              <w:pStyle w:val="Compact"/>
              <w:jc w:val="right"/>
            </w:pPr>
            <w:r>
              <w:t xml:space="preserve">0.477</w:t>
            </w:r>
          </w:p>
        </w:tc>
        <w:tc>
          <w:tcPr>
            <w:tcW w:type="dxa" w:w="581"/>
          </w:tcPr>
          <w:p>
            <w:pPr>
              <w:pStyle w:val="Compact"/>
              <w:jc w:val="right"/>
            </w:pPr>
            <w:r>
              <w:t xml:space="preserve">0.325</w:t>
            </w:r>
          </w:p>
        </w:tc>
        <w:tc>
          <w:tcPr>
            <w:tcW w:type="dxa" w:w="581"/>
          </w:tcPr>
          <w:p>
            <w:pPr>
              <w:pStyle w:val="Compact"/>
              <w:jc w:val="right"/>
            </w:pPr>
            <w:r>
              <w:t xml:space="preserve">0.377</w:t>
            </w:r>
          </w:p>
        </w:tc>
        <w:tc>
          <w:tcPr>
            <w:tcW w:type="dxa" w:w="1163"/>
          </w:tcPr>
          <w:p>
            <w:pPr>
              <w:pStyle w:val="Compact"/>
              <w:jc w:val="right"/>
            </w:pPr>
            <w:r>
              <w:t xml:space="preserve">0.370</w:t>
            </w:r>
          </w:p>
        </w:tc>
        <w:tc>
          <w:tcPr>
            <w:tcW w:type="dxa" w:w="1512"/>
          </w:tcPr>
          <w:p>
            <w:pPr>
              <w:pStyle w:val="Compact"/>
            </w:pPr>
            <w:r>
              <w:rPr>
                <w:b/>
                <w:bCs/>
              </w:rPr>
              <w:t xml:space="preserve">yes</w:t>
            </w:r>
          </w:p>
        </w:tc>
      </w:tr>
      <w:tr>
        <w:tc>
          <w:tcPr>
            <w:tcW w:type="dxa" w:w="3721"/>
          </w:tcPr>
          <w:p>
            <w:pPr>
              <w:pStyle w:val="Compact"/>
            </w:pPr>
            <w:r>
              <w:t xml:space="preserve">current LST, 10 km collar</w:t>
            </w:r>
          </w:p>
        </w:tc>
        <w:tc>
          <w:tcPr>
            <w:tcW w:type="dxa" w:w="930"/>
          </w:tcPr>
          <w:p>
            <w:pPr>
              <w:pStyle w:val="Compact"/>
              <w:jc w:val="right"/>
            </w:pPr>
            <w:r>
              <w:rPr>
                <w:b/>
                <w:bCs/>
              </w:rPr>
              <w:t xml:space="preserve">0.522</w:t>
            </w:r>
          </w:p>
        </w:tc>
        <w:tc>
          <w:tcPr>
            <w:tcW w:type="dxa" w:w="581"/>
          </w:tcPr>
          <w:p>
            <w:pPr>
              <w:pStyle w:val="Compact"/>
              <w:jc w:val="right"/>
            </w:pPr>
            <w:r>
              <w:t xml:space="preserve">0.405</w:t>
            </w:r>
          </w:p>
        </w:tc>
        <w:tc>
          <w:tcPr>
            <w:tcW w:type="dxa" w:w="581"/>
          </w:tcPr>
          <w:p>
            <w:pPr>
              <w:pStyle w:val="Compact"/>
              <w:jc w:val="right"/>
            </w:pPr>
            <w:r>
              <w:t xml:space="preserve">0.332</w:t>
            </w:r>
          </w:p>
        </w:tc>
        <w:tc>
          <w:tcPr>
            <w:tcW w:type="dxa" w:w="581"/>
          </w:tcPr>
          <w:p>
            <w:pPr>
              <w:pStyle w:val="Compact"/>
              <w:jc w:val="right"/>
            </w:pPr>
            <w:r>
              <w:t xml:space="preserve">0.286</w:t>
            </w:r>
          </w:p>
        </w:tc>
        <w:tc>
          <w:tcPr>
            <w:tcW w:type="dxa" w:w="1163"/>
          </w:tcPr>
          <w:p>
            <w:pPr>
              <w:pStyle w:val="Compact"/>
              <w:jc w:val="right"/>
            </w:pPr>
            <w:r>
              <w:t xml:space="preserve">0.376</w:t>
            </w:r>
          </w:p>
        </w:tc>
        <w:tc>
          <w:tcPr>
            <w:tcW w:type="dxa" w:w="1512"/>
          </w:tcPr>
          <w:p>
            <w:pPr>
              <w:pStyle w:val="Compact"/>
            </w:pPr>
            <w:r>
              <w:rPr>
                <w:b/>
                <w:bCs/>
              </w:rPr>
              <w:t xml:space="preserve">yes</w:t>
            </w:r>
          </w:p>
        </w:tc>
      </w:tr>
      <w:tr>
        <w:tc>
          <w:tcPr>
            <w:tcW w:type="dxa" w:w="3721"/>
          </w:tcPr>
          <w:p>
            <w:pPr>
              <w:pStyle w:val="Compact"/>
            </w:pPr>
            <w:r>
              <w:t xml:space="preserve">current TVDI, full frame</w:t>
            </w:r>
          </w:p>
        </w:tc>
        <w:tc>
          <w:tcPr>
            <w:tcW w:type="dxa" w:w="930"/>
          </w:tcPr>
          <w:p>
            <w:pPr>
              <w:pStyle w:val="Compact"/>
              <w:jc w:val="right"/>
            </w:pPr>
            <w:r>
              <w:rPr>
                <w:b/>
                <w:bCs/>
              </w:rPr>
              <w:t xml:space="preserve">0.677</w:t>
            </w:r>
          </w:p>
        </w:tc>
        <w:tc>
          <w:tcPr>
            <w:tcW w:type="dxa" w:w="581"/>
          </w:tcPr>
          <w:p>
            <w:pPr>
              <w:pStyle w:val="Compact"/>
              <w:jc w:val="right"/>
            </w:pPr>
            <w:r>
              <w:t xml:space="preserve">0.517</w:t>
            </w:r>
          </w:p>
        </w:tc>
        <w:tc>
          <w:tcPr>
            <w:tcW w:type="dxa" w:w="581"/>
          </w:tcPr>
          <w:p>
            <w:pPr>
              <w:pStyle w:val="Compact"/>
              <w:jc w:val="right"/>
            </w:pPr>
            <w:r>
              <w:t xml:space="preserve">0.336</w:t>
            </w:r>
          </w:p>
        </w:tc>
        <w:tc>
          <w:tcPr>
            <w:tcW w:type="dxa" w:w="581"/>
          </w:tcPr>
          <w:p>
            <w:pPr>
              <w:pStyle w:val="Compact"/>
              <w:jc w:val="right"/>
            </w:pPr>
            <w:r>
              <w:t xml:space="preserve">0.362</w:t>
            </w:r>
          </w:p>
        </w:tc>
        <w:tc>
          <w:tcPr>
            <w:tcW w:type="dxa" w:w="1163"/>
          </w:tcPr>
          <w:p>
            <w:pPr>
              <w:pStyle w:val="Compact"/>
              <w:jc w:val="right"/>
            </w:pPr>
            <w:r>
              <w:t xml:space="preserve">0.356</w:t>
            </w:r>
          </w:p>
        </w:tc>
        <w:tc>
          <w:tcPr>
            <w:tcW w:type="dxa" w:w="1512"/>
          </w:tcPr>
          <w:p>
            <w:pPr>
              <w:pStyle w:val="Compact"/>
            </w:pPr>
            <w:r>
              <w:rPr>
                <w:b/>
                <w:bCs/>
              </w:rPr>
              <w:t xml:space="preserve">yes</w:t>
            </w:r>
          </w:p>
        </w:tc>
      </w:tr>
      <w:tr>
        <w:tc>
          <w:tcPr>
            <w:tcW w:type="dxa" w:w="3721"/>
          </w:tcPr>
          <w:p>
            <w:pPr>
              <w:pStyle w:val="Compact"/>
            </w:pPr>
            <w:r>
              <w:t xml:space="preserve">current TVDI, 10 km collar</w:t>
            </w:r>
          </w:p>
        </w:tc>
        <w:tc>
          <w:tcPr>
            <w:tcW w:type="dxa" w:w="930"/>
          </w:tcPr>
          <w:p>
            <w:pPr>
              <w:pStyle w:val="Compact"/>
              <w:jc w:val="right"/>
            </w:pPr>
            <w:r>
              <w:rPr>
                <w:b/>
                <w:bCs/>
              </w:rPr>
              <w:t xml:space="preserve">0.527</w:t>
            </w:r>
          </w:p>
        </w:tc>
        <w:tc>
          <w:tcPr>
            <w:tcW w:type="dxa" w:w="581"/>
          </w:tcPr>
          <w:p>
            <w:pPr>
              <w:pStyle w:val="Compact"/>
              <w:jc w:val="right"/>
            </w:pPr>
            <w:r>
              <w:t xml:space="preserve">0.454</w:t>
            </w:r>
          </w:p>
        </w:tc>
        <w:tc>
          <w:tcPr>
            <w:tcW w:type="dxa" w:w="581"/>
          </w:tcPr>
          <w:p>
            <w:pPr>
              <w:pStyle w:val="Compact"/>
              <w:jc w:val="right"/>
            </w:pPr>
            <w:r>
              <w:t xml:space="preserve">0.342</w:t>
            </w:r>
          </w:p>
        </w:tc>
        <w:tc>
          <w:tcPr>
            <w:tcW w:type="dxa" w:w="581"/>
          </w:tcPr>
          <w:p>
            <w:pPr>
              <w:pStyle w:val="Compact"/>
              <w:jc w:val="right"/>
            </w:pPr>
            <w:r>
              <w:t xml:space="preserve">0.250</w:t>
            </w:r>
          </w:p>
        </w:tc>
        <w:tc>
          <w:tcPr>
            <w:tcW w:type="dxa" w:w="1163"/>
          </w:tcPr>
          <w:p>
            <w:pPr>
              <w:pStyle w:val="Compact"/>
              <w:jc w:val="right"/>
            </w:pPr>
            <w:r>
              <w:t xml:space="preserve">0.361</w:t>
            </w:r>
          </w:p>
        </w:tc>
        <w:tc>
          <w:tcPr>
            <w:tcW w:type="dxa" w:w="1512"/>
          </w:tcPr>
          <w:p>
            <w:pPr>
              <w:pStyle w:val="Compact"/>
            </w:pPr>
            <w:r>
              <w:rPr>
                <w:b/>
                <w:bCs/>
              </w:rPr>
              <w:t xml:space="preserve">yes</w:t>
            </w:r>
          </w:p>
        </w:tc>
      </w:tr>
    </w:tbl>
    <w:p>
      <w:pPr>
        <w:pStyle w:val="BodyText"/>
      </w:pPr>
      <w:r>
        <w:rPr>
          <w:b/>
          <w:bCs/>
        </w:rPr>
        <w:t xml:space="preserve">Table S15. Region summary: populations and gate outcomes.</w:t>
      </w:r>
      <w:r>
        <w:t xml:space="preserve"> </w:t>
      </w:r>
      <w:r>
        <w:t xml:space="preserve">Counts from each</w:t>
      </w:r>
      <w:r>
        <w:t xml:space="preserve"> </w:t>
      </w:r>
      <w:r>
        <w:t xml:space="preserve">region’s Step 8A dataset statistics; gate fractions from each region’s burned-landcover gate output.</w:t>
      </w:r>
      <w:r>
        <w:t xml:space="preserve"> </w:t>
      </w:r>
      <w:r>
        <w:t xml:space="preserve">TSG = the primary natural-vegetation population. The TSG columns use the canonical modelled</w:t>
      </w:r>
      <w:r>
        <w:t xml:space="preserve"> </w:t>
      </w:r>
      <w:r>
        <w:t xml:space="preserve">population,</w:t>
      </w:r>
      <w:r>
        <w:t xml:space="preserve"> </w:t>
      </w:r>
      <w:r>
        <w:rPr>
          <w:rStyle w:val="VerbatimChar"/>
        </w:rPr>
        <w:t xml:space="preserve">burnable_tree_shrub_grass</w:t>
      </w:r>
      <w:r>
        <w:t xml:space="preserve"> </w:t>
      </w:r>
      <w:r>
        <w:rPr>
          <w:b/>
          <w:bCs/>
        </w:rPr>
        <w:t xml:space="preserve">and</w:t>
      </w:r>
      <w:r>
        <w:t xml:space="preserve"> </w:t>
      </w:r>
      <w:r>
        <w:rPr>
          <w:rStyle w:val="VerbatimChar"/>
        </w:rPr>
        <w:t xml:space="preserve">valid_for_modeling == True</w:t>
      </w:r>
      <w:r>
        <w:t xml:space="preserve">, which is the</w:t>
      </w:r>
      <w:r>
        <w:t xml:space="preserve"> </w:t>
      </w:r>
      <w:r>
        <w:t xml:space="preserve">population every model in this paper was fitted and scored on. Corrected Manavgat label. Counts are</w:t>
      </w:r>
      <w:r>
        <w:t xml:space="preserve"> </w:t>
      </w:r>
      <w:r>
        <w:t xml:space="preserve">computed from the step8a tables and gate fractions read from each region’s gate output</w:t>
      </w:r>
      <w:r>
        <w:t xml:space="preserve"> </w:t>
      </w:r>
      <w:r>
        <w:t xml:space="preserve">(</w:t>
      </w:r>
      <w:r>
        <w:rPr>
          <w:rStyle w:val="VerbatimChar"/>
        </w:rPr>
        <w:t xml:space="preserve">paper/labelfix_rerun/round5/tables/corrected/gates/</w:t>
      </w:r>
      <w:r>
        <w:t xml:space="preserve">). Checked row by row by</w:t>
      </w:r>
      <w:r>
        <w:t xml:space="preserve"> </w:t>
      </w:r>
      <w:r>
        <w:rPr>
          <w:rStyle w:val="VerbatimChar"/>
        </w:rPr>
        <w:t xml:space="preserve">paper/code/appendix_tables.py</w:t>
      </w:r>
      <w:r>
        <w:t xml:space="preserve">.</w:t>
      </w:r>
    </w:p>
    <w:tbl>
      <w:tblPr>
        <w:tblStyle w:val="Table"/>
        <w:tblW w:type="auto" w:w="0"/>
        <w:tblLook w:firstRow="1" w:lastRow="0" w:firstColumn="0" w:lastColumn="0" w:noHBand="0" w:noVBand="0" w:val="0020"/>
      </w:tblPr>
      <w:tblGrid>
        <w:gridCol w:w="1562"/>
        <w:gridCol w:w="661"/>
        <w:gridCol w:w="661"/>
        <w:gridCol w:w="360"/>
        <w:gridCol w:w="1321"/>
        <w:gridCol w:w="541"/>
        <w:gridCol w:w="781"/>
        <w:gridCol w:w="841"/>
        <w:gridCol w:w="1622"/>
        <w:gridCol w:w="721"/>
      </w:tblGrid>
      <w:tr>
        <w:trPr>
          <w:tblHeader w:val="on"/>
        </w:trPr>
        <w:tc>
          <w:tcPr>
            <w:tcW w:type="dxa" w:w="1562"/>
          </w:tcPr>
          <w:p>
            <w:pPr>
              <w:pStyle w:val="Compact"/>
            </w:pPr>
            <w:r>
              <w:t xml:space="preserve">Region</w:t>
            </w:r>
          </w:p>
        </w:tc>
        <w:tc>
          <w:tcPr>
            <w:tcW w:type="dxa" w:w="661"/>
          </w:tcPr>
          <w:p>
            <w:pPr>
              <w:pStyle w:val="Compact"/>
            </w:pPr>
            <w:r>
              <w:t xml:space="preserve">Total cells</w:t>
            </w:r>
          </w:p>
        </w:tc>
        <w:tc>
          <w:tcPr>
            <w:tcW w:type="dxa" w:w="661"/>
          </w:tcPr>
          <w:p>
            <w:pPr>
              <w:pStyle w:val="Compact"/>
            </w:pPr>
            <w:r>
              <w:t xml:space="preserve">Valid cells</w:t>
            </w:r>
          </w:p>
        </w:tc>
        <w:tc>
          <w:tcPr>
            <w:tcW w:type="dxa" w:w="360"/>
          </w:tcPr>
          <w:p>
            <w:pPr>
              <w:pStyle w:val="Compact"/>
            </w:pPr>
            <w:r>
              <w:t xml:space="preserve">Burned</w:t>
            </w:r>
          </w:p>
        </w:tc>
        <w:tc>
          <w:tcPr>
            <w:tcW w:type="dxa" w:w="1321"/>
          </w:tcPr>
          <w:p>
            <w:pPr>
              <w:pStyle w:val="Compact"/>
            </w:pPr>
            <w:r>
              <w:t xml:space="preserve">Prevalence (all valid)</w:t>
            </w:r>
          </w:p>
        </w:tc>
        <w:tc>
          <w:tcPr>
            <w:tcW w:type="dxa" w:w="541"/>
          </w:tcPr>
          <w:p>
            <w:pPr>
              <w:pStyle w:val="Compact"/>
            </w:pPr>
            <w:r>
              <w:t xml:space="preserve">TSG cells</w:t>
            </w:r>
          </w:p>
        </w:tc>
        <w:tc>
          <w:tcPr>
            <w:tcW w:type="dxa" w:w="781"/>
          </w:tcPr>
          <w:p>
            <w:pPr>
              <w:pStyle w:val="Compact"/>
            </w:pPr>
            <w:r>
              <w:t xml:space="preserve">Burned in TSG</w:t>
            </w:r>
          </w:p>
        </w:tc>
        <w:tc>
          <w:tcPr>
            <w:tcW w:type="dxa" w:w="841"/>
          </w:tcPr>
          <w:p>
            <w:pPr>
              <w:pStyle w:val="Compact"/>
            </w:pPr>
            <w:r>
              <w:t xml:space="preserve">TSG prevalence</w:t>
            </w:r>
          </w:p>
        </w:tc>
        <w:tc>
          <w:tcPr>
            <w:tcW w:type="dxa" w:w="1622"/>
          </w:tcPr>
          <w:p>
            <w:pPr>
              <w:pStyle w:val="Compact"/>
            </w:pPr>
            <w:r>
              <w:t xml:space="preserve">Burned natural-veg fraction</w:t>
            </w:r>
          </w:p>
        </w:tc>
        <w:tc>
          <w:tcPr>
            <w:tcW w:type="dxa" w:w="721"/>
          </w:tcPr>
          <w:p>
            <w:pPr>
              <w:pStyle w:val="Compact"/>
            </w:pPr>
            <w:r>
              <w:t xml:space="preserve">Gate verdict</w:t>
            </w:r>
          </w:p>
        </w:tc>
      </w:tr>
      <w:tr>
        <w:tc>
          <w:tcPr>
            <w:tcW w:type="dxa" w:w="1562"/>
          </w:tcPr>
          <w:p>
            <w:pPr>
              <w:pStyle w:val="Compact"/>
            </w:pPr>
            <w:r>
              <w:t xml:space="preserve">Manavgat 2021</w:t>
            </w:r>
          </w:p>
        </w:tc>
        <w:tc>
          <w:tcPr>
            <w:tcW w:type="dxa" w:w="661"/>
          </w:tcPr>
          <w:p>
            <w:pPr>
              <w:pStyle w:val="Compact"/>
            </w:pPr>
            <w:r>
              <w:t xml:space="preserve">24,150</w:t>
            </w:r>
          </w:p>
        </w:tc>
        <w:tc>
          <w:tcPr>
            <w:tcW w:type="dxa" w:w="661"/>
          </w:tcPr>
          <w:p>
            <w:pPr>
              <w:pStyle w:val="Compact"/>
            </w:pPr>
            <w:r>
              <w:t xml:space="preserve">24,087</w:t>
            </w:r>
          </w:p>
        </w:tc>
        <w:tc>
          <w:tcPr>
            <w:tcW w:type="dxa" w:w="360"/>
          </w:tcPr>
          <w:p>
            <w:pPr>
              <w:pStyle w:val="Compact"/>
            </w:pPr>
            <w:r>
              <w:t xml:space="preserve">3,046</w:t>
            </w:r>
          </w:p>
        </w:tc>
        <w:tc>
          <w:tcPr>
            <w:tcW w:type="dxa" w:w="1321"/>
          </w:tcPr>
          <w:p>
            <w:pPr>
              <w:pStyle w:val="Compact"/>
            </w:pPr>
            <w:r>
              <w:t xml:space="preserve">0.126</w:t>
            </w:r>
          </w:p>
        </w:tc>
        <w:tc>
          <w:tcPr>
            <w:tcW w:type="dxa" w:w="541"/>
          </w:tcPr>
          <w:p>
            <w:pPr>
              <w:pStyle w:val="Compact"/>
            </w:pPr>
            <w:r>
              <w:t xml:space="preserve">20,511</w:t>
            </w:r>
          </w:p>
        </w:tc>
        <w:tc>
          <w:tcPr>
            <w:tcW w:type="dxa" w:w="781"/>
          </w:tcPr>
          <w:p>
            <w:pPr>
              <w:pStyle w:val="Compact"/>
            </w:pPr>
            <w:r>
              <w:t xml:space="preserve">2,935</w:t>
            </w:r>
          </w:p>
        </w:tc>
        <w:tc>
          <w:tcPr>
            <w:tcW w:type="dxa" w:w="841"/>
          </w:tcPr>
          <w:p>
            <w:pPr>
              <w:pStyle w:val="Compact"/>
            </w:pPr>
            <w:r>
              <w:t xml:space="preserve">0.143</w:t>
            </w:r>
          </w:p>
        </w:tc>
        <w:tc>
          <w:tcPr>
            <w:tcW w:type="dxa" w:w="1622"/>
          </w:tcPr>
          <w:p>
            <w:pPr>
              <w:pStyle w:val="Compact"/>
            </w:pPr>
            <w:r>
              <w:t xml:space="preserve">0.955</w:t>
            </w:r>
          </w:p>
        </w:tc>
        <w:tc>
          <w:tcPr>
            <w:tcW w:type="dxa" w:w="721"/>
          </w:tcPr>
          <w:p>
            <w:pPr>
              <w:pStyle w:val="Compact"/>
            </w:pPr>
            <w:r>
              <w:t xml:space="preserve">pass</w:t>
            </w:r>
          </w:p>
        </w:tc>
      </w:tr>
      <w:tr>
        <w:tc>
          <w:tcPr>
            <w:tcW w:type="dxa" w:w="1562"/>
          </w:tcPr>
          <w:p>
            <w:pPr>
              <w:pStyle w:val="Compact"/>
            </w:pPr>
            <w:r>
              <w:t xml:space="preserve">Bejís 2022</w:t>
            </w:r>
          </w:p>
        </w:tc>
        <w:tc>
          <w:tcPr>
            <w:tcW w:type="dxa" w:w="661"/>
          </w:tcPr>
          <w:p>
            <w:pPr>
              <w:pStyle w:val="Compact"/>
            </w:pPr>
            <w:r>
              <w:t xml:space="preserve">15,759</w:t>
            </w:r>
          </w:p>
        </w:tc>
        <w:tc>
          <w:tcPr>
            <w:tcW w:type="dxa" w:w="661"/>
          </w:tcPr>
          <w:p>
            <w:pPr>
              <w:pStyle w:val="Compact"/>
            </w:pPr>
            <w:r>
              <w:t xml:space="preserve">15,759</w:t>
            </w:r>
          </w:p>
        </w:tc>
        <w:tc>
          <w:tcPr>
            <w:tcW w:type="dxa" w:w="360"/>
          </w:tcPr>
          <w:p>
            <w:pPr>
              <w:pStyle w:val="Compact"/>
            </w:pPr>
            <w:r>
              <w:t xml:space="preserve">1,103</w:t>
            </w:r>
          </w:p>
        </w:tc>
        <w:tc>
          <w:tcPr>
            <w:tcW w:type="dxa" w:w="1321"/>
          </w:tcPr>
          <w:p>
            <w:pPr>
              <w:pStyle w:val="Compact"/>
            </w:pPr>
            <w:r>
              <w:t xml:space="preserve">0.070</w:t>
            </w:r>
          </w:p>
        </w:tc>
        <w:tc>
          <w:tcPr>
            <w:tcW w:type="dxa" w:w="541"/>
          </w:tcPr>
          <w:p>
            <w:pPr>
              <w:pStyle w:val="Compact"/>
            </w:pPr>
            <w:r>
              <w:t xml:space="preserve">15,190</w:t>
            </w:r>
          </w:p>
        </w:tc>
        <w:tc>
          <w:tcPr>
            <w:tcW w:type="dxa" w:w="781"/>
          </w:tcPr>
          <w:p>
            <w:pPr>
              <w:pStyle w:val="Compact"/>
            </w:pPr>
            <w:r>
              <w:t xml:space="preserve">1,100</w:t>
            </w:r>
          </w:p>
        </w:tc>
        <w:tc>
          <w:tcPr>
            <w:tcW w:type="dxa" w:w="841"/>
          </w:tcPr>
          <w:p>
            <w:pPr>
              <w:pStyle w:val="Compact"/>
            </w:pPr>
            <w:r>
              <w:t xml:space="preserve">0.072</w:t>
            </w:r>
          </w:p>
        </w:tc>
        <w:tc>
          <w:tcPr>
            <w:tcW w:type="dxa" w:w="1622"/>
          </w:tcPr>
          <w:p>
            <w:pPr>
              <w:pStyle w:val="Compact"/>
            </w:pPr>
            <w:r>
              <w:t xml:space="preserve">0.991</w:t>
            </w:r>
          </w:p>
        </w:tc>
        <w:tc>
          <w:tcPr>
            <w:tcW w:type="dxa" w:w="721"/>
          </w:tcPr>
          <w:p>
            <w:pPr>
              <w:pStyle w:val="Compact"/>
            </w:pPr>
            <w:r>
              <w:t xml:space="preserve">pass</w:t>
            </w:r>
          </w:p>
        </w:tc>
      </w:tr>
      <w:tr>
        <w:tc>
          <w:tcPr>
            <w:tcW w:type="dxa" w:w="1562"/>
          </w:tcPr>
          <w:p>
            <w:pPr>
              <w:pStyle w:val="Compact"/>
            </w:pPr>
            <w:r>
              <w:t xml:space="preserve">Muğla 2021</w:t>
            </w:r>
          </w:p>
        </w:tc>
        <w:tc>
          <w:tcPr>
            <w:tcW w:type="dxa" w:w="661"/>
          </w:tcPr>
          <w:p>
            <w:pPr>
              <w:pStyle w:val="Compact"/>
            </w:pPr>
            <w:r>
              <w:t xml:space="preserve">73,098</w:t>
            </w:r>
          </w:p>
        </w:tc>
        <w:tc>
          <w:tcPr>
            <w:tcW w:type="dxa" w:w="661"/>
          </w:tcPr>
          <w:p>
            <w:pPr>
              <w:pStyle w:val="Compact"/>
            </w:pPr>
            <w:r>
              <w:t xml:space="preserve">73,045</w:t>
            </w:r>
          </w:p>
        </w:tc>
        <w:tc>
          <w:tcPr>
            <w:tcW w:type="dxa" w:w="360"/>
          </w:tcPr>
          <w:p>
            <w:pPr>
              <w:pStyle w:val="Compact"/>
            </w:pPr>
            <w:r>
              <w:t xml:space="preserve">3,026</w:t>
            </w:r>
          </w:p>
        </w:tc>
        <w:tc>
          <w:tcPr>
            <w:tcW w:type="dxa" w:w="1321"/>
          </w:tcPr>
          <w:p>
            <w:pPr>
              <w:pStyle w:val="Compact"/>
            </w:pPr>
            <w:r>
              <w:t xml:space="preserve">0.041</w:t>
            </w:r>
          </w:p>
        </w:tc>
        <w:tc>
          <w:tcPr>
            <w:tcW w:type="dxa" w:w="541"/>
          </w:tcPr>
          <w:p>
            <w:pPr>
              <w:pStyle w:val="Compact"/>
            </w:pPr>
            <w:r>
              <w:t xml:space="preserve">41,730</w:t>
            </w:r>
          </w:p>
        </w:tc>
        <w:tc>
          <w:tcPr>
            <w:tcW w:type="dxa" w:w="781"/>
          </w:tcPr>
          <w:p>
            <w:pPr>
              <w:pStyle w:val="Compact"/>
            </w:pPr>
            <w:r>
              <w:t xml:space="preserve">2,911</w:t>
            </w:r>
          </w:p>
        </w:tc>
        <w:tc>
          <w:tcPr>
            <w:tcW w:type="dxa" w:w="841"/>
          </w:tcPr>
          <w:p>
            <w:pPr>
              <w:pStyle w:val="Compact"/>
            </w:pPr>
            <w:r>
              <w:t xml:space="preserve">0.070</w:t>
            </w:r>
          </w:p>
        </w:tc>
        <w:tc>
          <w:tcPr>
            <w:tcW w:type="dxa" w:w="1622"/>
          </w:tcPr>
          <w:p>
            <w:pPr>
              <w:pStyle w:val="Compact"/>
            </w:pPr>
            <w:r>
              <w:t xml:space="preserve">0.958</w:t>
            </w:r>
          </w:p>
        </w:tc>
        <w:tc>
          <w:tcPr>
            <w:tcW w:type="dxa" w:w="721"/>
          </w:tcPr>
          <w:p>
            <w:pPr>
              <w:pStyle w:val="Compact"/>
            </w:pPr>
            <w:r>
              <w:t xml:space="preserve">pass</w:t>
            </w:r>
          </w:p>
        </w:tc>
      </w:tr>
      <w:tr>
        <w:tc>
          <w:tcPr>
            <w:tcW w:type="dxa" w:w="1562"/>
          </w:tcPr>
          <w:p>
            <w:pPr>
              <w:pStyle w:val="Compact"/>
            </w:pPr>
            <w:r>
              <w:t xml:space="preserve">North Evia 2021 (extended)</w:t>
            </w:r>
          </w:p>
        </w:tc>
        <w:tc>
          <w:tcPr>
            <w:tcW w:type="dxa" w:w="661"/>
          </w:tcPr>
          <w:p>
            <w:pPr>
              <w:pStyle w:val="Compact"/>
            </w:pPr>
            <w:r>
              <w:t xml:space="preserve">22,925</w:t>
            </w:r>
          </w:p>
        </w:tc>
        <w:tc>
          <w:tcPr>
            <w:tcW w:type="dxa" w:w="661"/>
          </w:tcPr>
          <w:p>
            <w:pPr>
              <w:pStyle w:val="Compact"/>
            </w:pPr>
            <w:r>
              <w:t xml:space="preserve">22,906</w:t>
            </w:r>
          </w:p>
        </w:tc>
        <w:tc>
          <w:tcPr>
            <w:tcW w:type="dxa" w:w="360"/>
          </w:tcPr>
          <w:p>
            <w:pPr>
              <w:pStyle w:val="Compact"/>
            </w:pPr>
            <w:r>
              <w:t xml:space="preserve">2,788</w:t>
            </w:r>
          </w:p>
        </w:tc>
        <w:tc>
          <w:tcPr>
            <w:tcW w:type="dxa" w:w="1321"/>
          </w:tcPr>
          <w:p>
            <w:pPr>
              <w:pStyle w:val="Compact"/>
            </w:pPr>
            <w:r>
              <w:t xml:space="preserve">0.122</w:t>
            </w:r>
          </w:p>
        </w:tc>
        <w:tc>
          <w:tcPr>
            <w:tcW w:type="dxa" w:w="541"/>
          </w:tcPr>
          <w:p>
            <w:pPr>
              <w:pStyle w:val="Compact"/>
            </w:pPr>
            <w:r>
              <w:t xml:space="preserve">9,298</w:t>
            </w:r>
          </w:p>
        </w:tc>
        <w:tc>
          <w:tcPr>
            <w:tcW w:type="dxa" w:w="781"/>
          </w:tcPr>
          <w:p>
            <w:pPr>
              <w:pStyle w:val="Compact"/>
            </w:pPr>
            <w:r>
              <w:t xml:space="preserve">2,664</w:t>
            </w:r>
          </w:p>
        </w:tc>
        <w:tc>
          <w:tcPr>
            <w:tcW w:type="dxa" w:w="841"/>
          </w:tcPr>
          <w:p>
            <w:pPr>
              <w:pStyle w:val="Compact"/>
            </w:pPr>
            <w:r>
              <w:t xml:space="preserve">0.287</w:t>
            </w:r>
          </w:p>
        </w:tc>
        <w:tc>
          <w:tcPr>
            <w:tcW w:type="dxa" w:w="1622"/>
          </w:tcPr>
          <w:p>
            <w:pPr>
              <w:pStyle w:val="Compact"/>
            </w:pPr>
            <w:r>
              <w:t xml:space="preserve">0.945</w:t>
            </w:r>
          </w:p>
        </w:tc>
        <w:tc>
          <w:tcPr>
            <w:tcW w:type="dxa" w:w="721"/>
          </w:tcPr>
          <w:p>
            <w:pPr>
              <w:pStyle w:val="Compact"/>
            </w:pPr>
            <w:r>
              <w:t xml:space="preserve">pass</w:t>
            </w:r>
          </w:p>
        </w:tc>
      </w:tr>
      <w:tr>
        <w:tc>
          <w:tcPr>
            <w:tcW w:type="dxa" w:w="1562"/>
          </w:tcPr>
          <w:p>
            <w:pPr>
              <w:pStyle w:val="Compact"/>
            </w:pPr>
            <w:r>
              <w:t xml:space="preserve">Montiferru 2021</w:t>
            </w:r>
          </w:p>
        </w:tc>
        <w:tc>
          <w:tcPr>
            <w:tcW w:type="dxa" w:w="661"/>
          </w:tcPr>
          <w:p>
            <w:pPr>
              <w:pStyle w:val="Compact"/>
            </w:pPr>
            <w:r>
              <w:t xml:space="preserve">3,234</w:t>
            </w:r>
          </w:p>
        </w:tc>
        <w:tc>
          <w:tcPr>
            <w:tcW w:type="dxa" w:w="661"/>
          </w:tcPr>
          <w:p>
            <w:pPr>
              <w:pStyle w:val="Compact"/>
            </w:pPr>
            <w:r>
              <w:t xml:space="preserve">3,173</w:t>
            </w:r>
          </w:p>
        </w:tc>
        <w:tc>
          <w:tcPr>
            <w:tcW w:type="dxa" w:w="360"/>
          </w:tcPr>
          <w:p>
            <w:pPr>
              <w:pStyle w:val="Compact"/>
            </w:pPr>
            <w:r>
              <w:t xml:space="preserve">697</w:t>
            </w:r>
          </w:p>
        </w:tc>
        <w:tc>
          <w:tcPr>
            <w:tcW w:type="dxa" w:w="1321"/>
          </w:tcPr>
          <w:p>
            <w:pPr>
              <w:pStyle w:val="Compact"/>
            </w:pPr>
            <w:r>
              <w:t xml:space="preserve">0.220</w:t>
            </w:r>
          </w:p>
        </w:tc>
        <w:tc>
          <w:tcPr>
            <w:tcW w:type="dxa" w:w="541"/>
          </w:tcPr>
          <w:p>
            <w:pPr>
              <w:pStyle w:val="Compact"/>
            </w:pPr>
            <w:r>
              <w:t xml:space="preserve">2,544</w:t>
            </w:r>
          </w:p>
        </w:tc>
        <w:tc>
          <w:tcPr>
            <w:tcW w:type="dxa" w:w="781"/>
          </w:tcPr>
          <w:p>
            <w:pPr>
              <w:pStyle w:val="Compact"/>
            </w:pPr>
            <w:r>
              <w:t xml:space="preserve">539</w:t>
            </w:r>
          </w:p>
        </w:tc>
        <w:tc>
          <w:tcPr>
            <w:tcW w:type="dxa" w:w="841"/>
          </w:tcPr>
          <w:p>
            <w:pPr>
              <w:pStyle w:val="Compact"/>
            </w:pPr>
            <w:r>
              <w:t xml:space="preserve">0.212</w:t>
            </w:r>
          </w:p>
        </w:tc>
        <w:tc>
          <w:tcPr>
            <w:tcW w:type="dxa" w:w="1622"/>
          </w:tcPr>
          <w:p>
            <w:pPr>
              <w:pStyle w:val="Compact"/>
            </w:pPr>
            <w:r>
              <w:t xml:space="preserve">0.723</w:t>
            </w:r>
          </w:p>
        </w:tc>
        <w:tc>
          <w:tcPr>
            <w:tcW w:type="dxa" w:w="721"/>
          </w:tcPr>
          <w:p>
            <w:pPr>
              <w:pStyle w:val="Compact"/>
            </w:pPr>
            <w:r>
              <w:t xml:space="preserve">pass</w:t>
            </w:r>
          </w:p>
        </w:tc>
      </w:tr>
    </w:tbl>
    <w:p>
      <w:pPr>
        <w:pStyle w:val="BodyText"/>
      </w:pPr>
      <w:r>
        <w:rPr>
          <w:b/>
          <w:bCs/>
        </w:rPr>
        <w:t xml:space="preserve">Table S16. Cross-region transfer matrix, thermal model, TSG population.</w:t>
      </w:r>
      <w:r>
        <w:t xml:space="preserve"> </w:t>
      </w:r>
      <w:r>
        <w:t xml:space="preserve">Target ROC-AUC with 2-cell</w:t>
      </w:r>
      <w:r>
        <w:t xml:space="preserve"> </w:t>
      </w:r>
      <w:r>
        <w:t xml:space="preserve">spatial-block bootstrap 95% CIs (1000 replicates). CORAL is applied after region-wise z-scoring (λ =</w:t>
      </w:r>
      <w:r>
        <w:t xml:space="preserve"> </w:t>
      </w:r>
      <w:r>
        <w:t xml:space="preserve">10⁻⁵). Updated 2026-09-23 for the corrected Manavgat label: the eight Manavgat rows are regenerated</w:t>
      </w:r>
      <w:r>
        <w:t xml:space="preserve"> </w:t>
      </w:r>
      <w:r>
        <w:t xml:space="preserve">by</w:t>
      </w:r>
      <w:r>
        <w:t xml:space="preserve"> </w:t>
      </w:r>
      <w:r>
        <w:rPr>
          <w:rStyle w:val="VerbatimChar"/>
        </w:rPr>
        <w:t xml:space="preserve">paper/code/table_b9.py</w:t>
      </w:r>
      <w:r>
        <w:t xml:space="preserve"> </w:t>
      </w:r>
      <w:r>
        <w:t xml:space="preserve">from the re-frozen outputs, and the twelve others are unchanged. The same</w:t>
      </w:r>
      <w:r>
        <w:t xml:space="preserve"> </w:t>
      </w:r>
      <w:r>
        <w:t xml:space="preserve">script reproduces the frozen table exactly from</w:t>
      </w:r>
      <w:r>
        <w:t xml:space="preserve"> </w:t>
      </w:r>
      <w:r>
        <w:rPr>
          <w:rStyle w:val="VerbatimChar"/>
        </w:rPr>
        <w:t xml:space="preserve">drive_new</w:t>
      </w:r>
      <w:r>
        <w:t xml:space="preserve">.</w:t>
      </w:r>
    </w:p>
    <w:tbl>
      <w:tblPr>
        <w:tblStyle w:val="Table"/>
        <w:tblW w:type="auto" w:w="0"/>
        <w:tblLook w:firstRow="1" w:lastRow="0" w:firstColumn="0" w:lastColumn="0" w:noHBand="0" w:noVBand="0" w:val="0020"/>
      </w:tblPr>
      <w:tblGrid>
        <w:gridCol w:w="2181"/>
        <w:gridCol w:w="2296"/>
        <w:gridCol w:w="2296"/>
        <w:gridCol w:w="2296"/>
      </w:tblGrid>
      <w:tr>
        <w:trPr>
          <w:tblHeader w:val="on"/>
        </w:trPr>
        <w:tc>
          <w:tcPr>
            <w:tcW w:type="dxa" w:w="2181"/>
          </w:tcPr>
          <w:p>
            <w:pPr>
              <w:pStyle w:val="Compact"/>
            </w:pPr>
            <w:r>
              <w:t xml:space="preserve">Direction</w:t>
            </w:r>
          </w:p>
        </w:tc>
        <w:tc>
          <w:tcPr>
            <w:tcW w:type="dxa" w:w="2296"/>
          </w:tcPr>
          <w:p>
            <w:pPr>
              <w:pStyle w:val="Compact"/>
            </w:pPr>
            <w:r>
              <w:t xml:space="preserve">Raw</w:t>
            </w:r>
          </w:p>
        </w:tc>
        <w:tc>
          <w:tcPr>
            <w:tcW w:type="dxa" w:w="2296"/>
          </w:tcPr>
          <w:p>
            <w:pPr>
              <w:pStyle w:val="Compact"/>
            </w:pPr>
            <w:r>
              <w:t xml:space="preserve">Region-wise z-score</w:t>
            </w:r>
          </w:p>
        </w:tc>
        <w:tc>
          <w:tcPr>
            <w:tcW w:type="dxa" w:w="2296"/>
          </w:tcPr>
          <w:p>
            <w:pPr>
              <w:pStyle w:val="Compact"/>
            </w:pPr>
            <w:r>
              <w:t xml:space="preserve">CORAL</w:t>
            </w:r>
          </w:p>
        </w:tc>
      </w:tr>
      <w:tr>
        <w:tc>
          <w:tcPr>
            <w:tcW w:type="dxa" w:w="2181"/>
          </w:tcPr>
          <w:p>
            <w:pPr>
              <w:pStyle w:val="Compact"/>
            </w:pPr>
            <w:r>
              <w:t xml:space="preserve">Manavgat→Bejís</w:t>
            </w:r>
          </w:p>
        </w:tc>
        <w:tc>
          <w:tcPr>
            <w:tcW w:type="dxa" w:w="2296"/>
          </w:tcPr>
          <w:p>
            <w:pPr>
              <w:pStyle w:val="Compact"/>
            </w:pPr>
            <w:r>
              <w:t xml:space="preserve">0.396 [0.373, 0.422]</w:t>
            </w:r>
          </w:p>
        </w:tc>
        <w:tc>
          <w:tcPr>
            <w:tcW w:type="dxa" w:w="2296"/>
          </w:tcPr>
          <w:p>
            <w:pPr>
              <w:pStyle w:val="Compact"/>
            </w:pPr>
            <w:r>
              <w:t xml:space="preserve">0.450 [0.423, 0.477]</w:t>
            </w:r>
          </w:p>
        </w:tc>
        <w:tc>
          <w:tcPr>
            <w:tcW w:type="dxa" w:w="2296"/>
          </w:tcPr>
          <w:p>
            <w:pPr>
              <w:pStyle w:val="Compact"/>
            </w:pPr>
            <w:r>
              <w:t xml:space="preserve">0.467 [0.441, 0.491]</w:t>
            </w:r>
          </w:p>
        </w:tc>
      </w:tr>
      <w:tr>
        <w:tc>
          <w:tcPr>
            <w:tcW w:type="dxa" w:w="2181"/>
          </w:tcPr>
          <w:p>
            <w:pPr>
              <w:pStyle w:val="Compact"/>
            </w:pPr>
            <w:r>
              <w:t xml:space="preserve">Bejís→Manavgat</w:t>
            </w:r>
          </w:p>
        </w:tc>
        <w:tc>
          <w:tcPr>
            <w:tcW w:type="dxa" w:w="2296"/>
          </w:tcPr>
          <w:p>
            <w:pPr>
              <w:pStyle w:val="Compact"/>
            </w:pPr>
            <w:r>
              <w:t xml:space="preserve">0.314 [0.296, 0.332]</w:t>
            </w:r>
          </w:p>
        </w:tc>
        <w:tc>
          <w:tcPr>
            <w:tcW w:type="dxa" w:w="2296"/>
          </w:tcPr>
          <w:p>
            <w:pPr>
              <w:pStyle w:val="Compact"/>
            </w:pPr>
            <w:r>
              <w:t xml:space="preserve">0.302 [0.282, 0.323]</w:t>
            </w:r>
          </w:p>
        </w:tc>
        <w:tc>
          <w:tcPr>
            <w:tcW w:type="dxa" w:w="2296"/>
          </w:tcPr>
          <w:p>
            <w:pPr>
              <w:pStyle w:val="Compact"/>
            </w:pPr>
            <w:r>
              <w:t xml:space="preserve">0.406 [0.388, 0.423]</w:t>
            </w:r>
          </w:p>
        </w:tc>
      </w:tr>
      <w:tr>
        <w:tc>
          <w:tcPr>
            <w:tcW w:type="dxa" w:w="2181"/>
          </w:tcPr>
          <w:p>
            <w:pPr>
              <w:pStyle w:val="Compact"/>
            </w:pPr>
            <w:r>
              <w:t xml:space="preserve">Manavgat→Muğla</w:t>
            </w:r>
          </w:p>
        </w:tc>
        <w:tc>
          <w:tcPr>
            <w:tcW w:type="dxa" w:w="2296"/>
          </w:tcPr>
          <w:p>
            <w:pPr>
              <w:pStyle w:val="Compact"/>
            </w:pPr>
            <w:r>
              <w:t xml:space="preserve">0.438 [0.418, 0.456]</w:t>
            </w:r>
          </w:p>
        </w:tc>
        <w:tc>
          <w:tcPr>
            <w:tcW w:type="dxa" w:w="2296"/>
          </w:tcPr>
          <w:p>
            <w:pPr>
              <w:pStyle w:val="Compact"/>
            </w:pPr>
            <w:r>
              <w:t xml:space="preserve">0.427 [0.408, 0.444]</w:t>
            </w:r>
          </w:p>
        </w:tc>
        <w:tc>
          <w:tcPr>
            <w:tcW w:type="dxa" w:w="2296"/>
          </w:tcPr>
          <w:p>
            <w:pPr>
              <w:pStyle w:val="Compact"/>
            </w:pPr>
            <w:r>
              <w:t xml:space="preserve">0.417 [0.398, 0.436]</w:t>
            </w:r>
          </w:p>
        </w:tc>
      </w:tr>
      <w:tr>
        <w:tc>
          <w:tcPr>
            <w:tcW w:type="dxa" w:w="2181"/>
          </w:tcPr>
          <w:p>
            <w:pPr>
              <w:pStyle w:val="Compact"/>
            </w:pPr>
            <w:r>
              <w:t xml:space="preserve">Muğla→Manavgat</w:t>
            </w:r>
          </w:p>
        </w:tc>
        <w:tc>
          <w:tcPr>
            <w:tcW w:type="dxa" w:w="2296"/>
          </w:tcPr>
          <w:p>
            <w:pPr>
              <w:pStyle w:val="Compact"/>
            </w:pPr>
            <w:r>
              <w:t xml:space="preserve">0.345 [0.331, 0.359]</w:t>
            </w:r>
          </w:p>
        </w:tc>
        <w:tc>
          <w:tcPr>
            <w:tcW w:type="dxa" w:w="2296"/>
          </w:tcPr>
          <w:p>
            <w:pPr>
              <w:pStyle w:val="Compact"/>
            </w:pPr>
            <w:r>
              <w:t xml:space="preserve">0.485 [0.468, 0.502]</w:t>
            </w:r>
          </w:p>
        </w:tc>
        <w:tc>
          <w:tcPr>
            <w:tcW w:type="dxa" w:w="2296"/>
          </w:tcPr>
          <w:p>
            <w:pPr>
              <w:pStyle w:val="Compact"/>
            </w:pPr>
            <w:r>
              <w:t xml:space="preserve">0.476 [0.460, 0.493]</w:t>
            </w:r>
          </w:p>
        </w:tc>
      </w:tr>
      <w:tr>
        <w:tc>
          <w:tcPr>
            <w:tcW w:type="dxa" w:w="2181"/>
          </w:tcPr>
          <w:p>
            <w:pPr>
              <w:pStyle w:val="Compact"/>
            </w:pPr>
            <w:r>
              <w:t xml:space="preserve">Manavgat→Evia</w:t>
            </w:r>
          </w:p>
        </w:tc>
        <w:tc>
          <w:tcPr>
            <w:tcW w:type="dxa" w:w="2296"/>
          </w:tcPr>
          <w:p>
            <w:pPr>
              <w:pStyle w:val="Compact"/>
            </w:pPr>
            <w:r>
              <w:t xml:space="preserve">0.654 [0.633, 0.676]</w:t>
            </w:r>
          </w:p>
        </w:tc>
        <w:tc>
          <w:tcPr>
            <w:tcW w:type="dxa" w:w="2296"/>
          </w:tcPr>
          <w:p>
            <w:pPr>
              <w:pStyle w:val="Compact"/>
            </w:pPr>
            <w:r>
              <w:t xml:space="preserve">0.529 [0.504, 0.553]</w:t>
            </w:r>
          </w:p>
        </w:tc>
        <w:tc>
          <w:tcPr>
            <w:tcW w:type="dxa" w:w="2296"/>
          </w:tcPr>
          <w:p>
            <w:pPr>
              <w:pStyle w:val="Compact"/>
            </w:pPr>
            <w:r>
              <w:t xml:space="preserve">0.504 [0.481, 0.528]</w:t>
            </w:r>
          </w:p>
        </w:tc>
      </w:tr>
      <w:tr>
        <w:tc>
          <w:tcPr>
            <w:tcW w:type="dxa" w:w="2181"/>
          </w:tcPr>
          <w:p>
            <w:pPr>
              <w:pStyle w:val="Compact"/>
            </w:pPr>
            <w:r>
              <w:t xml:space="preserve">Evia→Manavgat</w:t>
            </w:r>
          </w:p>
        </w:tc>
        <w:tc>
          <w:tcPr>
            <w:tcW w:type="dxa" w:w="2296"/>
          </w:tcPr>
          <w:p>
            <w:pPr>
              <w:pStyle w:val="Compact"/>
            </w:pPr>
            <w:r>
              <w:t xml:space="preserve">0.677 [0.658, 0.697]</w:t>
            </w:r>
          </w:p>
        </w:tc>
        <w:tc>
          <w:tcPr>
            <w:tcW w:type="dxa" w:w="2296"/>
          </w:tcPr>
          <w:p>
            <w:pPr>
              <w:pStyle w:val="Compact"/>
            </w:pPr>
            <w:r>
              <w:t xml:space="preserve">0.404 [0.386, 0.421]</w:t>
            </w:r>
          </w:p>
        </w:tc>
        <w:tc>
          <w:tcPr>
            <w:tcW w:type="dxa" w:w="2296"/>
          </w:tcPr>
          <w:p>
            <w:pPr>
              <w:pStyle w:val="Compact"/>
            </w:pPr>
            <w:r>
              <w:t xml:space="preserve">0.417 [0.399, 0.435]</w:t>
            </w:r>
          </w:p>
        </w:tc>
      </w:tr>
      <w:tr>
        <w:tc>
          <w:tcPr>
            <w:tcW w:type="dxa" w:w="2181"/>
          </w:tcPr>
          <w:p>
            <w:pPr>
              <w:pStyle w:val="Compact"/>
            </w:pPr>
            <w:r>
              <w:t xml:space="preserve">Bejís→Muğla</w:t>
            </w:r>
          </w:p>
        </w:tc>
        <w:tc>
          <w:tcPr>
            <w:tcW w:type="dxa" w:w="2296"/>
          </w:tcPr>
          <w:p>
            <w:pPr>
              <w:pStyle w:val="Compact"/>
            </w:pPr>
            <w:r>
              <w:t xml:space="preserve">0.618 [0.601, 0.635]</w:t>
            </w:r>
          </w:p>
        </w:tc>
        <w:tc>
          <w:tcPr>
            <w:tcW w:type="dxa" w:w="2296"/>
          </w:tcPr>
          <w:p>
            <w:pPr>
              <w:pStyle w:val="Compact"/>
            </w:pPr>
            <w:r>
              <w:t xml:space="preserve">0.518 [0.501, 0.535]</w:t>
            </w:r>
          </w:p>
        </w:tc>
        <w:tc>
          <w:tcPr>
            <w:tcW w:type="dxa" w:w="2296"/>
          </w:tcPr>
          <w:p>
            <w:pPr>
              <w:pStyle w:val="Compact"/>
            </w:pPr>
            <w:r>
              <w:t xml:space="preserve">0.507 [0.489, 0.524]</w:t>
            </w:r>
          </w:p>
        </w:tc>
      </w:tr>
      <w:tr>
        <w:tc>
          <w:tcPr>
            <w:tcW w:type="dxa" w:w="2181"/>
          </w:tcPr>
          <w:p>
            <w:pPr>
              <w:pStyle w:val="Compact"/>
            </w:pPr>
            <w:r>
              <w:t xml:space="preserve">Muğla→Bejís</w:t>
            </w:r>
          </w:p>
        </w:tc>
        <w:tc>
          <w:tcPr>
            <w:tcW w:type="dxa" w:w="2296"/>
          </w:tcPr>
          <w:p>
            <w:pPr>
              <w:pStyle w:val="Compact"/>
            </w:pPr>
            <w:r>
              <w:t xml:space="preserve">0.583 [0.561, 0.607]</w:t>
            </w:r>
          </w:p>
        </w:tc>
        <w:tc>
          <w:tcPr>
            <w:tcW w:type="dxa" w:w="2296"/>
          </w:tcPr>
          <w:p>
            <w:pPr>
              <w:pStyle w:val="Compact"/>
            </w:pPr>
            <w:r>
              <w:t xml:space="preserve">0.535 [0.512, 0.557]</w:t>
            </w:r>
          </w:p>
        </w:tc>
        <w:tc>
          <w:tcPr>
            <w:tcW w:type="dxa" w:w="2296"/>
          </w:tcPr>
          <w:p>
            <w:pPr>
              <w:pStyle w:val="Compact"/>
            </w:pPr>
            <w:r>
              <w:t xml:space="preserve">0.560 [0.538, 0.581]</w:t>
            </w:r>
          </w:p>
        </w:tc>
      </w:tr>
      <w:tr>
        <w:tc>
          <w:tcPr>
            <w:tcW w:type="dxa" w:w="2181"/>
          </w:tcPr>
          <w:p>
            <w:pPr>
              <w:pStyle w:val="Compact"/>
            </w:pPr>
            <w:r>
              <w:t xml:space="preserve">Bejís→Evia</w:t>
            </w:r>
          </w:p>
        </w:tc>
        <w:tc>
          <w:tcPr>
            <w:tcW w:type="dxa" w:w="2296"/>
          </w:tcPr>
          <w:p>
            <w:pPr>
              <w:pStyle w:val="Compact"/>
            </w:pPr>
            <w:r>
              <w:t xml:space="preserve">0.383 [0.363, 0.402]</w:t>
            </w:r>
          </w:p>
        </w:tc>
        <w:tc>
          <w:tcPr>
            <w:tcW w:type="dxa" w:w="2296"/>
          </w:tcPr>
          <w:p>
            <w:pPr>
              <w:pStyle w:val="Compact"/>
            </w:pPr>
            <w:r>
              <w:t xml:space="preserve">0.532 [0.509, 0.551]</w:t>
            </w:r>
          </w:p>
        </w:tc>
        <w:tc>
          <w:tcPr>
            <w:tcW w:type="dxa" w:w="2296"/>
          </w:tcPr>
          <w:p>
            <w:pPr>
              <w:pStyle w:val="Compact"/>
            </w:pPr>
            <w:r>
              <w:t xml:space="preserve">0.499 [0.479, 0.518]</w:t>
            </w:r>
          </w:p>
        </w:tc>
      </w:tr>
      <w:tr>
        <w:tc>
          <w:tcPr>
            <w:tcW w:type="dxa" w:w="2181"/>
          </w:tcPr>
          <w:p>
            <w:pPr>
              <w:pStyle w:val="Compact"/>
            </w:pPr>
            <w:r>
              <w:t xml:space="preserve">Evia→Bejís</w:t>
            </w:r>
          </w:p>
        </w:tc>
        <w:tc>
          <w:tcPr>
            <w:tcW w:type="dxa" w:w="2296"/>
          </w:tcPr>
          <w:p>
            <w:pPr>
              <w:pStyle w:val="Compact"/>
            </w:pPr>
            <w:r>
              <w:t xml:space="preserve">0.448 [0.426, 0.470]</w:t>
            </w:r>
          </w:p>
        </w:tc>
        <w:tc>
          <w:tcPr>
            <w:tcW w:type="dxa" w:w="2296"/>
          </w:tcPr>
          <w:p>
            <w:pPr>
              <w:pStyle w:val="Compact"/>
            </w:pPr>
            <w:r>
              <w:t xml:space="preserve">0.549 [0.524, 0.575]</w:t>
            </w:r>
          </w:p>
        </w:tc>
        <w:tc>
          <w:tcPr>
            <w:tcW w:type="dxa" w:w="2296"/>
          </w:tcPr>
          <w:p>
            <w:pPr>
              <w:pStyle w:val="Compact"/>
            </w:pPr>
            <w:r>
              <w:t xml:space="preserve">0.549 [0.525, 0.573]</w:t>
            </w:r>
          </w:p>
        </w:tc>
      </w:tr>
      <w:tr>
        <w:tc>
          <w:tcPr>
            <w:tcW w:type="dxa" w:w="2181"/>
          </w:tcPr>
          <w:p>
            <w:pPr>
              <w:pStyle w:val="Compact"/>
            </w:pPr>
            <w:r>
              <w:t xml:space="preserve">Muğla→Evia</w:t>
            </w:r>
          </w:p>
        </w:tc>
        <w:tc>
          <w:tcPr>
            <w:tcW w:type="dxa" w:w="2296"/>
          </w:tcPr>
          <w:p>
            <w:pPr>
              <w:pStyle w:val="Compact"/>
            </w:pPr>
            <w:r>
              <w:t xml:space="preserve">0.653 [0.636, 0.671]</w:t>
            </w:r>
          </w:p>
        </w:tc>
        <w:tc>
          <w:tcPr>
            <w:tcW w:type="dxa" w:w="2296"/>
          </w:tcPr>
          <w:p>
            <w:pPr>
              <w:pStyle w:val="Compact"/>
            </w:pPr>
            <w:r>
              <w:t xml:space="preserve">0.561 [0.543, 0.580]</w:t>
            </w:r>
          </w:p>
        </w:tc>
        <w:tc>
          <w:tcPr>
            <w:tcW w:type="dxa" w:w="2296"/>
          </w:tcPr>
          <w:p>
            <w:pPr>
              <w:pStyle w:val="Compact"/>
            </w:pPr>
            <w:r>
              <w:t xml:space="preserve">0.563 [0.545, 0.582]</w:t>
            </w:r>
          </w:p>
        </w:tc>
      </w:tr>
      <w:tr>
        <w:tc>
          <w:tcPr>
            <w:tcW w:type="dxa" w:w="2181"/>
          </w:tcPr>
          <w:p>
            <w:pPr>
              <w:pStyle w:val="Compact"/>
            </w:pPr>
            <w:r>
              <w:t xml:space="preserve">Evia→Muğla</w:t>
            </w:r>
          </w:p>
        </w:tc>
        <w:tc>
          <w:tcPr>
            <w:tcW w:type="dxa" w:w="2296"/>
          </w:tcPr>
          <w:p>
            <w:pPr>
              <w:pStyle w:val="Compact"/>
            </w:pPr>
            <w:r>
              <w:t xml:space="preserve">0.577 [0.560, 0.593]</w:t>
            </w:r>
          </w:p>
        </w:tc>
        <w:tc>
          <w:tcPr>
            <w:tcW w:type="dxa" w:w="2296"/>
          </w:tcPr>
          <w:p>
            <w:pPr>
              <w:pStyle w:val="Compact"/>
            </w:pPr>
            <w:r>
              <w:t xml:space="preserve">0.501 [0.485, 0.518]</w:t>
            </w:r>
          </w:p>
        </w:tc>
        <w:tc>
          <w:tcPr>
            <w:tcW w:type="dxa" w:w="2296"/>
          </w:tcPr>
          <w:p>
            <w:pPr>
              <w:pStyle w:val="Compact"/>
            </w:pPr>
            <w:r>
              <w:t xml:space="preserve">0.530 [0.515, 0.546]</w:t>
            </w:r>
          </w:p>
        </w:tc>
      </w:tr>
      <w:tr>
        <w:tc>
          <w:tcPr>
            <w:tcW w:type="dxa" w:w="2181"/>
          </w:tcPr>
          <w:p>
            <w:pPr>
              <w:pStyle w:val="Compact"/>
            </w:pPr>
            <w:r>
              <w:t xml:space="preserve">Montiferru→Manavgat</w:t>
            </w:r>
          </w:p>
        </w:tc>
        <w:tc>
          <w:tcPr>
            <w:tcW w:type="dxa" w:w="2296"/>
          </w:tcPr>
          <w:p>
            <w:pPr>
              <w:pStyle w:val="Compact"/>
            </w:pPr>
            <w:r>
              <w:t xml:space="preserve">0.404 [0.385, 0.422]</w:t>
            </w:r>
          </w:p>
        </w:tc>
        <w:tc>
          <w:tcPr>
            <w:tcW w:type="dxa" w:w="2296"/>
          </w:tcPr>
          <w:p>
            <w:pPr>
              <w:pStyle w:val="Compact"/>
            </w:pPr>
            <w:r>
              <w:t xml:space="preserve">0.388 [0.367, 0.408]</w:t>
            </w:r>
          </w:p>
        </w:tc>
        <w:tc>
          <w:tcPr>
            <w:tcW w:type="dxa" w:w="2296"/>
          </w:tcPr>
          <w:p>
            <w:pPr>
              <w:pStyle w:val="Compact"/>
            </w:pPr>
            <w:r>
              <w:t xml:space="preserve">0.436 [0.416, 0.456]</w:t>
            </w:r>
          </w:p>
        </w:tc>
      </w:tr>
      <w:tr>
        <w:tc>
          <w:tcPr>
            <w:tcW w:type="dxa" w:w="2181"/>
          </w:tcPr>
          <w:p>
            <w:pPr>
              <w:pStyle w:val="Compact"/>
            </w:pPr>
            <w:r>
              <w:t xml:space="preserve">Manavgat→Montiferru</w:t>
            </w:r>
          </w:p>
        </w:tc>
        <w:tc>
          <w:tcPr>
            <w:tcW w:type="dxa" w:w="2296"/>
          </w:tcPr>
          <w:p>
            <w:pPr>
              <w:pStyle w:val="Compact"/>
            </w:pPr>
            <w:r>
              <w:t xml:space="preserve">0.518 [0.474, 0.563]</w:t>
            </w:r>
          </w:p>
        </w:tc>
        <w:tc>
          <w:tcPr>
            <w:tcW w:type="dxa" w:w="2296"/>
          </w:tcPr>
          <w:p>
            <w:pPr>
              <w:pStyle w:val="Compact"/>
            </w:pPr>
            <w:r>
              <w:t xml:space="preserve">0.527 [0.484, 0.568]</w:t>
            </w:r>
          </w:p>
        </w:tc>
        <w:tc>
          <w:tcPr>
            <w:tcW w:type="dxa" w:w="2296"/>
          </w:tcPr>
          <w:p>
            <w:pPr>
              <w:pStyle w:val="Compact"/>
            </w:pPr>
            <w:r>
              <w:t xml:space="preserve">0.505 [0.461, 0.547]</w:t>
            </w:r>
          </w:p>
        </w:tc>
      </w:tr>
      <w:tr>
        <w:tc>
          <w:tcPr>
            <w:tcW w:type="dxa" w:w="2181"/>
          </w:tcPr>
          <w:p>
            <w:pPr>
              <w:pStyle w:val="Compact"/>
            </w:pPr>
            <w:r>
              <w:t xml:space="preserve">Montiferru→Bejís</w:t>
            </w:r>
          </w:p>
        </w:tc>
        <w:tc>
          <w:tcPr>
            <w:tcW w:type="dxa" w:w="2296"/>
          </w:tcPr>
          <w:p>
            <w:pPr>
              <w:pStyle w:val="Compact"/>
            </w:pPr>
            <w:r>
              <w:t xml:space="preserve">0.548 [0.521, 0.578]</w:t>
            </w:r>
          </w:p>
        </w:tc>
        <w:tc>
          <w:tcPr>
            <w:tcW w:type="dxa" w:w="2296"/>
          </w:tcPr>
          <w:p>
            <w:pPr>
              <w:pStyle w:val="Compact"/>
            </w:pPr>
            <w:r>
              <w:t xml:space="preserve">0.574 [0.552, 0.596]</w:t>
            </w:r>
          </w:p>
        </w:tc>
        <w:tc>
          <w:tcPr>
            <w:tcW w:type="dxa" w:w="2296"/>
          </w:tcPr>
          <w:p>
            <w:pPr>
              <w:pStyle w:val="Compact"/>
            </w:pPr>
            <w:r>
              <w:t xml:space="preserve">0.569 [0.548, 0.591]</w:t>
            </w:r>
          </w:p>
        </w:tc>
      </w:tr>
      <w:tr>
        <w:tc>
          <w:tcPr>
            <w:tcW w:type="dxa" w:w="2181"/>
          </w:tcPr>
          <w:p>
            <w:pPr>
              <w:pStyle w:val="Compact"/>
            </w:pPr>
            <w:r>
              <w:t xml:space="preserve">Bejís→Montiferru</w:t>
            </w:r>
          </w:p>
        </w:tc>
        <w:tc>
          <w:tcPr>
            <w:tcW w:type="dxa" w:w="2296"/>
          </w:tcPr>
          <w:p>
            <w:pPr>
              <w:pStyle w:val="Compact"/>
            </w:pPr>
            <w:r>
              <w:t xml:space="preserve">0.594 [0.560, 0.631]</w:t>
            </w:r>
          </w:p>
        </w:tc>
        <w:tc>
          <w:tcPr>
            <w:tcW w:type="dxa" w:w="2296"/>
          </w:tcPr>
          <w:p>
            <w:pPr>
              <w:pStyle w:val="Compact"/>
            </w:pPr>
            <w:r>
              <w:t xml:space="preserve">0.550 [0.500, 0.601]</w:t>
            </w:r>
          </w:p>
        </w:tc>
        <w:tc>
          <w:tcPr>
            <w:tcW w:type="dxa" w:w="2296"/>
          </w:tcPr>
          <w:p>
            <w:pPr>
              <w:pStyle w:val="Compact"/>
            </w:pPr>
            <w:r>
              <w:t xml:space="preserve">0.574 [0.530, 0.621]</w:t>
            </w:r>
          </w:p>
        </w:tc>
      </w:tr>
      <w:tr>
        <w:tc>
          <w:tcPr>
            <w:tcW w:type="dxa" w:w="2181"/>
          </w:tcPr>
          <w:p>
            <w:pPr>
              <w:pStyle w:val="Compact"/>
            </w:pPr>
            <w:r>
              <w:t xml:space="preserve">Montiferru→Muğla</w:t>
            </w:r>
          </w:p>
        </w:tc>
        <w:tc>
          <w:tcPr>
            <w:tcW w:type="dxa" w:w="2296"/>
          </w:tcPr>
          <w:p>
            <w:pPr>
              <w:pStyle w:val="Compact"/>
            </w:pPr>
            <w:r>
              <w:t xml:space="preserve">0.619 [0.604, 0.634]</w:t>
            </w:r>
          </w:p>
        </w:tc>
        <w:tc>
          <w:tcPr>
            <w:tcW w:type="dxa" w:w="2296"/>
          </w:tcPr>
          <w:p>
            <w:pPr>
              <w:pStyle w:val="Compact"/>
            </w:pPr>
            <w:r>
              <w:t xml:space="preserve">0.576 [0.562, 0.589]</w:t>
            </w:r>
          </w:p>
        </w:tc>
        <w:tc>
          <w:tcPr>
            <w:tcW w:type="dxa" w:w="2296"/>
          </w:tcPr>
          <w:p>
            <w:pPr>
              <w:pStyle w:val="Compact"/>
            </w:pPr>
            <w:r>
              <w:t xml:space="preserve">0.565 [0.550, 0.579]</w:t>
            </w:r>
          </w:p>
        </w:tc>
      </w:tr>
      <w:tr>
        <w:tc>
          <w:tcPr>
            <w:tcW w:type="dxa" w:w="2181"/>
          </w:tcPr>
          <w:p>
            <w:pPr>
              <w:pStyle w:val="Compact"/>
            </w:pPr>
            <w:r>
              <w:t xml:space="preserve">Muğla→Montiferru</w:t>
            </w:r>
          </w:p>
        </w:tc>
        <w:tc>
          <w:tcPr>
            <w:tcW w:type="dxa" w:w="2296"/>
          </w:tcPr>
          <w:p>
            <w:pPr>
              <w:pStyle w:val="Compact"/>
            </w:pPr>
            <w:r>
              <w:t xml:space="preserve">0.531 [0.495, 0.568]</w:t>
            </w:r>
          </w:p>
        </w:tc>
        <w:tc>
          <w:tcPr>
            <w:tcW w:type="dxa" w:w="2296"/>
          </w:tcPr>
          <w:p>
            <w:pPr>
              <w:pStyle w:val="Compact"/>
            </w:pPr>
            <w:r>
              <w:t xml:space="preserve">0.587 [0.549, 0.624]</w:t>
            </w:r>
          </w:p>
        </w:tc>
        <w:tc>
          <w:tcPr>
            <w:tcW w:type="dxa" w:w="2296"/>
          </w:tcPr>
          <w:p>
            <w:pPr>
              <w:pStyle w:val="Compact"/>
            </w:pPr>
            <w:r>
              <w:t xml:space="preserve">0.584 [0.547, 0.623]</w:t>
            </w:r>
          </w:p>
        </w:tc>
      </w:tr>
      <w:tr>
        <w:tc>
          <w:tcPr>
            <w:tcW w:type="dxa" w:w="2181"/>
          </w:tcPr>
          <w:p>
            <w:pPr>
              <w:pStyle w:val="Compact"/>
            </w:pPr>
            <w:r>
              <w:t xml:space="preserve">Montiferru→Evia</w:t>
            </w:r>
          </w:p>
        </w:tc>
        <w:tc>
          <w:tcPr>
            <w:tcW w:type="dxa" w:w="2296"/>
          </w:tcPr>
          <w:p>
            <w:pPr>
              <w:pStyle w:val="Compact"/>
            </w:pPr>
            <w:r>
              <w:t xml:space="preserve">0.586 [0.565, 0.606]</w:t>
            </w:r>
          </w:p>
        </w:tc>
        <w:tc>
          <w:tcPr>
            <w:tcW w:type="dxa" w:w="2296"/>
          </w:tcPr>
          <w:p>
            <w:pPr>
              <w:pStyle w:val="Compact"/>
            </w:pPr>
            <w:r>
              <w:t xml:space="preserve">0.630 [0.611, 0.649]</w:t>
            </w:r>
          </w:p>
        </w:tc>
        <w:tc>
          <w:tcPr>
            <w:tcW w:type="dxa" w:w="2296"/>
          </w:tcPr>
          <w:p>
            <w:pPr>
              <w:pStyle w:val="Compact"/>
            </w:pPr>
            <w:r>
              <w:t xml:space="preserve">0.624 [0.605, 0.641]</w:t>
            </w:r>
          </w:p>
        </w:tc>
      </w:tr>
      <w:tr>
        <w:tc>
          <w:tcPr>
            <w:tcW w:type="dxa" w:w="2181"/>
          </w:tcPr>
          <w:p>
            <w:pPr>
              <w:pStyle w:val="Compact"/>
            </w:pPr>
            <w:r>
              <w:t xml:space="preserve">Evia→Montiferru</w:t>
            </w:r>
          </w:p>
        </w:tc>
        <w:tc>
          <w:tcPr>
            <w:tcW w:type="dxa" w:w="2296"/>
          </w:tcPr>
          <w:p>
            <w:pPr>
              <w:pStyle w:val="Compact"/>
            </w:pPr>
            <w:r>
              <w:t xml:space="preserve">0.647 [0.608, 0.682]</w:t>
            </w:r>
          </w:p>
        </w:tc>
        <w:tc>
          <w:tcPr>
            <w:tcW w:type="dxa" w:w="2296"/>
          </w:tcPr>
          <w:p>
            <w:pPr>
              <w:pStyle w:val="Compact"/>
            </w:pPr>
            <w:r>
              <w:t xml:space="preserve">0.568 [0.528, 0.609]</w:t>
            </w:r>
          </w:p>
        </w:tc>
        <w:tc>
          <w:tcPr>
            <w:tcW w:type="dxa" w:w="2296"/>
          </w:tcPr>
          <w:p>
            <w:pPr>
              <w:pStyle w:val="Compact"/>
            </w:pPr>
            <w:r>
              <w:t xml:space="preserve">0.581 [0.539, 0.623]</w:t>
            </w:r>
          </w:p>
        </w:tc>
      </w:tr>
    </w:tbl>
    <w:bookmarkEnd w:id="53"/>
    <w:bookmarkStart w:id="54" w:name="Xa73af5c53e1b16a765aea6ff09dad9bdcea9040"/>
    <w:p>
      <w:pPr>
        <w:pStyle w:val="Heading2"/>
      </w:pPr>
      <w:r>
        <w:t xml:space="preserve">S2.4 The transferability-diagnostics tables</w:t>
      </w:r>
    </w:p>
    <w:p>
      <w:pPr>
        <w:pStyle w:val="FirstParagraph"/>
      </w:pPr>
      <w:r>
        <w:rPr>
          <w:b/>
          <w:bCs/>
        </w:rPr>
        <w:t xml:space="preserve">Table S17. All transferability diagnostics versus raw thermal transfer (20 ordered directions).</w:t>
      </w:r>
      <w:r>
        <w:t xml:space="preserve"> </w:t>
      </w:r>
      <w:r>
        <w:t xml:space="preserve">Spearman ρ with pair-based bootstrap 95 % CIs. Exp. = expected sign. Rows with n = 12 exist only for</w:t>
      </w:r>
      <w:r>
        <w:t xml:space="preserve"> </w:t>
      </w:r>
      <w:r>
        <w:t xml:space="preserve">the four-AOI subset, because those diagnostics were never produced for Montiferru. The</w:t>
      </w:r>
      <w:r>
        <w:t xml:space="preserve"> </w:t>
      </w:r>
      <w:r>
        <w:t xml:space="preserve">supported-features conditional rows use the 18 directions with at least one CI-supported feature.</w:t>
      </w:r>
      <w:r>
        <w:t xml:space="preserve"> </w:t>
      </w:r>
      <w:r>
        <w:t xml:space="preserve">Corrected Manavgat label; every row from</w:t>
      </w:r>
      <w:r>
        <w:t xml:space="preserve"> </w:t>
      </w:r>
      <w:r>
        <w:rPr>
          <w:rStyle w:val="VerbatimChar"/>
        </w:rPr>
        <w:t xml:space="preserve">paper/labelfix_rerun/round5/s6_diagnostics_20.csv</w:t>
      </w:r>
      <w:r>
        <w:t xml:space="preserve">, checked by</w:t>
      </w:r>
      <w:r>
        <w:t xml:space="preserve"> </w:t>
      </w:r>
      <w:r>
        <w:rPr>
          <w:rStyle w:val="VerbatimChar"/>
        </w:rPr>
        <w:t xml:space="preserve">paper/code/appendix_tables.py</w:t>
      </w:r>
      <w:r>
        <w:t xml:space="preserve">. The frozen version of that file reproduces the frozen table’s</w:t>
      </w:r>
      <w:r>
        <w:t xml:space="preserve"> </w:t>
      </w:r>
      <w:r>
        <w:t xml:space="preserve">fourteen other rows exactly and the six n = 12 rows’ point estimates, but not those six rows’</w:t>
      </w:r>
      <w:r>
        <w:t xml:space="preserve"> </w:t>
      </w:r>
      <w:r>
        <w:t xml:space="preserve">intervals, which came from an earlier bootstrap run; no verdict differs.</w:t>
      </w:r>
    </w:p>
    <w:tbl>
      <w:tblPr>
        <w:tblStyle w:val="Table"/>
        <w:tblW w:type="auto" w:w="0"/>
        <w:tblLook w:firstRow="1" w:lastRow="0" w:firstColumn="0" w:lastColumn="0" w:noHBand="0" w:noVBand="0" w:val="0020"/>
      </w:tblPr>
      <w:tblGrid>
        <w:gridCol w:w="2899"/>
        <w:gridCol w:w="1338"/>
        <w:gridCol w:w="297"/>
        <w:gridCol w:w="372"/>
        <w:gridCol w:w="1487"/>
        <w:gridCol w:w="2676"/>
      </w:tblGrid>
      <w:tr>
        <w:trPr>
          <w:tblHeader w:val="on"/>
        </w:trPr>
        <w:tc>
          <w:tcPr>
            <w:tcW w:type="dxa" w:w="2899"/>
          </w:tcPr>
          <w:p>
            <w:pPr>
              <w:pStyle w:val="Compact"/>
            </w:pPr>
            <w:r>
              <w:t xml:space="preserve">Diagnostic</w:t>
            </w:r>
          </w:p>
        </w:tc>
        <w:tc>
          <w:tcPr>
            <w:tcW w:type="dxa" w:w="1338"/>
          </w:tcPr>
          <w:p>
            <w:pPr>
              <w:pStyle w:val="Compact"/>
            </w:pPr>
            <w:r>
              <w:t xml:space="preserve">Family</w:t>
            </w:r>
          </w:p>
        </w:tc>
        <w:tc>
          <w:tcPr>
            <w:tcW w:type="dxa" w:w="297"/>
          </w:tcPr>
          <w:p>
            <w:pPr>
              <w:pStyle w:val="Compact"/>
            </w:pPr>
            <w:r>
              <w:t xml:space="preserve">Exp.</w:t>
            </w:r>
          </w:p>
        </w:tc>
        <w:tc>
          <w:tcPr>
            <w:tcW w:type="dxa" w:w="372"/>
          </w:tcPr>
          <w:p>
            <w:pPr>
              <w:pStyle w:val="Compact"/>
            </w:pPr>
            <w:r>
              <w:t xml:space="preserve">n dir</w:t>
            </w:r>
          </w:p>
        </w:tc>
        <w:tc>
          <w:tcPr>
            <w:tcW w:type="dxa" w:w="1487"/>
          </w:tcPr>
          <w:p>
            <w:pPr>
              <w:pStyle w:val="Compact"/>
            </w:pPr>
            <w:r>
              <w:t xml:space="preserve">Spearman ρ [95% CI]</w:t>
            </w:r>
          </w:p>
        </w:tc>
        <w:tc>
          <w:tcPr>
            <w:tcW w:type="dxa" w:w="2676"/>
          </w:tcPr>
          <w:p>
            <w:pPr>
              <w:pStyle w:val="Compact"/>
            </w:pPr>
            <w:r>
              <w:t xml:space="preserve">CI excludes 0</w:t>
            </w:r>
          </w:p>
        </w:tc>
      </w:tr>
      <w:tr>
        <w:tc>
          <w:tcPr>
            <w:tcW w:type="dxa" w:w="2899"/>
          </w:tcPr>
          <w:p>
            <w:pPr>
              <w:pStyle w:val="Compact"/>
            </w:pPr>
            <w:r>
              <w:t xml:space="preserve">Agreement fraction, supported features</w:t>
            </w:r>
          </w:p>
        </w:tc>
        <w:tc>
          <w:tcPr>
            <w:tcW w:type="dxa" w:w="1338"/>
          </w:tcPr>
          <w:p>
            <w:pPr>
              <w:pStyle w:val="Compact"/>
            </w:pPr>
            <w:r>
              <w:t xml:space="preserve">P(y|x) conditional</w:t>
            </w:r>
          </w:p>
        </w:tc>
        <w:tc>
          <w:tcPr>
            <w:tcW w:type="dxa" w:w="297"/>
          </w:tcPr>
          <w:p>
            <w:pPr>
              <w:pStyle w:val="Compact"/>
            </w:pPr>
            <w:r>
              <w:t xml:space="preserve">+</w:t>
            </w:r>
          </w:p>
        </w:tc>
        <w:tc>
          <w:tcPr>
            <w:tcW w:type="dxa" w:w="372"/>
          </w:tcPr>
          <w:p>
            <w:pPr>
              <w:pStyle w:val="Compact"/>
            </w:pPr>
            <w:r>
              <w:t xml:space="preserve">18</w:t>
            </w:r>
          </w:p>
        </w:tc>
        <w:tc>
          <w:tcPr>
            <w:tcW w:type="dxa" w:w="1487"/>
          </w:tcPr>
          <w:p>
            <w:pPr>
              <w:pStyle w:val="Compact"/>
            </w:pPr>
            <w:r>
              <w:t xml:space="preserve">+0.52 [−0.27, +0.87]</w:t>
            </w:r>
          </w:p>
        </w:tc>
        <w:tc>
          <w:tcPr>
            <w:tcW w:type="dxa" w:w="2676"/>
          </w:tcPr>
          <w:p>
            <w:pPr>
              <w:pStyle w:val="Compact"/>
            </w:pPr>
            <w:r>
              <w:t xml:space="preserve">no</w:t>
            </w:r>
          </w:p>
        </w:tc>
      </w:tr>
      <w:tr>
        <w:tc>
          <w:tcPr>
            <w:tcW w:type="dxa" w:w="2899"/>
          </w:tcPr>
          <w:p>
            <w:pPr>
              <w:pStyle w:val="Compact"/>
            </w:pPr>
            <w:r>
              <w:t xml:space="preserve">Cosine, supported features</w:t>
            </w:r>
          </w:p>
        </w:tc>
        <w:tc>
          <w:tcPr>
            <w:tcW w:type="dxa" w:w="1338"/>
          </w:tcPr>
          <w:p>
            <w:pPr>
              <w:pStyle w:val="Compact"/>
            </w:pPr>
            <w:r>
              <w:t xml:space="preserve">P(y|x) conditional</w:t>
            </w:r>
          </w:p>
        </w:tc>
        <w:tc>
          <w:tcPr>
            <w:tcW w:type="dxa" w:w="297"/>
          </w:tcPr>
          <w:p>
            <w:pPr>
              <w:pStyle w:val="Compact"/>
            </w:pPr>
            <w:r>
              <w:t xml:space="preserve">+</w:t>
            </w:r>
          </w:p>
        </w:tc>
        <w:tc>
          <w:tcPr>
            <w:tcW w:type="dxa" w:w="372"/>
          </w:tcPr>
          <w:p>
            <w:pPr>
              <w:pStyle w:val="Compact"/>
            </w:pPr>
            <w:r>
              <w:t xml:space="preserve">18</w:t>
            </w:r>
          </w:p>
        </w:tc>
        <w:tc>
          <w:tcPr>
            <w:tcW w:type="dxa" w:w="1487"/>
          </w:tcPr>
          <w:p>
            <w:pPr>
              <w:pStyle w:val="Compact"/>
            </w:pPr>
            <w:r>
              <w:t xml:space="preserve">+0.49 [−0.24, +0.87]</w:t>
            </w:r>
          </w:p>
        </w:tc>
        <w:tc>
          <w:tcPr>
            <w:tcW w:type="dxa" w:w="2676"/>
          </w:tcPr>
          <w:p>
            <w:pPr>
              <w:pStyle w:val="Compact"/>
            </w:pPr>
            <w:r>
              <w:t xml:space="preserve">no</w:t>
            </w:r>
          </w:p>
        </w:tc>
      </w:tr>
      <w:tr>
        <w:tc>
          <w:tcPr>
            <w:tcW w:type="dxa" w:w="2899"/>
          </w:tcPr>
          <w:p>
            <w:pPr>
              <w:pStyle w:val="Compact"/>
            </w:pPr>
            <w:r>
              <w:t xml:space="preserve">Cosine, all 9 features</w:t>
            </w:r>
          </w:p>
        </w:tc>
        <w:tc>
          <w:tcPr>
            <w:tcW w:type="dxa" w:w="1338"/>
          </w:tcPr>
          <w:p>
            <w:pPr>
              <w:pStyle w:val="Compact"/>
            </w:pPr>
            <w:r>
              <w:t xml:space="preserve">P(y|x) conditional</w:t>
            </w:r>
          </w:p>
        </w:tc>
        <w:tc>
          <w:tcPr>
            <w:tcW w:type="dxa" w:w="297"/>
          </w:tcPr>
          <w:p>
            <w:pPr>
              <w:pStyle w:val="Compact"/>
            </w:pPr>
            <w:r>
              <w:t xml:space="preserve">+</w:t>
            </w:r>
          </w:p>
        </w:tc>
        <w:tc>
          <w:tcPr>
            <w:tcW w:type="dxa" w:w="372"/>
          </w:tcPr>
          <w:p>
            <w:pPr>
              <w:pStyle w:val="Compact"/>
            </w:pPr>
            <w:r>
              <w:t xml:space="preserve">20</w:t>
            </w:r>
          </w:p>
        </w:tc>
        <w:tc>
          <w:tcPr>
            <w:tcW w:type="dxa" w:w="1487"/>
          </w:tcPr>
          <w:p>
            <w:pPr>
              <w:pStyle w:val="Compact"/>
            </w:pPr>
            <w:r>
              <w:t xml:space="preserve">+0.44 [−0.29, +0.80]</w:t>
            </w:r>
          </w:p>
        </w:tc>
        <w:tc>
          <w:tcPr>
            <w:tcW w:type="dxa" w:w="2676"/>
          </w:tcPr>
          <w:p>
            <w:pPr>
              <w:pStyle w:val="Compact"/>
            </w:pPr>
            <w:r>
              <w:t xml:space="preserve">no</w:t>
            </w:r>
          </w:p>
        </w:tc>
      </w:tr>
      <w:tr>
        <w:tc>
          <w:tcPr>
            <w:tcW w:type="dxa" w:w="2899"/>
          </w:tcPr>
          <w:p>
            <w:pPr>
              <w:pStyle w:val="Compact"/>
            </w:pPr>
            <w:r>
              <w:t xml:space="preserve">Vector Spearman, all 9</w:t>
            </w:r>
          </w:p>
        </w:tc>
        <w:tc>
          <w:tcPr>
            <w:tcW w:type="dxa" w:w="1338"/>
          </w:tcPr>
          <w:p>
            <w:pPr>
              <w:pStyle w:val="Compact"/>
            </w:pPr>
            <w:r>
              <w:t xml:space="preserve">P(y|x) conditional</w:t>
            </w:r>
          </w:p>
        </w:tc>
        <w:tc>
          <w:tcPr>
            <w:tcW w:type="dxa" w:w="297"/>
          </w:tcPr>
          <w:p>
            <w:pPr>
              <w:pStyle w:val="Compact"/>
            </w:pPr>
            <w:r>
              <w:t xml:space="preserve">+</w:t>
            </w:r>
          </w:p>
        </w:tc>
        <w:tc>
          <w:tcPr>
            <w:tcW w:type="dxa" w:w="372"/>
          </w:tcPr>
          <w:p>
            <w:pPr>
              <w:pStyle w:val="Compact"/>
            </w:pPr>
            <w:r>
              <w:t xml:space="preserve">20</w:t>
            </w:r>
          </w:p>
        </w:tc>
        <w:tc>
          <w:tcPr>
            <w:tcW w:type="dxa" w:w="1487"/>
          </w:tcPr>
          <w:p>
            <w:pPr>
              <w:pStyle w:val="Compact"/>
            </w:pPr>
            <w:r>
              <w:t xml:space="preserve">+0.43 [−0.21, +0.80]</w:t>
            </w:r>
          </w:p>
        </w:tc>
        <w:tc>
          <w:tcPr>
            <w:tcW w:type="dxa" w:w="2676"/>
          </w:tcPr>
          <w:p>
            <w:pPr>
              <w:pStyle w:val="Compact"/>
            </w:pPr>
            <w:r>
              <w:t xml:space="preserve">no</w:t>
            </w:r>
          </w:p>
        </w:tc>
      </w:tr>
      <w:tr>
        <w:tc>
          <w:tcPr>
            <w:tcW w:type="dxa" w:w="2899"/>
          </w:tcPr>
          <w:p>
            <w:pPr>
              <w:pStyle w:val="Compact"/>
            </w:pPr>
            <w:r>
              <w:t xml:space="preserve">Agreement count, all 9</w:t>
            </w:r>
          </w:p>
        </w:tc>
        <w:tc>
          <w:tcPr>
            <w:tcW w:type="dxa" w:w="1338"/>
          </w:tcPr>
          <w:p>
            <w:pPr>
              <w:pStyle w:val="Compact"/>
            </w:pPr>
            <w:r>
              <w:t xml:space="preserve">P(y|x) conditional</w:t>
            </w:r>
          </w:p>
        </w:tc>
        <w:tc>
          <w:tcPr>
            <w:tcW w:type="dxa" w:w="297"/>
          </w:tcPr>
          <w:p>
            <w:pPr>
              <w:pStyle w:val="Compact"/>
            </w:pPr>
            <w:r>
              <w:t xml:space="preserve">+</w:t>
            </w:r>
          </w:p>
        </w:tc>
        <w:tc>
          <w:tcPr>
            <w:tcW w:type="dxa" w:w="372"/>
          </w:tcPr>
          <w:p>
            <w:pPr>
              <w:pStyle w:val="Compact"/>
            </w:pPr>
            <w:r>
              <w:t xml:space="preserve">20</w:t>
            </w:r>
          </w:p>
        </w:tc>
        <w:tc>
          <w:tcPr>
            <w:tcW w:type="dxa" w:w="1487"/>
          </w:tcPr>
          <w:p>
            <w:pPr>
              <w:pStyle w:val="Compact"/>
            </w:pPr>
            <w:r>
              <w:t xml:space="preserve">+0.47 [−0.29, +0.80]</w:t>
            </w:r>
          </w:p>
        </w:tc>
        <w:tc>
          <w:tcPr>
            <w:tcW w:type="dxa" w:w="2676"/>
          </w:tcPr>
          <w:p>
            <w:pPr>
              <w:pStyle w:val="Compact"/>
            </w:pPr>
            <w:r>
              <w:t xml:space="preserve">no</w:t>
            </w:r>
          </w:p>
        </w:tc>
      </w:tr>
      <w:tr>
        <w:tc>
          <w:tcPr>
            <w:tcW w:type="dxa" w:w="2899"/>
          </w:tcPr>
          <w:p>
            <w:pPr>
              <w:pStyle w:val="Compact"/>
            </w:pPr>
            <w:r>
              <w:t xml:space="preserve">Schoener’s D, 1-D mean</w:t>
            </w:r>
          </w:p>
        </w:tc>
        <w:tc>
          <w:tcPr>
            <w:tcW w:type="dxa" w:w="1338"/>
          </w:tcPr>
          <w:p>
            <w:pPr>
              <w:pStyle w:val="Compact"/>
            </w:pPr>
            <w:r>
              <w:t xml:space="preserve">P(x|y=1) niche</w:t>
            </w:r>
          </w:p>
        </w:tc>
        <w:tc>
          <w:tcPr>
            <w:tcW w:type="dxa" w:w="297"/>
          </w:tcPr>
          <w:p>
            <w:pPr>
              <w:pStyle w:val="Compact"/>
            </w:pPr>
            <w:r>
              <w:t xml:space="preserve">+</w:t>
            </w:r>
          </w:p>
        </w:tc>
        <w:tc>
          <w:tcPr>
            <w:tcW w:type="dxa" w:w="372"/>
          </w:tcPr>
          <w:p>
            <w:pPr>
              <w:pStyle w:val="Compact"/>
            </w:pPr>
            <w:r>
              <w:t xml:space="preserve">20</w:t>
            </w:r>
          </w:p>
        </w:tc>
        <w:tc>
          <w:tcPr>
            <w:tcW w:type="dxa" w:w="1487"/>
          </w:tcPr>
          <w:p>
            <w:pPr>
              <w:pStyle w:val="Compact"/>
            </w:pPr>
            <w:r>
              <w:t xml:space="preserve">+0.10 [−0.53, +0.63]</w:t>
            </w:r>
          </w:p>
        </w:tc>
        <w:tc>
          <w:tcPr>
            <w:tcW w:type="dxa" w:w="2676"/>
          </w:tcPr>
          <w:p>
            <w:pPr>
              <w:pStyle w:val="Compact"/>
            </w:pPr>
            <w:r>
              <w:t xml:space="preserve">no</w:t>
            </w:r>
          </w:p>
        </w:tc>
      </w:tr>
      <w:tr>
        <w:tc>
          <w:tcPr>
            <w:tcW w:type="dxa" w:w="2899"/>
          </w:tcPr>
          <w:p>
            <w:pPr>
              <w:pStyle w:val="Compact"/>
            </w:pPr>
            <w:r>
              <w:t xml:space="preserve">Warren’s I, 1-D mean</w:t>
            </w:r>
          </w:p>
        </w:tc>
        <w:tc>
          <w:tcPr>
            <w:tcW w:type="dxa" w:w="1338"/>
          </w:tcPr>
          <w:p>
            <w:pPr>
              <w:pStyle w:val="Compact"/>
            </w:pPr>
            <w:r>
              <w:t xml:space="preserve">P(x|y=1) niche</w:t>
            </w:r>
          </w:p>
        </w:tc>
        <w:tc>
          <w:tcPr>
            <w:tcW w:type="dxa" w:w="297"/>
          </w:tcPr>
          <w:p>
            <w:pPr>
              <w:pStyle w:val="Compact"/>
            </w:pPr>
            <w:r>
              <w:t xml:space="preserve">+</w:t>
            </w:r>
          </w:p>
        </w:tc>
        <w:tc>
          <w:tcPr>
            <w:tcW w:type="dxa" w:w="372"/>
          </w:tcPr>
          <w:p>
            <w:pPr>
              <w:pStyle w:val="Compact"/>
            </w:pPr>
            <w:r>
              <w:t xml:space="preserve">20</w:t>
            </w:r>
          </w:p>
        </w:tc>
        <w:tc>
          <w:tcPr>
            <w:tcW w:type="dxa" w:w="1487"/>
          </w:tcPr>
          <w:p>
            <w:pPr>
              <w:pStyle w:val="Compact"/>
            </w:pPr>
            <w:r>
              <w:t xml:space="preserve">+0.19 [−0.43, +0.77]</w:t>
            </w:r>
          </w:p>
        </w:tc>
        <w:tc>
          <w:tcPr>
            <w:tcW w:type="dxa" w:w="2676"/>
          </w:tcPr>
          <w:p>
            <w:pPr>
              <w:pStyle w:val="Compact"/>
            </w:pPr>
            <w:r>
              <w:t xml:space="preserve">no</w:t>
            </w:r>
          </w:p>
        </w:tc>
      </w:tr>
      <w:tr>
        <w:tc>
          <w:tcPr>
            <w:tcW w:type="dxa" w:w="2899"/>
          </w:tcPr>
          <w:p>
            <w:pPr>
              <w:pStyle w:val="Compact"/>
            </w:pPr>
            <w:r>
              <w:t xml:space="preserve">Schoener’s D, PCA-2D</w:t>
            </w:r>
          </w:p>
        </w:tc>
        <w:tc>
          <w:tcPr>
            <w:tcW w:type="dxa" w:w="1338"/>
          </w:tcPr>
          <w:p>
            <w:pPr>
              <w:pStyle w:val="Compact"/>
            </w:pPr>
            <w:r>
              <w:t xml:space="preserve">P(x|y=1) niche</w:t>
            </w:r>
          </w:p>
        </w:tc>
        <w:tc>
          <w:tcPr>
            <w:tcW w:type="dxa" w:w="297"/>
          </w:tcPr>
          <w:p>
            <w:pPr>
              <w:pStyle w:val="Compact"/>
            </w:pPr>
            <w:r>
              <w:t xml:space="preserve">+</w:t>
            </w:r>
          </w:p>
        </w:tc>
        <w:tc>
          <w:tcPr>
            <w:tcW w:type="dxa" w:w="372"/>
          </w:tcPr>
          <w:p>
            <w:pPr>
              <w:pStyle w:val="Compact"/>
            </w:pPr>
            <w:r>
              <w:t xml:space="preserve">20</w:t>
            </w:r>
          </w:p>
        </w:tc>
        <w:tc>
          <w:tcPr>
            <w:tcW w:type="dxa" w:w="1487"/>
          </w:tcPr>
          <w:p>
            <w:pPr>
              <w:pStyle w:val="Compact"/>
            </w:pPr>
            <w:r>
              <w:t xml:space="preserve">+0.03 [−0.59, +0.63]</w:t>
            </w:r>
          </w:p>
        </w:tc>
        <w:tc>
          <w:tcPr>
            <w:tcW w:type="dxa" w:w="2676"/>
          </w:tcPr>
          <w:p>
            <w:pPr>
              <w:pStyle w:val="Compact"/>
            </w:pPr>
            <w:r>
              <w:t xml:space="preserve">no</w:t>
            </w:r>
          </w:p>
        </w:tc>
      </w:tr>
      <w:tr>
        <w:tc>
          <w:tcPr>
            <w:tcW w:type="dxa" w:w="2899"/>
          </w:tcPr>
          <w:p>
            <w:pPr>
              <w:pStyle w:val="Compact"/>
            </w:pPr>
            <w:r>
              <w:t xml:space="preserve">Warren’s I, PCA-2D</w:t>
            </w:r>
          </w:p>
        </w:tc>
        <w:tc>
          <w:tcPr>
            <w:tcW w:type="dxa" w:w="1338"/>
          </w:tcPr>
          <w:p>
            <w:pPr>
              <w:pStyle w:val="Compact"/>
            </w:pPr>
            <w:r>
              <w:t xml:space="preserve">P(x|y=1) niche</w:t>
            </w:r>
          </w:p>
        </w:tc>
        <w:tc>
          <w:tcPr>
            <w:tcW w:type="dxa" w:w="297"/>
          </w:tcPr>
          <w:p>
            <w:pPr>
              <w:pStyle w:val="Compact"/>
            </w:pPr>
            <w:r>
              <w:t xml:space="preserve">+</w:t>
            </w:r>
          </w:p>
        </w:tc>
        <w:tc>
          <w:tcPr>
            <w:tcW w:type="dxa" w:w="372"/>
          </w:tcPr>
          <w:p>
            <w:pPr>
              <w:pStyle w:val="Compact"/>
            </w:pPr>
            <w:r>
              <w:t xml:space="preserve">20</w:t>
            </w:r>
          </w:p>
        </w:tc>
        <w:tc>
          <w:tcPr>
            <w:tcW w:type="dxa" w:w="1487"/>
          </w:tcPr>
          <w:p>
            <w:pPr>
              <w:pStyle w:val="Compact"/>
            </w:pPr>
            <w:r>
              <w:t xml:space="preserve">−0.03 [−0.66, +0.56]</w:t>
            </w:r>
          </w:p>
        </w:tc>
        <w:tc>
          <w:tcPr>
            <w:tcW w:type="dxa" w:w="2676"/>
          </w:tcPr>
          <w:p>
            <w:pPr>
              <w:pStyle w:val="Compact"/>
            </w:pPr>
            <w:r>
              <w:t xml:space="preserve">no</w:t>
            </w:r>
          </w:p>
        </w:tc>
      </w:tr>
      <w:tr>
        <w:tc>
          <w:tcPr>
            <w:tcW w:type="dxa" w:w="2899"/>
          </w:tcPr>
          <w:p>
            <w:pPr>
              <w:pStyle w:val="Compact"/>
            </w:pPr>
            <w:r>
              <w:t xml:space="preserve">Mahalanobis, burned centroids</w:t>
            </w:r>
          </w:p>
        </w:tc>
        <w:tc>
          <w:tcPr>
            <w:tcW w:type="dxa" w:w="1338"/>
          </w:tcPr>
          <w:p>
            <w:pPr>
              <w:pStyle w:val="Compact"/>
            </w:pPr>
            <w:r>
              <w:t xml:space="preserve">P(x|y=1) niche</w:t>
            </w:r>
          </w:p>
        </w:tc>
        <w:tc>
          <w:tcPr>
            <w:tcW w:type="dxa" w:w="297"/>
          </w:tcPr>
          <w:p>
            <w:pPr>
              <w:pStyle w:val="Compact"/>
            </w:pPr>
            <w:r>
              <w:t xml:space="preserve">−</w:t>
            </w:r>
          </w:p>
        </w:tc>
        <w:tc>
          <w:tcPr>
            <w:tcW w:type="dxa" w:w="372"/>
          </w:tcPr>
          <w:p>
            <w:pPr>
              <w:pStyle w:val="Compact"/>
            </w:pPr>
            <w:r>
              <w:t xml:space="preserve">20</w:t>
            </w:r>
          </w:p>
        </w:tc>
        <w:tc>
          <w:tcPr>
            <w:tcW w:type="dxa" w:w="1487"/>
          </w:tcPr>
          <w:p>
            <w:pPr>
              <w:pStyle w:val="Compact"/>
            </w:pPr>
            <w:r>
              <w:t xml:space="preserve">−0.22 [−0.82, +0.42]</w:t>
            </w:r>
          </w:p>
        </w:tc>
        <w:tc>
          <w:tcPr>
            <w:tcW w:type="dxa" w:w="2676"/>
          </w:tcPr>
          <w:p>
            <w:pPr>
              <w:pStyle w:val="Compact"/>
            </w:pPr>
            <w:r>
              <w:t xml:space="preserve">no</w:t>
            </w:r>
          </w:p>
        </w:tc>
      </w:tr>
      <w:tr>
        <w:tc>
          <w:tcPr>
            <w:tcW w:type="dxa" w:w="2899"/>
          </w:tcPr>
          <w:p>
            <w:pPr>
              <w:pStyle w:val="Compact"/>
            </w:pPr>
            <w:r>
              <w:t xml:space="preserve">Domain-classifier AUC</w:t>
            </w:r>
          </w:p>
        </w:tc>
        <w:tc>
          <w:tcPr>
            <w:tcW w:type="dxa" w:w="1338"/>
          </w:tcPr>
          <w:p>
            <w:pPr>
              <w:pStyle w:val="Compact"/>
            </w:pPr>
            <w:r>
              <w:t xml:space="preserve">P(ix) marginal</w:t>
            </w:r>
          </w:p>
        </w:tc>
        <w:tc>
          <w:tcPr>
            <w:tcW w:type="dxa" w:w="297"/>
          </w:tcPr>
          <w:p>
            <w:pPr>
              <w:pStyle w:val="Compact"/>
            </w:pPr>
            <w:r>
              <w:t xml:space="preserve">−</w:t>
            </w:r>
          </w:p>
        </w:tc>
        <w:tc>
          <w:tcPr>
            <w:tcW w:type="dxa" w:w="372"/>
          </w:tcPr>
          <w:p>
            <w:pPr>
              <w:pStyle w:val="Compact"/>
            </w:pPr>
            <w:r>
              <w:t xml:space="preserve">20</w:t>
            </w:r>
          </w:p>
        </w:tc>
        <w:tc>
          <w:tcPr>
            <w:tcW w:type="dxa" w:w="1487"/>
          </w:tcPr>
          <w:p>
            <w:pPr>
              <w:pStyle w:val="Compact"/>
            </w:pPr>
            <w:r>
              <w:t xml:space="preserve">−0.33 [−0.81, +0.36]</w:t>
            </w:r>
          </w:p>
        </w:tc>
        <w:tc>
          <w:tcPr>
            <w:tcW w:type="dxa" w:w="2676"/>
          </w:tcPr>
          <w:p>
            <w:pPr>
              <w:pStyle w:val="Compact"/>
            </w:pPr>
            <w:r>
              <w:t xml:space="preserve">no</w:t>
            </w:r>
          </w:p>
        </w:tc>
      </w:tr>
      <w:tr>
        <w:tc>
          <w:tcPr>
            <w:tcW w:type="dxa" w:w="2899"/>
          </w:tcPr>
          <w:p>
            <w:pPr>
              <w:pStyle w:val="Compact"/>
            </w:pPr>
            <w:r>
              <w:t xml:space="preserve">Predictor-space mean dissimilarity</w:t>
            </w:r>
          </w:p>
        </w:tc>
        <w:tc>
          <w:tcPr>
            <w:tcW w:type="dxa" w:w="1338"/>
          </w:tcPr>
          <w:p>
            <w:pPr>
              <w:pStyle w:val="Compact"/>
            </w:pPr>
            <w:r>
              <w:t xml:space="preserve">P(ix) marginal</w:t>
            </w:r>
          </w:p>
        </w:tc>
        <w:tc>
          <w:tcPr>
            <w:tcW w:type="dxa" w:w="297"/>
          </w:tcPr>
          <w:p>
            <w:pPr>
              <w:pStyle w:val="Compact"/>
            </w:pPr>
            <w:r>
              <w:t xml:space="preserve">−</w:t>
            </w:r>
          </w:p>
        </w:tc>
        <w:tc>
          <w:tcPr>
            <w:tcW w:type="dxa" w:w="372"/>
          </w:tcPr>
          <w:p>
            <w:pPr>
              <w:pStyle w:val="Compact"/>
            </w:pPr>
            <w:r>
              <w:t xml:space="preserve">12</w:t>
            </w:r>
          </w:p>
        </w:tc>
        <w:tc>
          <w:tcPr>
            <w:tcW w:type="dxa" w:w="1487"/>
          </w:tcPr>
          <w:p>
            <w:pPr>
              <w:pStyle w:val="Compact"/>
            </w:pPr>
            <w:r>
              <w:t xml:space="preserve">−0.13 [−0.67, +0.37]</w:t>
            </w:r>
          </w:p>
        </w:tc>
        <w:tc>
          <w:tcPr>
            <w:tcW w:type="dxa" w:w="2676"/>
          </w:tcPr>
          <w:p>
            <w:pPr>
              <w:pStyle w:val="Compact"/>
            </w:pPr>
            <w:r>
              <w:t xml:space="preserve">no</w:t>
            </w:r>
          </w:p>
        </w:tc>
      </w:tr>
      <w:tr>
        <w:tc>
          <w:tcPr>
            <w:tcW w:type="dxa" w:w="2899"/>
          </w:tcPr>
          <w:p>
            <w:pPr>
              <w:pStyle w:val="Compact"/>
            </w:pPr>
            <w:r>
              <w:t xml:space="preserve">Predictor-space p95 dissimilarity</w:t>
            </w:r>
          </w:p>
        </w:tc>
        <w:tc>
          <w:tcPr>
            <w:tcW w:type="dxa" w:w="1338"/>
          </w:tcPr>
          <w:p>
            <w:pPr>
              <w:pStyle w:val="Compact"/>
            </w:pPr>
            <w:r>
              <w:t xml:space="preserve">P(ix) marginal</w:t>
            </w:r>
          </w:p>
        </w:tc>
        <w:tc>
          <w:tcPr>
            <w:tcW w:type="dxa" w:w="297"/>
          </w:tcPr>
          <w:p>
            <w:pPr>
              <w:pStyle w:val="Compact"/>
            </w:pPr>
            <w:r>
              <w:t xml:space="preserve">−</w:t>
            </w:r>
          </w:p>
        </w:tc>
        <w:tc>
          <w:tcPr>
            <w:tcW w:type="dxa" w:w="372"/>
          </w:tcPr>
          <w:p>
            <w:pPr>
              <w:pStyle w:val="Compact"/>
            </w:pPr>
            <w:r>
              <w:t xml:space="preserve">12</w:t>
            </w:r>
          </w:p>
        </w:tc>
        <w:tc>
          <w:tcPr>
            <w:tcW w:type="dxa" w:w="1487"/>
          </w:tcPr>
          <w:p>
            <w:pPr>
              <w:pStyle w:val="Compact"/>
            </w:pPr>
            <w:r>
              <w:t xml:space="preserve">−0.15 [−0.68, +0.24]</w:t>
            </w:r>
          </w:p>
        </w:tc>
        <w:tc>
          <w:tcPr>
            <w:tcW w:type="dxa" w:w="2676"/>
          </w:tcPr>
          <w:p>
            <w:pPr>
              <w:pStyle w:val="Compact"/>
            </w:pPr>
            <w:r>
              <w:t xml:space="preserve">no</w:t>
            </w:r>
          </w:p>
        </w:tc>
      </w:tr>
      <w:tr>
        <w:tc>
          <w:tcPr>
            <w:tcW w:type="dxa" w:w="2899"/>
          </w:tcPr>
          <w:p>
            <w:pPr>
              <w:pStyle w:val="Compact"/>
            </w:pPr>
            <w:r>
              <w:t xml:space="preserve">Fraction inside weighted AoA</w:t>
            </w:r>
          </w:p>
        </w:tc>
        <w:tc>
          <w:tcPr>
            <w:tcW w:type="dxa" w:w="1338"/>
          </w:tcPr>
          <w:p>
            <w:pPr>
              <w:pStyle w:val="Compact"/>
            </w:pPr>
            <w:r>
              <w:t xml:space="preserve">P(ix) marginal</w:t>
            </w:r>
          </w:p>
        </w:tc>
        <w:tc>
          <w:tcPr>
            <w:tcW w:type="dxa" w:w="297"/>
          </w:tcPr>
          <w:p>
            <w:pPr>
              <w:pStyle w:val="Compact"/>
            </w:pPr>
            <w:r>
              <w:t xml:space="preserve">+</w:t>
            </w:r>
          </w:p>
        </w:tc>
        <w:tc>
          <w:tcPr>
            <w:tcW w:type="dxa" w:w="372"/>
          </w:tcPr>
          <w:p>
            <w:pPr>
              <w:pStyle w:val="Compact"/>
            </w:pPr>
            <w:r>
              <w:t xml:space="preserve">12</w:t>
            </w:r>
          </w:p>
        </w:tc>
        <w:tc>
          <w:tcPr>
            <w:tcW w:type="dxa" w:w="1487"/>
          </w:tcPr>
          <w:p>
            <w:pPr>
              <w:pStyle w:val="Compact"/>
            </w:pPr>
            <w:r>
              <w:t xml:space="preserve">+0.21 [−0.48, +0.62]</w:t>
            </w:r>
          </w:p>
        </w:tc>
        <w:tc>
          <w:tcPr>
            <w:tcW w:type="dxa" w:w="2676"/>
          </w:tcPr>
          <w:p>
            <w:pPr>
              <w:pStyle w:val="Compact"/>
            </w:pPr>
            <w:r>
              <w:t xml:space="preserve">no</w:t>
            </w:r>
          </w:p>
        </w:tc>
      </w:tr>
      <w:tr>
        <w:tc>
          <w:tcPr>
            <w:tcW w:type="dxa" w:w="2899"/>
          </w:tcPr>
          <w:p>
            <w:pPr>
              <w:pStyle w:val="Compact"/>
            </w:pPr>
            <w:r>
              <w:t xml:space="preserve">Fraction inside unweighted support</w:t>
            </w:r>
          </w:p>
        </w:tc>
        <w:tc>
          <w:tcPr>
            <w:tcW w:type="dxa" w:w="1338"/>
          </w:tcPr>
          <w:p>
            <w:pPr>
              <w:pStyle w:val="Compact"/>
            </w:pPr>
            <w:r>
              <w:t xml:space="preserve">P(ix) marginal</w:t>
            </w:r>
          </w:p>
        </w:tc>
        <w:tc>
          <w:tcPr>
            <w:tcW w:type="dxa" w:w="297"/>
          </w:tcPr>
          <w:p>
            <w:pPr>
              <w:pStyle w:val="Compact"/>
            </w:pPr>
            <w:r>
              <w:t xml:space="preserve">+</w:t>
            </w:r>
          </w:p>
        </w:tc>
        <w:tc>
          <w:tcPr>
            <w:tcW w:type="dxa" w:w="372"/>
          </w:tcPr>
          <w:p>
            <w:pPr>
              <w:pStyle w:val="Compact"/>
            </w:pPr>
            <w:r>
              <w:t xml:space="preserve">12</w:t>
            </w:r>
          </w:p>
        </w:tc>
        <w:tc>
          <w:tcPr>
            <w:tcW w:type="dxa" w:w="1487"/>
          </w:tcPr>
          <w:p>
            <w:pPr>
              <w:pStyle w:val="Compact"/>
            </w:pPr>
            <w:r>
              <w:t xml:space="preserve">+0.08 [−0.92, +0.76]</w:t>
            </w:r>
          </w:p>
        </w:tc>
        <w:tc>
          <w:tcPr>
            <w:tcW w:type="dxa" w:w="2676"/>
          </w:tcPr>
          <w:p>
            <w:pPr>
              <w:pStyle w:val="Compact"/>
            </w:pPr>
            <w:r>
              <w:t xml:space="preserve">no</w:t>
            </w:r>
          </w:p>
        </w:tc>
      </w:tr>
      <w:tr>
        <w:tc>
          <w:tcPr>
            <w:tcW w:type="dxa" w:w="2899"/>
          </w:tcPr>
          <w:p>
            <w:pPr>
              <w:pStyle w:val="Compact"/>
            </w:pPr>
            <w:r>
              <w:t xml:space="preserve">Climatic distance</w:t>
            </w:r>
          </w:p>
        </w:tc>
        <w:tc>
          <w:tcPr>
            <w:tcW w:type="dxa" w:w="1338"/>
          </w:tcPr>
          <w:p>
            <w:pPr>
              <w:pStyle w:val="Compact"/>
            </w:pPr>
            <w:r>
              <w:t xml:space="preserve">P(ix) marginal</w:t>
            </w:r>
          </w:p>
        </w:tc>
        <w:tc>
          <w:tcPr>
            <w:tcW w:type="dxa" w:w="297"/>
          </w:tcPr>
          <w:p>
            <w:pPr>
              <w:pStyle w:val="Compact"/>
            </w:pPr>
            <w:r>
              <w:t xml:space="preserve">−</w:t>
            </w:r>
          </w:p>
        </w:tc>
        <w:tc>
          <w:tcPr>
            <w:tcW w:type="dxa" w:w="372"/>
          </w:tcPr>
          <w:p>
            <w:pPr>
              <w:pStyle w:val="Compact"/>
            </w:pPr>
            <w:r>
              <w:t xml:space="preserve">12</w:t>
            </w:r>
          </w:p>
        </w:tc>
        <w:tc>
          <w:tcPr>
            <w:tcW w:type="dxa" w:w="1487"/>
          </w:tcPr>
          <w:p>
            <w:pPr>
              <w:pStyle w:val="Compact"/>
            </w:pPr>
            <w:r>
              <w:t xml:space="preserve">+0.03 [−0.84, +0.84]</w:t>
            </w:r>
          </w:p>
        </w:tc>
        <w:tc>
          <w:tcPr>
            <w:tcW w:type="dxa" w:w="2676"/>
          </w:tcPr>
          <w:p>
            <w:pPr>
              <w:pStyle w:val="Compact"/>
            </w:pPr>
            <w:r>
              <w:t xml:space="preserve">no</w:t>
            </w:r>
          </w:p>
        </w:tc>
      </w:tr>
      <w:tr>
        <w:tc>
          <w:tcPr>
            <w:tcW w:type="dxa" w:w="2899"/>
          </w:tcPr>
          <w:p>
            <w:pPr>
              <w:pStyle w:val="Compact"/>
            </w:pPr>
            <w:r>
              <w:t xml:space="preserve">Geographic distance</w:t>
            </w:r>
          </w:p>
        </w:tc>
        <w:tc>
          <w:tcPr>
            <w:tcW w:type="dxa" w:w="1338"/>
          </w:tcPr>
          <w:p>
            <w:pPr>
              <w:pStyle w:val="Compact"/>
            </w:pPr>
            <w:r>
              <w:t xml:space="preserve">geographic</w:t>
            </w:r>
          </w:p>
        </w:tc>
        <w:tc>
          <w:tcPr>
            <w:tcW w:type="dxa" w:w="297"/>
          </w:tcPr>
          <w:p>
            <w:pPr>
              <w:pStyle w:val="Compact"/>
            </w:pPr>
            <w:r>
              <w:t xml:space="preserve">−</w:t>
            </w:r>
          </w:p>
        </w:tc>
        <w:tc>
          <w:tcPr>
            <w:tcW w:type="dxa" w:w="372"/>
          </w:tcPr>
          <w:p>
            <w:pPr>
              <w:pStyle w:val="Compact"/>
            </w:pPr>
            <w:r>
              <w:t xml:space="preserve">12</w:t>
            </w:r>
          </w:p>
        </w:tc>
        <w:tc>
          <w:tcPr>
            <w:tcW w:type="dxa" w:w="1487"/>
          </w:tcPr>
          <w:p>
            <w:pPr>
              <w:pStyle w:val="Compact"/>
            </w:pPr>
            <w:r>
              <w:t xml:space="preserve">−0.17 [−0.87, +0.84]</w:t>
            </w:r>
          </w:p>
        </w:tc>
        <w:tc>
          <w:tcPr>
            <w:tcW w:type="dxa" w:w="2676"/>
          </w:tcPr>
          <w:p>
            <w:pPr>
              <w:pStyle w:val="Compact"/>
            </w:pPr>
            <w:r>
              <w:t xml:space="preserve">no</w:t>
            </w:r>
          </w:p>
        </w:tc>
      </w:tr>
      <w:tr>
        <w:tc>
          <w:tcPr>
            <w:tcW w:type="dxa" w:w="2899"/>
          </w:tcPr>
          <w:p>
            <w:pPr>
              <w:pStyle w:val="Compact"/>
            </w:pPr>
            <w:r>
              <w:t xml:space="preserve">Regime distance, log effective-N</w:t>
            </w:r>
          </w:p>
        </w:tc>
        <w:tc>
          <w:tcPr>
            <w:tcW w:type="dxa" w:w="1338"/>
          </w:tcPr>
          <w:p>
            <w:pPr>
              <w:pStyle w:val="Compact"/>
            </w:pPr>
            <w:r>
              <w:t xml:space="preserve">P(y) structure</w:t>
            </w:r>
          </w:p>
        </w:tc>
        <w:tc>
          <w:tcPr>
            <w:tcW w:type="dxa" w:w="297"/>
          </w:tcPr>
          <w:p>
            <w:pPr>
              <w:pStyle w:val="Compact"/>
            </w:pPr>
            <w:r>
              <w:t xml:space="preserve">−</w:t>
            </w:r>
          </w:p>
        </w:tc>
        <w:tc>
          <w:tcPr>
            <w:tcW w:type="dxa" w:w="372"/>
          </w:tcPr>
          <w:p>
            <w:pPr>
              <w:pStyle w:val="Compact"/>
            </w:pPr>
            <w:r>
              <w:t xml:space="preserve">20</w:t>
            </w:r>
          </w:p>
        </w:tc>
        <w:tc>
          <w:tcPr>
            <w:tcW w:type="dxa" w:w="1487"/>
          </w:tcPr>
          <w:p>
            <w:pPr>
              <w:pStyle w:val="Compact"/>
            </w:pPr>
            <w:r>
              <w:t xml:space="preserve">+0.11 [−0.67, +0.80]</w:t>
            </w:r>
          </w:p>
        </w:tc>
        <w:tc>
          <w:tcPr>
            <w:tcW w:type="dxa" w:w="2676"/>
          </w:tcPr>
          <w:p>
            <w:pPr>
              <w:pStyle w:val="Compact"/>
            </w:pPr>
            <w:r>
              <w:t xml:space="preserve">no</w:t>
            </w:r>
          </w:p>
        </w:tc>
      </w:tr>
      <w:tr>
        <w:tc>
          <w:tcPr>
            <w:tcW w:type="dxa" w:w="2899"/>
          </w:tcPr>
          <w:p>
            <w:pPr>
              <w:pStyle w:val="Compact"/>
            </w:pPr>
            <w:r>
              <w:t xml:space="preserve">Regime distance, largest share</w:t>
            </w:r>
          </w:p>
        </w:tc>
        <w:tc>
          <w:tcPr>
            <w:tcW w:type="dxa" w:w="1338"/>
          </w:tcPr>
          <w:p>
            <w:pPr>
              <w:pStyle w:val="Compact"/>
            </w:pPr>
            <w:r>
              <w:t xml:space="preserve">P(y) structure</w:t>
            </w:r>
          </w:p>
        </w:tc>
        <w:tc>
          <w:tcPr>
            <w:tcW w:type="dxa" w:w="297"/>
          </w:tcPr>
          <w:p>
            <w:pPr>
              <w:pStyle w:val="Compact"/>
            </w:pPr>
            <w:r>
              <w:t xml:space="preserve">−</w:t>
            </w:r>
          </w:p>
        </w:tc>
        <w:tc>
          <w:tcPr>
            <w:tcW w:type="dxa" w:w="372"/>
          </w:tcPr>
          <w:p>
            <w:pPr>
              <w:pStyle w:val="Compact"/>
            </w:pPr>
            <w:r>
              <w:t xml:space="preserve">20</w:t>
            </w:r>
          </w:p>
        </w:tc>
        <w:tc>
          <w:tcPr>
            <w:tcW w:type="dxa" w:w="1487"/>
          </w:tcPr>
          <w:p>
            <w:pPr>
              <w:pStyle w:val="Compact"/>
            </w:pPr>
            <w:r>
              <w:t xml:space="preserve">+0.11 [−0.66, +0.77]</w:t>
            </w:r>
          </w:p>
        </w:tc>
        <w:tc>
          <w:tcPr>
            <w:tcW w:type="dxa" w:w="2676"/>
          </w:tcPr>
          <w:p>
            <w:pPr>
              <w:pStyle w:val="Compact"/>
            </w:pPr>
            <w:r>
              <w:t xml:space="preserve">no</w:t>
            </w:r>
          </w:p>
        </w:tc>
      </w:tr>
      <w:tr>
        <w:tc>
          <w:tcPr>
            <w:tcW w:type="dxa" w:w="2899"/>
          </w:tcPr>
          <w:p>
            <w:pPr>
              <w:pStyle w:val="Compact"/>
            </w:pPr>
            <w:r>
              <w:t xml:space="preserve">Vector Spearman, supported (≥3 feats) ‡</w:t>
            </w:r>
          </w:p>
        </w:tc>
        <w:tc>
          <w:tcPr>
            <w:tcW w:type="dxa" w:w="1338"/>
          </w:tcPr>
          <w:p>
            <w:pPr>
              <w:pStyle w:val="Compact"/>
            </w:pPr>
            <w:r>
              <w:t xml:space="preserve">P(y|x) conditional</w:t>
            </w:r>
          </w:p>
        </w:tc>
        <w:tc>
          <w:tcPr>
            <w:tcW w:type="dxa" w:w="297"/>
          </w:tcPr>
          <w:p>
            <w:pPr>
              <w:pStyle w:val="Compact"/>
            </w:pPr>
            <w:r>
              <w:t xml:space="preserve">+</w:t>
            </w:r>
          </w:p>
        </w:tc>
        <w:tc>
          <w:tcPr>
            <w:tcW w:type="dxa" w:w="372"/>
          </w:tcPr>
          <w:p>
            <w:pPr>
              <w:pStyle w:val="Compact"/>
            </w:pPr>
            <w:r>
              <w:t xml:space="preserve">6</w:t>
            </w:r>
          </w:p>
        </w:tc>
        <w:tc>
          <w:tcPr>
            <w:tcW w:type="dxa" w:w="1487"/>
          </w:tcPr>
          <w:p>
            <w:pPr>
              <w:pStyle w:val="Compact"/>
            </w:pPr>
            <w:r>
              <w:t xml:space="preserve">+0.96 [+0.85, +0.96]</w:t>
            </w:r>
          </w:p>
        </w:tc>
        <w:tc>
          <w:tcPr>
            <w:tcW w:type="dxa" w:w="2676"/>
          </w:tcPr>
          <w:p>
            <w:pPr>
              <w:pStyle w:val="Compact"/>
            </w:pPr>
            <w:r>
              <w:t xml:space="preserve">degenerate interval; not interpreted</w:t>
            </w:r>
          </w:p>
        </w:tc>
      </w:tr>
    </w:tbl>
    <w:p>
      <w:pPr>
        <w:pStyle w:val="BodyText"/>
      </w:pPr>
      <w:r>
        <w:rPr>
          <w:i/>
          <w:iCs/>
        </w:rPr>
        <w:t xml:space="preserve">Table note.</w:t>
      </w:r>
      <w:r>
        <w:t xml:space="preserve"> </w:t>
      </w:r>
      <w:r>
        <w:t xml:space="preserve">A null row means the diagnostic was</w:t>
      </w:r>
      <w:r>
        <w:t xml:space="preserve"> </w:t>
      </w:r>
      <w:r>
        <w:rPr>
          <w:b/>
          <w:bCs/>
        </w:rPr>
        <w:t xml:space="preserve">not shown to order transfer</w:t>
      </w:r>
      <w:r>
        <w:t xml:space="preserve"> </w:t>
      </w:r>
      <w:r>
        <w:t xml:space="preserve">on this design, not</w:t>
      </w:r>
      <w:r>
        <w:t xml:space="preserve"> </w:t>
      </w:r>
      <w:r>
        <w:t xml:space="preserve">that it was shown incapable of ordering it. With ten effective region pairs the power is low, and the</w:t>
      </w:r>
      <w:r>
        <w:t xml:space="preserve"> </w:t>
      </w:r>
      <w:r>
        <w:t xml:space="preserve">intervals are wide enough to admit moderate true correlations in either direction. ‡ The last row is a</w:t>
      </w:r>
      <w:r>
        <w:t xml:space="preserve"> </w:t>
      </w:r>
      <w:r>
        <w:t xml:space="preserve">member of the candidate set fixed in advance, so it stays in the table. It is defined on six</w:t>
      </w:r>
      <w:r>
        <w:t xml:space="preserve"> </w:t>
      </w:r>
      <w:r>
        <w:t xml:space="preserve">directions only, and its interval is degenerate (the upper bound equals the point estimate), so it is</w:t>
      </w:r>
      <w:r>
        <w:t xml:space="preserve"> </w:t>
      </w:r>
      <w:r>
        <w:t xml:space="preserve">not interpreted and is not comparable with the other nineteen. Under the frozen label it was</w:t>
      </w:r>
      <w:r>
        <w:t xml:space="preserve"> </w:t>
      </w:r>
      <w:r>
        <w:t xml:space="preserve">defined on two directions and not computable.</w:t>
      </w:r>
    </w:p>
    <w:p>
      <w:pPr>
        <w:pStyle w:val="BodyText"/>
      </w:pPr>
      <w:r>
        <w:rPr>
          <w:b/>
          <w:bCs/>
        </w:rPr>
        <w:t xml:space="preserve">The two rows that once cleared zero.</w:t>
      </w:r>
      <w:r>
        <w:t xml:space="preserve"> </w:t>
      </w:r>
      <w:r>
        <w:t xml:space="preserve">Under the frozen label the two supported-feature variants</w:t>
      </w:r>
      <w:r>
        <w:t xml:space="preserve"> </w:t>
      </w:r>
      <w:r>
        <w:t xml:space="preserve">cleared zero (+0.84 and +0.81 over sixteen directions). Both select their predictor subset by</w:t>
      </w:r>
      <w:r>
        <w:t xml:space="preserve"> </w:t>
      </w:r>
      <w:r>
        <w:t xml:space="preserve">whether two regions’ bootstrap intervals happen to exclude 0.5, a data-dependent selection made on the</w:t>
      </w:r>
      <w:r>
        <w:t xml:space="preserve"> </w:t>
      </w:r>
      <w:r>
        <w:t xml:space="preserve">same data, uncorrected. Under the corrected label neither clears zero (+0.52 and +0.49 over eighteen</w:t>
      </w:r>
      <w:r>
        <w:t xml:space="preserve"> </w:t>
      </w:r>
      <w:r>
        <w:t xml:space="preserve">directions), and no interpretable row does (Section 1.3, Contribution 3; Section 5.4 on why measures</w:t>
      </w:r>
      <w:r>
        <w:t xml:space="preserve"> </w:t>
      </w:r>
      <w:r>
        <w:t xml:space="preserve">built from interval support are fragile).</w:t>
      </w:r>
    </w:p>
    <w:p>
      <w:pPr>
        <w:pStyle w:val="BodyText"/>
      </w:pPr>
      <w:r>
        <w:rPr>
          <w:b/>
          <w:bCs/>
        </w:rPr>
        <w:t xml:space="preserve">Equal-sample check.</w:t>
      </w:r>
      <w:r>
        <w:t xml:space="preserve"> </w:t>
      </w:r>
      <w:r>
        <w:t xml:space="preserve">The families sit on unequal samples: marginal, applicability, climatic and</w:t>
      </w:r>
      <w:r>
        <w:t xml:space="preserve"> </w:t>
      </w:r>
      <w:r>
        <w:t xml:space="preserve">geographic rows on twelve directions, the supported-conditional rows on sixteen, the rest on twenty.</w:t>
      </w:r>
      <w:r>
        <w:t xml:space="preserve"> </w:t>
      </w:r>
      <w:r>
        <w:t xml:space="preserve">Recomputing every row on the common twelve directions reproduces the published values to</w:t>
      </w:r>
      <w:r>
        <w:t xml:space="preserve"> </w:t>
      </w:r>
      <w:r>
        <w:t xml:space="preserve">4.8 × 10⁻⁵ and leaves the ordering unchanged — the conditional rows still lead at +0.87 [+0.65, +0.88]</w:t>
      </w:r>
      <w:r>
        <w:t xml:space="preserve"> </w:t>
      </w:r>
      <w:r>
        <w:t xml:space="preserve">and +0.85 [+0.43, +0.88], every marginal row still spans zero. Source:</w:t>
      </w:r>
      <w:r>
        <w:t xml:space="preserve"> </w:t>
      </w:r>
      <w:r>
        <w:rPr>
          <w:rStyle w:val="VerbatimChar"/>
        </w:rPr>
        <w:t xml:space="preserve">paper/diagnostics_common_subset.md</w:t>
      </w:r>
      <w:r>
        <w:t xml:space="preserve">.</w:t>
      </w:r>
    </w:p>
    <w:p>
      <w:pPr>
        <w:pStyle w:val="BodyText"/>
      </w:pPr>
      <w:r>
        <w:rPr>
          <w:b/>
          <w:bCs/>
        </w:rPr>
        <w:t xml:space="preserve">Table S18. The most and least environmentally similar pairs, on both frames.</w:t>
      </w:r>
      <w:r>
        <w:t xml:space="preserve"> </w:t>
      </w:r>
      <w:r>
        <w:t xml:space="preserve">Schoener’s</w:t>
      </w:r>
      <w:r>
        <w:t xml:space="preserve"> </w:t>
      </w:r>
      <w:r>
        <w:rPr>
          <w:i/>
          <w:iCs/>
        </w:rPr>
        <w:t xml:space="preserve">D</w:t>
      </w:r>
      <w:r>
        <w:t xml:space="preserve"> </w:t>
      </w:r>
      <w:r>
        <w:t xml:space="preserve">is</w:t>
      </w:r>
      <w:r>
        <w:t xml:space="preserve"> </w:t>
      </w:r>
      <w:r>
        <w:t xml:space="preserve">computed over burned cells only and is therefore collar-invariant. Transfer values are the two</w:t>
      </w:r>
      <w:r>
        <w:t xml:space="preserve"> </w:t>
      </w:r>
      <w:r>
        <w:t xml:space="preserve">ordered directions of each pair; ranks are out of the twenty directions on the equalised frame.</w:t>
      </w:r>
      <w:r>
        <w:t xml:space="preserve"> </w:t>
      </w:r>
      <w:r>
        <w:t xml:space="preserve">Corrected Manavgat label. Schoener’s</w:t>
      </w:r>
      <w:r>
        <w:t xml:space="preserve"> </w:t>
      </w:r>
      <w:r>
        <w:rPr>
          <w:i/>
          <w:iCs/>
        </w:rPr>
        <w:t xml:space="preserve">D</w:t>
      </w:r>
      <w:r>
        <w:t xml:space="preserve">, per-feature</w:t>
      </w:r>
      <w:r>
        <w:t xml:space="preserve"> </w:t>
      </w:r>
      <w:r>
        <w:rPr>
          <w:i/>
          <w:iCs/>
        </w:rPr>
        <w:t xml:space="preserve">D</w:t>
      </w:r>
      <w:r>
        <w:t xml:space="preserve"> </w:t>
      </w:r>
      <w:r>
        <w:t xml:space="preserve">and as-drawn transfer are read from Fig. 8’s</w:t>
      </w:r>
      <w:r>
        <w:t xml:space="preserve"> </w:t>
      </w:r>
      <w:r>
        <w:t xml:space="preserve">source,</w:t>
      </w:r>
      <w:r>
        <w:t xml:space="preserve"> </w:t>
      </w:r>
      <w:r>
        <w:rPr>
          <w:rStyle w:val="VerbatimChar"/>
        </w:rPr>
        <w:t xml:space="preserve">paper/labelfix_rerun/round5/out_official/figure_contrast_pairs.json</w:t>
      </w:r>
      <w:r>
        <w:t xml:space="preserve">; collar transfer and</w:t>
      </w:r>
      <w:r>
        <w:t xml:space="preserve"> </w:t>
      </w:r>
      <w:r>
        <w:t xml:space="preserve">ranks from Table S8’s source,</w:t>
      </w:r>
      <w:r>
        <w:t xml:space="preserve"> </w:t>
      </w:r>
      <w:r>
        <w:rPr>
          <w:rStyle w:val="VerbatimChar"/>
        </w:rPr>
        <w:t xml:space="preserve">paper/labelfix_rerun/round5/collar/aoi_frame_transfer.csv</w:t>
      </w:r>
      <w:r>
        <w:t xml:space="preserve">; the AoA</w:t>
      </w:r>
      <w:r>
        <w:t xml:space="preserve"> </w:t>
      </w:r>
      <w:r>
        <w:t xml:space="preserve">shares from</w:t>
      </w:r>
      <w:r>
        <w:t xml:space="preserve"> </w:t>
      </w:r>
      <w:r>
        <w:rPr>
          <w:rStyle w:val="VerbatimChar"/>
        </w:rPr>
        <w:t xml:space="preserve">paper/labelfix_rerun/round5/collar/aoa_directed_pair_summary.csv</w:t>
      </w:r>
      <w:r>
        <w:t xml:space="preserve">. Every cell is</w:t>
      </w:r>
      <w:r>
        <w:t xml:space="preserve"> </w:t>
      </w:r>
      <w:r>
        <w:t xml:space="preserve">asserted against those files at build time (</w:t>
      </w:r>
      <w:r>
        <w:rPr>
          <w:rStyle w:val="VerbatimChar"/>
        </w:rPr>
        <w:t xml:space="preserve">paper/figures/fig8_contrast_pairs.py</w:t>
      </w:r>
      <w:r>
        <w:t xml:space="preserve">).</w:t>
      </w:r>
    </w:p>
    <w:tbl>
      <w:tblPr>
        <w:tblStyle w:val="Table"/>
        <w:tblW w:type="auto" w:w="0"/>
        <w:tblLook w:firstRow="1" w:lastRow="0" w:firstColumn="0" w:lastColumn="0" w:noHBand="0" w:noVBand="0" w:val="0020"/>
      </w:tblPr>
      <w:tblGrid>
        <w:gridCol w:w="5165"/>
        <w:gridCol w:w="1890"/>
        <w:gridCol w:w="2016"/>
      </w:tblGrid>
      <w:tr>
        <w:trPr>
          <w:tblHeader w:val="on"/>
        </w:trPr>
        <w:tc>
          <w:tcPr>
            <w:tcW w:type="dxa" w:w="5165"/>
          </w:tcPr>
          <w:p>
            <w:pPr>
              <w:pStyle w:val="Compact"/>
            </w:pPr>
          </w:p>
        </w:tc>
        <w:tc>
          <w:tcPr>
            <w:tcW w:type="dxa" w:w="1890"/>
          </w:tcPr>
          <w:p>
            <w:pPr>
              <w:pStyle w:val="Compact"/>
            </w:pPr>
            <w:r>
              <w:t xml:space="preserve">Manavgat–Muğla</w:t>
            </w:r>
          </w:p>
        </w:tc>
        <w:tc>
          <w:tcPr>
            <w:tcW w:type="dxa" w:w="2016"/>
          </w:tcPr>
          <w:p>
            <w:pPr>
              <w:pStyle w:val="Compact"/>
            </w:pPr>
            <w:r>
              <w:t xml:space="preserve">Bejís–Montiferru</w:t>
            </w:r>
          </w:p>
        </w:tc>
      </w:tr>
      <w:tr>
        <w:tc>
          <w:tcPr>
            <w:tcW w:type="dxa" w:w="5165"/>
          </w:tcPr>
          <w:p>
            <w:pPr>
              <w:pStyle w:val="Compact"/>
            </w:pPr>
            <w:r>
              <w:t xml:space="preserve">Schoener’s</w:t>
            </w:r>
            <w:r>
              <w:t xml:space="preserve"> </w:t>
            </w:r>
            <w:r>
              <w:rPr>
                <w:i/>
                <w:iCs/>
              </w:rPr>
              <w:t xml:space="preserve">D</w:t>
            </w:r>
            <w:r>
              <w:t xml:space="preserve">, mean 1-D</w:t>
            </w:r>
          </w:p>
        </w:tc>
        <w:tc>
          <w:tcPr>
            <w:tcW w:type="dxa" w:w="1890"/>
          </w:tcPr>
          <w:p>
            <w:pPr>
              <w:pStyle w:val="Compact"/>
            </w:pPr>
            <w:r>
              <w:rPr>
                <w:b/>
                <w:bCs/>
              </w:rPr>
              <w:t xml:space="preserve">0.799</w:t>
            </w:r>
            <w:r>
              <w:t xml:space="preserve"> </w:t>
            </w:r>
            <w:r>
              <w:t xml:space="preserve">(highest)</w:t>
            </w:r>
          </w:p>
        </w:tc>
        <w:tc>
          <w:tcPr>
            <w:tcW w:type="dxa" w:w="2016"/>
          </w:tcPr>
          <w:p>
            <w:pPr>
              <w:pStyle w:val="Compact"/>
            </w:pPr>
            <w:r>
              <w:rPr>
                <w:b/>
                <w:bCs/>
              </w:rPr>
              <w:t xml:space="preserve">0.479</w:t>
            </w:r>
            <w:r>
              <w:t xml:space="preserve"> </w:t>
            </w:r>
            <w:r>
              <w:t xml:space="preserve">(lowest)</w:t>
            </w:r>
          </w:p>
        </w:tc>
      </w:tr>
      <w:tr>
        <w:tc>
          <w:tcPr>
            <w:tcW w:type="dxa" w:w="5165"/>
          </w:tcPr>
          <w:p>
            <w:pPr>
              <w:pStyle w:val="Compact"/>
            </w:pPr>
            <w:r>
              <w:t xml:space="preserve">per-feature</w:t>
            </w:r>
            <w:r>
              <w:t xml:space="preserve"> </w:t>
            </w:r>
            <w:r>
              <w:rPr>
                <w:i/>
                <w:iCs/>
              </w:rPr>
              <w:t xml:space="preserve">D</w:t>
            </w:r>
          </w:p>
        </w:tc>
        <w:tc>
          <w:tcPr>
            <w:tcW w:type="dxa" w:w="1890"/>
          </w:tcPr>
          <w:p>
            <w:pPr>
              <w:pStyle w:val="Compact"/>
            </w:pPr>
            <w:r>
              <w:t xml:space="preserve">0.74 to 0.87</w:t>
            </w:r>
          </w:p>
        </w:tc>
        <w:tc>
          <w:tcPr>
            <w:tcW w:type="dxa" w:w="2016"/>
          </w:tcPr>
          <w:p>
            <w:pPr>
              <w:pStyle w:val="Compact"/>
            </w:pPr>
            <w:r>
              <w:t xml:space="preserve">0.23 to 0.77</w:t>
            </w:r>
          </w:p>
        </w:tc>
      </w:tr>
      <w:tr>
        <w:tc>
          <w:tcPr>
            <w:tcW w:type="dxa" w:w="5165"/>
          </w:tcPr>
          <w:p>
            <w:pPr>
              <w:pStyle w:val="Compact"/>
            </w:pPr>
            <w:r>
              <w:t xml:space="preserve">transfer, frames as drawn</w:t>
            </w:r>
          </w:p>
        </w:tc>
        <w:tc>
          <w:tcPr>
            <w:tcW w:type="dxa" w:w="1890"/>
          </w:tcPr>
          <w:p>
            <w:pPr>
              <w:pStyle w:val="Compact"/>
            </w:pPr>
            <w:r>
              <w:t xml:space="preserve">0.438, 0.345</w:t>
            </w:r>
          </w:p>
        </w:tc>
        <w:tc>
          <w:tcPr>
            <w:tcW w:type="dxa" w:w="2016"/>
          </w:tcPr>
          <w:p>
            <w:pPr>
              <w:pStyle w:val="Compact"/>
            </w:pPr>
            <w:r>
              <w:t xml:space="preserve">0.594, 0.548</w:t>
            </w:r>
          </w:p>
        </w:tc>
      </w:tr>
      <w:tr>
        <w:tc>
          <w:tcPr>
            <w:tcW w:type="dxa" w:w="5165"/>
          </w:tcPr>
          <w:p>
            <w:pPr>
              <w:pStyle w:val="Compact"/>
            </w:pPr>
            <w:r>
              <w:t xml:space="preserve">transfer, 10 km collar</w:t>
            </w:r>
          </w:p>
        </w:tc>
        <w:tc>
          <w:tcPr>
            <w:tcW w:type="dxa" w:w="1890"/>
          </w:tcPr>
          <w:p>
            <w:pPr>
              <w:pStyle w:val="Compact"/>
            </w:pPr>
            <w:r>
              <w:t xml:space="preserve">0.493, 0.433</w:t>
            </w:r>
          </w:p>
        </w:tc>
        <w:tc>
          <w:tcPr>
            <w:tcW w:type="dxa" w:w="2016"/>
          </w:tcPr>
          <w:p>
            <w:pPr>
              <w:pStyle w:val="Compact"/>
            </w:pPr>
            <w:r>
              <w:t xml:space="preserve">0.669, 0.624</w:t>
            </w:r>
          </w:p>
        </w:tc>
      </w:tr>
      <w:tr>
        <w:tc>
          <w:tcPr>
            <w:tcW w:type="dxa" w:w="5165"/>
          </w:tcPr>
          <w:p>
            <w:pPr>
              <w:pStyle w:val="Compact"/>
            </w:pPr>
            <w:r>
              <w:t xml:space="preserve">rank of 20 on the collar, from the bottom</w:t>
            </w:r>
          </w:p>
        </w:tc>
        <w:tc>
          <w:tcPr>
            <w:tcW w:type="dxa" w:w="1890"/>
          </w:tcPr>
          <w:p>
            <w:pPr>
              <w:pStyle w:val="Compact"/>
            </w:pPr>
            <w:r>
              <w:t xml:space="preserve">4th, 2nd</w:t>
            </w:r>
          </w:p>
        </w:tc>
        <w:tc>
          <w:tcPr>
            <w:tcW w:type="dxa" w:w="2016"/>
          </w:tcPr>
          <w:p>
            <w:pPr>
              <w:pStyle w:val="Compact"/>
            </w:pPr>
            <w:r>
              <w:t xml:space="preserve">16th, 12th</w:t>
            </w:r>
          </w:p>
        </w:tc>
      </w:tr>
      <w:tr>
        <w:tc>
          <w:tcPr>
            <w:tcW w:type="dxa" w:w="5165"/>
          </w:tcPr>
          <w:p>
            <w:pPr>
              <w:pStyle w:val="Compact"/>
            </w:pPr>
            <w:r>
              <w:t xml:space="preserve">target cells inside the AoA</w:t>
            </w:r>
          </w:p>
        </w:tc>
        <w:tc>
          <w:tcPr>
            <w:tcW w:type="dxa" w:w="1890"/>
          </w:tcPr>
          <w:p>
            <w:pPr>
              <w:pStyle w:val="Compact"/>
            </w:pPr>
            <w:r>
              <w:t xml:space="preserve">0.876, 0.531</w:t>
            </w:r>
          </w:p>
        </w:tc>
        <w:tc>
          <w:tcPr>
            <w:tcW w:type="dxa" w:w="2016"/>
          </w:tcPr>
          <w:p>
            <w:pPr>
              <w:pStyle w:val="Compact"/>
            </w:pPr>
            <w:r>
              <w:t xml:space="preserve">—</w:t>
            </w:r>
          </w:p>
        </w:tc>
      </w:tr>
    </w:tbl>
    <w:bookmarkEnd w:id="54"/>
    <w:bookmarkEnd w:id="55"/>
    <w:bookmarkStart w:id="70" w:name="s3-protocol-detail-and-limitations"/>
    <w:p>
      <w:pPr>
        <w:pStyle w:val="Heading1"/>
      </w:pPr>
      <w:r>
        <w:t xml:space="preserve">S3 Protocol detail and limitations</w:t>
      </w:r>
    </w:p>
    <w:p>
      <w:pPr>
        <w:pStyle w:val="FirstParagraph"/>
      </w:pPr>
      <w:r>
        <w:t xml:space="preserve">These protocols are given here in full rather than in Methods, because each is a specification a</w:t>
      </w:r>
      <w:r>
        <w:t xml:space="preserve"> </w:t>
      </w:r>
      <w:r>
        <w:t xml:space="preserve">reader needs only when checking the corresponding result, and none is needed to follow the</w:t>
      </w:r>
      <w:r>
        <w:t xml:space="preserve"> </w:t>
      </w:r>
      <w:r>
        <w:t xml:space="preserve">argument. Sections 3.2 to 3.4, 3.7, 3.9, 3.10, 3.13 and 3.14 state in summary what each does.</w:t>
      </w:r>
    </w:p>
    <w:bookmarkStart w:id="59" w:name="X7e7b212c5d054fdf29ae47676c209a07da91ef2"/>
    <w:p>
      <w:pPr>
        <w:pStyle w:val="Heading2"/>
      </w:pPr>
      <w:r>
        <w:t xml:space="preserve">S3.1 Burned-area label, the reconstructed analysis grid, and the admissibility gate</w:t>
      </w:r>
    </w:p>
    <w:p>
      <w:pPr>
        <w:pStyle w:val="FirstParagraph"/>
      </w:pPr>
      <w:r>
        <w:t xml:space="preserve">Labels come from MODIS MCD64A1 Collection 6.1 (</w:t>
      </w:r>
      <w:r>
        <w:rPr>
          <w:rStyle w:val="VerbatimChar"/>
        </w:rPr>
        <w:t xml:space="preserve">MODIS/061/MCD64A1</w:t>
      </w:r>
      <w:r>
        <w:t xml:space="preserve">) retrieved through Google Earth</w:t>
      </w:r>
      <w:r>
        <w:t xml:space="preserve"> </w:t>
      </w:r>
      <w:r>
        <w:t xml:space="preserve">Engine</w:t>
      </w:r>
      <w:r>
        <w:t xml:space="preserve"> </w:t>
      </w:r>
      <w:r>
        <w:t xml:space="preserve">(Gorelick et al., 2017)</w:t>
      </w:r>
      <w:r>
        <w:t xml:space="preserve">, whose omission and commission characteristics</w:t>
      </w:r>
      <w:r>
        <w:t xml:space="preserve"> </w:t>
      </w:r>
      <w:r>
        <w:t xml:space="preserve">(Boschetti et al., 2019)</w:t>
      </w:r>
      <w:r>
        <w:t xml:space="preserve"> </w:t>
      </w:r>
      <w:r>
        <w:t xml:space="preserve">bound every</w:t>
      </w:r>
      <w:r>
        <w:t xml:space="preserve"> </w:t>
      </w:r>
      <w:r>
        <w:t xml:space="preserve">model here. The product is exported onto the 30 m EPSG:4326 reference grid used by the rest of the</w:t>
      </w:r>
      <w:r>
        <w:t xml:space="preserve"> </w:t>
      </w:r>
      <w:r>
        <w:t xml:space="preserve">pipeline, which duplicates each native ~500 m observation across the 30 m pixels beneath it.</w:t>
      </w:r>
    </w:p>
    <w:p>
      <w:pPr>
        <w:pStyle w:val="BodyText"/>
      </w:pPr>
      <w:r>
        <w:t xml:space="preserve">The analysis grid is therefore</w:t>
      </w:r>
      <w:r>
        <w:t xml:space="preserve"> </w:t>
      </w:r>
      <w:r>
        <w:rPr>
          <w:b/>
          <w:bCs/>
        </w:rPr>
        <w:t xml:space="preserve">reconstructed rather than native</w:t>
      </w:r>
      <w:r>
        <w:t xml:space="preserve">: the 30 m grid is partitioned</w:t>
      </w:r>
      <w:r>
        <w:t xml:space="preserve"> </w:t>
      </w:r>
      <w:r>
        <w:t xml:space="preserve">into non-overlapping blocks of</w:t>
      </w:r>
      <w:r>
        <w:t xml:space="preserve"> </w:t>
      </w:r>
      <w:r>
        <w:rPr>
          <w:rStyle w:val="VerbatimChar"/>
        </w:rPr>
        <w:t xml:space="preserve">round(500 / 30) = 17 × 17</w:t>
      </w:r>
      <w:r>
        <w:t xml:space="preserve"> </w:t>
      </w:r>
      <w:r>
        <w:t xml:space="preserve">pixels, giving a nominal cell edge of</w:t>
      </w:r>
      <w:r>
        <w:t xml:space="preserve"> </w:t>
      </w:r>
      <w:r>
        <w:t xml:space="preserve">510 m, and each cell is identified by its integer block indices</w:t>
      </w:r>
      <w:r>
        <w:t xml:space="preserve"> </w:t>
      </w:r>
      <w:r>
        <w:rPr>
          <w:rStyle w:val="VerbatimChar"/>
        </w:rPr>
        <w:t xml:space="preserve">row_500m</w:t>
      </w:r>
      <w:r>
        <w:t xml:space="preserve"> </w:t>
      </w:r>
      <w:r>
        <w:t xml:space="preserve">and</w:t>
      </w:r>
      <w:r>
        <w:t xml:space="preserve"> </w:t>
      </w:r>
      <w:r>
        <w:rPr>
          <w:rStyle w:val="VerbatimChar"/>
        </w:rPr>
        <w:t xml:space="preserve">col_500m</w:t>
      </w:r>
      <w:r>
        <w:t xml:space="preserve">. This</w:t>
      </w:r>
      <w:r>
        <w:t xml:space="preserve"> </w:t>
      </w:r>
      <w:r>
        <w:t xml:space="preserve">approximates the MODIS sinusoidal cell rather than reproducing it, being anchored to the</w:t>
      </w:r>
      <w:r>
        <w:t xml:space="preserve"> </w:t>
      </w:r>
      <w:r>
        <w:t xml:space="preserve">Landsat/EPSG:4326 reference grid, and marginal blocks are truncated. The cell is square in degrees</w:t>
      </w:r>
      <w:r>
        <w:t xml:space="preserve"> </w:t>
      </w:r>
      <w:r>
        <w:t xml:space="preserve">but not on the ground, about 510 m north to south and 390 to 407 m east to west, so its area is</w:t>
      </w:r>
      <w:r>
        <w:t xml:space="preserve"> </w:t>
      </w:r>
      <w:r>
        <w:t xml:space="preserve">0.199 to 0.208 km² against a MODIS cell’s 0.250 km²; every block-size label in this paper is</w:t>
      </w:r>
      <w:r>
        <w:t xml:space="preserve"> </w:t>
      </w:r>
      <w:r>
        <w:t xml:space="preserve">therefore the north-south dimension. The companion paper develops what follows from that.</w:t>
      </w:r>
    </w:p>
    <w:p>
      <w:pPr>
        <w:pStyle w:val="BodyText"/>
      </w:pPr>
      <w:r>
        <w:t xml:space="preserve">A cell’s representative burn date is the</w:t>
      </w:r>
      <w:r>
        <w:t xml:space="preserve"> </w:t>
      </w:r>
      <w:r>
        <w:rPr>
          <w:b/>
          <w:bCs/>
        </w:rPr>
        <w:t xml:space="preserve">mode</w:t>
      </w:r>
      <w:r>
        <w:t xml:space="preserve"> </w:t>
      </w:r>
      <w:r>
        <w:t xml:space="preserve">of the positive sub-pixel day-of-year values in</w:t>
      </w:r>
      <w:r>
        <w:t xml:space="preserve"> </w:t>
      </w:r>
      <w:r>
        <w:t xml:space="preserve">the block, tested against the region’s label window. Because the exported raster carries no</w:t>
      </w:r>
      <w:r>
        <w:t xml:space="preserve"> </w:t>
      </w:r>
      <w:r>
        <w:t xml:space="preserve">out-of-window positives, in this dataset a single in-window positive sub-pixel makes the cell burned.</w:t>
      </w:r>
      <w:r>
        <w:t xml:space="preserve"> </w:t>
      </w:r>
      <w:r>
        <w:t xml:space="preserve">The fraction of positive sub-pixels agreeing with the modal date is recorded as</w:t>
      </w:r>
      <w:r>
        <w:t xml:space="preserve"> </w:t>
      </w:r>
      <w:r>
        <w:rPr>
          <w:rStyle w:val="VerbatimChar"/>
        </w:rPr>
        <w:t xml:space="preserve">burn_date_pixel_agreement_fraction</w:t>
      </w:r>
      <w:r>
        <w:t xml:space="preserve"> </w:t>
      </w:r>
      <w:r>
        <w:t xml:space="preserve">but no agreement threshold is imposed. The label never affects a</w:t>
      </w:r>
      <w:r>
        <w:t xml:space="preserve"> </w:t>
      </w:r>
      <w:r>
        <w:t xml:space="preserve">cell’s eligibility for modelling: unburned, all-no-data and out-of-window cells all remain as the</w:t>
      </w:r>
      <w:r>
        <w:t xml:space="preserve"> </w:t>
      </w:r>
      <w:r>
        <w:t xml:space="preserve">negative class.</w:t>
      </w:r>
    </w:p>
    <w:p>
      <w:pPr>
        <w:pStyle w:val="BodyText"/>
      </w:pPr>
      <w:r>
        <w:t xml:space="preserve">Two safeguards are recorded rather than assumed. Cells that burned inside a region’s own predictor</w:t>
      </w:r>
      <w:r>
        <w:t xml:space="preserve"> </w:t>
      </w:r>
      <w:r>
        <w:t xml:space="preserve">window are removed from its analysis universe rather than counted as unburned, which ran for Muğla,</w:t>
      </w:r>
      <w:r>
        <w:t xml:space="preserve"> </w:t>
      </w:r>
      <w:r>
        <w:t xml:space="preserve">Evia and Montiferru, is recorded as not run for Manavgat and has no recorded status for Bejís.</w:t>
      </w:r>
      <w:r>
        <w:t xml:space="preserve"> </w:t>
      </w:r>
      <w:r>
        <w:t xml:space="preserve">Burning in earlier years is screened for no region in the five-region cohort; the only historical</w:t>
      </w:r>
      <w:r>
        <w:t xml:space="preserve"> </w:t>
      </w:r>
      <w:r>
        <w:t xml:space="preserve">exclusion in the study removes the 2021 Muğla scar from the 2022 event-relative experiment of</w:t>
      </w:r>
      <w:r>
        <w:t xml:space="preserve"> </w:t>
      </w:r>
      <w:r>
        <w:t xml:space="preserve">Section 3.14.</w:t>
      </w:r>
    </w:p>
    <w:p>
      <w:pPr>
        <w:pStyle w:val="BodyText"/>
      </w:pPr>
      <w:r>
        <w:t xml:space="preserve">Before any modelling each region passes a gate that answers one question: of the cells labelled</w:t>
      </w:r>
      <w:r>
        <w:t xml:space="preserve"> </w:t>
      </w:r>
      <w:r>
        <w:t xml:space="preserve">burned, what fraction is dominated by natural vegetation? A region is admitted as a wildfire</w:t>
      </w:r>
      <w:r>
        <w:t xml:space="preserve"> </w:t>
      </w:r>
      <w:r>
        <w:t xml:space="preserve">candidate when that fraction reaches 0.50 and at least 30 burned cells are present, and is rejected</w:t>
      </w:r>
      <w:r>
        <w:t xml:space="preserve"> </w:t>
      </w:r>
      <w:r>
        <w:t xml:space="preserve">as a cropland-dominated control when the cropland fraction reaches 0.50 instead. The gate uses ESA</w:t>
      </w:r>
      <w:r>
        <w:t xml:space="preserve"> </w:t>
      </w:r>
      <w:r>
        <w:t xml:space="preserve">WorldCover classes aggregated to the same reconstructed cells. Its purpose is to separate burned area</w:t>
      </w:r>
      <w:r>
        <w:t xml:space="preserve"> </w:t>
      </w:r>
      <w:r>
        <w:t xml:space="preserve">produced by natural-fuel combustion from burned area produced by post-harvest stubble burning, which</w:t>
      </w:r>
      <w:r>
        <w:t xml:space="preserve"> </w:t>
      </w:r>
      <w:r>
        <w:t xml:space="preserve">MCD64A1 does not distinguish. Verdicts are reported in Section 4.1.</w:t>
      </w:r>
    </w:p>
    <w:bookmarkStart w:id="56" w:name="X0187690c157fe859747169913e873649982fd09"/>
    <w:p>
      <w:pPr>
        <w:pStyle w:val="Heading3"/>
      </w:pPr>
      <w:r>
        <w:t xml:space="preserve">S3.1.1 Pre-label and historical burning, by region</w:t>
      </w:r>
    </w:p>
    <w:p>
      <w:pPr>
        <w:pStyle w:val="FirstParagraph"/>
      </w:pPr>
      <w:r>
        <w:t xml:space="preserve">Two safeguards are recorded rather than assumed:</w:t>
      </w:r>
      <w:r>
        <w:t xml:space="preserve"> </w:t>
      </w:r>
      <w:r>
        <w:t xml:space="preserve">cells burning before the label window opens are removed, which ran for three of five regions and</w:t>
      </w:r>
      <w:r>
        <w:t xml:space="preserve"> </w:t>
      </w:r>
      <w:r>
        <w:t xml:space="preserve">excluded 49 cells in Muğla, 16 in North Evia and 61 in Montiferru, with none arising in Manavgat or</w:t>
      </w:r>
      <w:r>
        <w:t xml:space="preserve"> </w:t>
      </w:r>
      <w:r>
        <w:t xml:space="preserve">Bejís, and burning in earlier years is screened for none.</w:t>
      </w:r>
    </w:p>
    <w:bookmarkEnd w:id="56"/>
    <w:bookmarkStart w:id="57" w:name="s3.1.2-the-manavgat-label-correction"/>
    <w:p>
      <w:pPr>
        <w:pStyle w:val="Heading3"/>
      </w:pPr>
      <w:r>
        <w:t xml:space="preserve">S3.1.2 The Manavgat label correction</w:t>
      </w:r>
    </w:p>
    <w:p>
      <w:pPr>
        <w:pStyle w:val="FirstParagraph"/>
      </w:pPr>
      <w:r>
        <w:rPr>
          <w:b/>
          <w:bCs/>
        </w:rPr>
        <w:t xml:space="preserve">The Manavgat 2021 label is a corrected one.</w:t>
      </w:r>
      <w:r>
        <w:t xml:space="preserve"> </w:t>
      </w:r>
      <w:r>
        <w:t xml:space="preserve">The label first used for Manavgat was exported on</w:t>
      </w:r>
      <w:r>
        <w:t xml:space="preserve"> </w:t>
      </w:r>
      <w:r>
        <w:t xml:space="preserve">8 July 2026. That was before the month-alignment fix to the MCD64A1 query (commit 183be42, 11 July),</w:t>
      </w:r>
      <w:r>
        <w:t xml:space="preserve"> </w:t>
      </w:r>
      <w:r>
        <w:t xml:space="preserve">and the export was never renewed. It therefore missed the fire’s first four days, 28 to 31 July.</w:t>
      </w:r>
      <w:r>
        <w:t xml:space="preserve"> </w:t>
      </w:r>
      <w:r>
        <w:t xml:space="preserve">The defect was a stale export, not a code error. The corrected label only adds burned cells. No</w:t>
      </w:r>
      <w:r>
        <w:t xml:space="preserve"> </w:t>
      </w:r>
      <w:r>
        <w:t xml:space="preserve">cell burned under the original label becomes unburned, and no predictor or validity flag changes.</w:t>
      </w:r>
      <w:r>
        <w:t xml:space="preserve"> </w:t>
      </w:r>
      <w:r>
        <w:t xml:space="preserve">In the primary population the burned count rises from 784 to 2,935. The Manavgat outputs were</w:t>
      </w:r>
      <w:r>
        <w:t xml:space="preserve"> </w:t>
      </w:r>
      <w:r>
        <w:t xml:space="preserve">re-frozen with the upstream pipeline at commit 6381f4c, through the Earth Engine project</w:t>
      </w:r>
      <w:r>
        <w:t xml:space="preserve"> </w:t>
      </w:r>
      <w:r>
        <w:rPr>
          <w:rStyle w:val="VerbatimChar"/>
        </w:rPr>
        <w:t xml:space="preserve">thermaltwin</w:t>
      </w:r>
      <w:r>
        <w:t xml:space="preserve">, in Python 3.12.10 with scikit-learn 1.9.0 (pins in</w:t>
      </w:r>
      <w:r>
        <w:t xml:space="preserve"> </w:t>
      </w:r>
      <w:r>
        <w:rPr>
          <w:rStyle w:val="VerbatimChar"/>
        </w:rPr>
        <w:t xml:space="preserve">ENVIRONMENT.md</w:t>
      </w:r>
      <w:r>
        <w:t xml:space="preserve">). That pipeline version</w:t>
      </w:r>
      <w:r>
        <w:t xml:space="preserve"> </w:t>
      </w:r>
      <w:r>
        <w:t xml:space="preserve">writes one extra column, a flag for burning in earlier years, and it excludes no Manavgat cell. A</w:t>
      </w:r>
      <w:r>
        <w:t xml:space="preserve"> </w:t>
      </w:r>
      <w:r>
        <w:t xml:space="preserve">control arm re-froze the original label with the same code and environment and reproduced the</w:t>
      </w:r>
      <w:r>
        <w:t xml:space="preserve"> </w:t>
      </w:r>
      <w:r>
        <w:t xml:space="preserve">published outputs to within 10⁻⁵. The exceptions are listed in the manifest: file paths, the column</w:t>
      </w:r>
      <w:r>
        <w:t xml:space="preserve"> </w:t>
      </w:r>
      <w:r>
        <w:t xml:space="preserve">list, and one legacy pair that differs at the level of random-forest thread nondeterminism. Differences between the two arms are therefore attributable to the label alone.</w:t>
      </w:r>
      <w:r>
        <w:t xml:space="preserve"> </w:t>
      </w:r>
      <w:r>
        <w:t xml:space="preserve">The reproduction check of Section 3.13 covers the re-frozen outputs. The manifest, hashes and</w:t>
      </w:r>
      <w:r>
        <w:t xml:space="preserve"> </w:t>
      </w:r>
      <w:r>
        <w:t xml:space="preserve">runner scripts are released under</w:t>
      </w:r>
      <w:r>
        <w:t xml:space="preserve"> </w:t>
      </w:r>
      <w:r>
        <w:rPr>
          <w:rStyle w:val="VerbatimChar"/>
        </w:rPr>
        <w:t xml:space="preserve">paper/data/manavgat_2021/refreeze/</w:t>
      </w:r>
      <w:r>
        <w:t xml:space="preserve">.</w:t>
      </w:r>
    </w:p>
    <w:bookmarkEnd w:id="57"/>
    <w:bookmarkStart w:id="58" w:name="s3.1.3-effect-on-table-1"/>
    <w:p>
      <w:pPr>
        <w:pStyle w:val="Heading3"/>
      </w:pPr>
      <w:r>
        <w:t xml:space="preserve">S3.1.3 Effect on Table 1</w:t>
      </w:r>
    </w:p>
    <w:p>
      <w:pPr>
        <w:pStyle w:val="FirstParagraph"/>
      </w:pPr>
      <w:r>
        <w:t xml:space="preserve">The Manavgat rows are computed on the corrected label. It adds burned cells, 784 to 2,935 in the</w:t>
      </w:r>
      <w:r>
        <w:t xml:space="preserve"> </w:t>
      </w:r>
      <w:r>
        <w:t xml:space="preserve">primary population, and changes no predictor (Section 3.2). The rows strengthen rather than weaken.</w:t>
      </w:r>
      <w:r>
        <w:t xml:space="preserve"> </w:t>
      </w:r>
      <w:r>
        <w:t xml:space="preserve">Absolute AUCs rise by 0.04 to 0.11 across the three block sizes, and the increment holds at every</w:t>
      </w:r>
      <w:r>
        <w:t xml:space="preserve"> </w:t>
      </w:r>
      <w:r>
        <w:t xml:space="preserve">scale. The 1 km interval narrows from [+0.055, +0.079] to [+0.060, +0.073], because the region now</w:t>
      </w:r>
      <w:r>
        <w:t xml:space="preserve"> </w:t>
      </w:r>
      <w:r>
        <w:t xml:space="preserve">carries 814 positive-carrying 2-cell blocks rather than 235.</w:t>
      </w:r>
    </w:p>
    <w:bookmarkEnd w:id="58"/>
    <w:bookmarkEnd w:id="59"/>
    <w:bookmarkStart w:id="60" w:name="X14ca69bbebde8a5864f7a13a03352256b1aa046"/>
    <w:p>
      <w:pPr>
        <w:pStyle w:val="Heading2"/>
      </w:pPr>
      <w:r>
        <w:t xml:space="preserve">S3.2 Transferability diagnostics versus transfer</w:t>
      </w:r>
    </w:p>
    <w:p>
      <w:pPr>
        <w:pStyle w:val="FirstParagraph"/>
      </w:pPr>
      <w:r>
        <w:t xml:space="preserve">Twenty candidate diagnostics from five families are each rank-correlated against the same target</w:t>
      </w:r>
      <w:r>
        <w:t xml:space="preserve"> </w:t>
      </w:r>
      <w:r>
        <w:t xml:space="preserve">quantity, the raw thermal transfer AUC over the twenty ordered directions, under one common</w:t>
      </w:r>
      <w:r>
        <w:t xml:space="preserve"> </w:t>
      </w:r>
      <w:r>
        <w:t xml:space="preserve">pair-based bootstrap. The families are marginal predictor-distribution measures P(ix), burned-niche</w:t>
      </w:r>
      <w:r>
        <w:t xml:space="preserve"> </w:t>
      </w:r>
      <w:r>
        <w:t xml:space="preserve">overlap P(x|y=1), fire-regime label-pattern structure P(y), and conditional feature-response</w:t>
      </w:r>
      <w:r>
        <w:t xml:space="preserve"> </w:t>
      </w:r>
      <w:r>
        <w:t xml:space="preserve">direction P(y|x).</w:t>
      </w:r>
    </w:p>
    <w:p>
      <w:pPr>
        <w:pStyle w:val="BodyText"/>
      </w:pPr>
      <w:r>
        <w:t xml:space="preserve">The</w:t>
      </w:r>
      <w:r>
        <w:t xml:space="preserve"> </w:t>
      </w:r>
      <w:r>
        <w:rPr>
          <w:b/>
          <w:bCs/>
        </w:rPr>
        <w:t xml:space="preserve">marginal</w:t>
      </w:r>
      <w:r>
        <w:t xml:space="preserve"> </w:t>
      </w:r>
      <w:r>
        <w:t xml:space="preserve">family includes area-of-applicability-style dissimilarity in scaled,</w:t>
      </w:r>
      <w:r>
        <w:t xml:space="preserve"> </w:t>
      </w:r>
      <w:r>
        <w:t xml:space="preserve">importance-weighted predictor space</w:t>
      </w:r>
      <w:r>
        <w:t xml:space="preserve"> </w:t>
      </w:r>
      <w:r>
        <w:t xml:space="preserve">(Ludwig et al., 2023; Meyer and Pebesma, 2022, 2021)</w:t>
      </w:r>
      <w:r>
        <w:t xml:space="preserve">, climatic and geographic</w:t>
      </w:r>
      <w:r>
        <w:t xml:space="preserve"> </w:t>
      </w:r>
      <w:r>
        <w:t xml:space="preserve">distance, and a learned domain classifier trained to separate source from target cells. The</w:t>
      </w:r>
      <w:r>
        <w:t xml:space="preserve"> </w:t>
      </w:r>
      <w:r>
        <w:rPr>
          <w:b/>
          <w:bCs/>
        </w:rPr>
        <w:t xml:space="preserve">niche-overlap</w:t>
      </w:r>
      <w:r>
        <w:t xml:space="preserve"> </w:t>
      </w:r>
      <w:r>
        <w:t xml:space="preserve">family includes Schoener’s D</w:t>
      </w:r>
      <w:r>
        <w:t xml:space="preserve"> </w:t>
      </w:r>
      <w:r>
        <w:t xml:space="preserve">(Schoener, 1968)</w:t>
      </w:r>
      <w:r>
        <w:t xml:space="preserve"> </w:t>
      </w:r>
      <w:r>
        <w:t xml:space="preserve">and Warren’s I</w:t>
      </w:r>
      <w:r>
        <w:t xml:space="preserve"> </w:t>
      </w:r>
      <w:r>
        <w:t xml:space="preserve">(Warren et al., 2008)</w:t>
      </w:r>
      <w:r>
        <w:t xml:space="preserve"> </w:t>
      </w:r>
      <w:r>
        <w:t xml:space="preserve">over the burned cells of each region.</w:t>
      </w:r>
      <w:r>
        <w:t xml:space="preserve"> </w:t>
      </w:r>
      <w:r>
        <w:t xml:space="preserve">The</w:t>
      </w:r>
      <w:r>
        <w:t xml:space="preserve"> </w:t>
      </w:r>
      <w:r>
        <w:rPr>
          <w:b/>
          <w:bCs/>
        </w:rPr>
        <w:t xml:space="preserve">regime</w:t>
      </w:r>
      <w:r>
        <w:t xml:space="preserve"> </w:t>
      </w:r>
      <w:r>
        <w:t xml:space="preserve">family includes burned-patch component counts and effective component counts. The</w:t>
      </w:r>
      <w:r>
        <w:t xml:space="preserve"> </w:t>
      </w:r>
      <w:r>
        <w:rPr>
          <w:b/>
          <w:bCs/>
        </w:rPr>
        <w:t xml:space="preserve">conditional</w:t>
      </w:r>
      <w:r>
        <w:t xml:space="preserve"> </w:t>
      </w:r>
      <w:r>
        <w:t xml:space="preserve">family is the sign-agreement index: the fraction of predictors whose signed</w:t>
      </w:r>
      <w:r>
        <w:t xml:space="preserve"> </w:t>
      </w:r>
      <w:r>
        <w:t xml:space="preserve">univariate association points the same way in both regions, computed over all predictors and over</w:t>
      </w:r>
      <w:r>
        <w:t xml:space="preserve"> </w:t>
      </w:r>
      <w:r>
        <w:t xml:space="preserve">the subset whose associations are individually interval-supported.</w:t>
      </w:r>
    </w:p>
    <w:p>
      <w:pPr>
        <w:pStyle w:val="BodyText"/>
      </w:pPr>
      <w:r>
        <w:t xml:space="preserve">Two properties of this design are stated in advance because they bound what it can show. The</w:t>
      </w:r>
      <w:r>
        <w:t xml:space="preserve"> </w:t>
      </w:r>
      <w:r>
        <w:t xml:space="preserve">candidate set was fixed in a project analysis log before the correlations were computed; that log is</w:t>
      </w:r>
      <w:r>
        <w:t xml:space="preserve"> </w:t>
      </w:r>
      <w:r>
        <w:t xml:space="preserve">not a formal pre-registration and no independent timestamped registration exists. And with five</w:t>
      </w:r>
      <w:r>
        <w:t xml:space="preserve"> </w:t>
      </w:r>
      <w:r>
        <w:t xml:space="preserve">regions the effective sample is ten unordered pairs, so nineteen computed variants are evaluated at</w:t>
      </w:r>
      <w:r>
        <w:t xml:space="preserve"> </w:t>
      </w:r>
      <w:r>
        <w:t xml:space="preserve">that power with no family-wise error control claimed; where a diagnostic clears an interval test but</w:t>
      </w:r>
      <w:r>
        <w:t xml:space="preserve"> </w:t>
      </w:r>
      <w:r>
        <w:t xml:space="preserve">not a Bonferroni threshold, both are reported.</w:t>
      </w:r>
    </w:p>
    <w:bookmarkEnd w:id="60"/>
    <w:bookmarkStart w:id="61" w:name="Xb9fe7c08312f968ea6f251d07b2866d86307a9c"/>
    <w:p>
      <w:pPr>
        <w:pStyle w:val="Heading2"/>
      </w:pPr>
      <w:r>
        <w:t xml:space="preserve">S3.3 Same-geography event-to-event comparison (Muğla 2021 versus 2022)</w:t>
      </w:r>
    </w:p>
    <w:p>
      <w:pPr>
        <w:pStyle w:val="FirstParagraph"/>
      </w:pPr>
      <w:r>
        <w:t xml:space="preserve">Muğla is the one region for which a second fire event is analysed on the identical AOI and analysis</w:t>
      </w:r>
      <w:r>
        <w:t xml:space="preserve"> </w:t>
      </w:r>
      <w:r>
        <w:t xml:space="preserve">grid, which allows the direction of feature-label associations to be compared with geography held</w:t>
      </w:r>
      <w:r>
        <w:t xml:space="preserve"> </w:t>
      </w:r>
      <w:r>
        <w:t xml:space="preserve">fixed. The 2022 experiment is registered with windows anchored to its own event: a 58-day predictor</w:t>
      </w:r>
      <w:r>
        <w:t xml:space="preserve"> </w:t>
      </w:r>
      <w:r>
        <w:t xml:space="preserve">window closing the day before ignition and a 49-day label window opening on it, matching the 2021</w:t>
      </w:r>
      <w:r>
        <w:t xml:space="preserve"> </w:t>
      </w:r>
      <w:r>
        <w:t xml:space="preserve">durations exactly.</w:t>
      </w:r>
    </w:p>
    <w:p>
      <w:pPr>
        <w:pStyle w:val="BodyText"/>
      </w:pPr>
      <w:r>
        <w:rPr>
          <w:b/>
          <w:bCs/>
        </w:rPr>
        <w:t xml:space="preserve">This is not a clean temporal-transfer design and is not presented as one.</w:t>
      </w:r>
      <w:r>
        <w:t xml:space="preserve"> </w:t>
      </w:r>
      <w:r>
        <w:t xml:space="preserve">The 2022 event ignites</w:t>
      </w:r>
      <w:r>
        <w:t xml:space="preserve"> </w:t>
      </w:r>
      <w:r>
        <w:t xml:space="preserve">about six weeks earlier in the season than the 2021 event, so calendar year and seasonal phase are</w:t>
      </w:r>
      <w:r>
        <w:t xml:space="preserve"> </w:t>
      </w:r>
      <w:r>
        <w:t xml:space="preserve">confounded and no difference can be attributed to the year alone. The registered claim is</w:t>
      </w:r>
      <w:r>
        <w:t xml:space="preserve"> </w:t>
      </w:r>
      <w:r>
        <w:t xml:space="preserve">same-geography event-to-event. The pair is deliberately kept out of the twenty-direction matrix, and</w:t>
      </w:r>
      <w:r>
        <w:t xml:space="preserve"> </w:t>
      </w:r>
      <w:r>
        <w:t xml:space="preserve">that exclusion is enforced in released code rather than merely asserted here.</w:t>
      </w:r>
    </w:p>
    <w:p>
      <w:pPr>
        <w:pStyle w:val="BodyText"/>
      </w:pPr>
      <w:r>
        <w:t xml:space="preserve">Two further properties bound the comparison. A historical-burn exclusion applies to the 2022 arm</w:t>
      </w:r>
      <w:r>
        <w:t xml:space="preserve"> </w:t>
      </w:r>
      <w:r>
        <w:t xml:space="preserve">alone, masking every cell that burned in 2021 so the previous year’s scar does not enter the</w:t>
      </w:r>
      <w:r>
        <w:t xml:space="preserve"> </w:t>
      </w:r>
      <w:r>
        <w:t xml:space="preserve">following year’s analysis: it removes 3,073 cells, of which 2,941 belong to the primary population,</w:t>
      </w:r>
      <w:r>
        <w:t xml:space="preserve"> </w:t>
      </w:r>
      <w:r>
        <w:t xml:space="preserve">taking it from 41,730 rows to 38,790, a drop of 7.0 %. The two arms therefore share 38,789 of 38,790</w:t>
      </w:r>
      <w:r>
        <w:t xml:space="preserve"> </w:t>
      </w:r>
      <w:r>
        <w:t xml:space="preserve">cells and three byte-identical static predictors, and in the 2022-to-2021 direction every target</w:t>
      </w:r>
      <w:r>
        <w:t xml:space="preserve"> </w:t>
      </w:r>
      <w:r>
        <w:t xml:space="preserve">positive lies outside the source training population. Section S1.13 states what follows for how these</w:t>
      </w:r>
      <w:r>
        <w:t xml:space="preserve"> </w:t>
      </w:r>
      <w:r>
        <w:t xml:space="preserve">two numbers may be read.</w:t>
      </w:r>
    </w:p>
    <w:p>
      <w:pPr>
        <w:pStyle w:val="BodyText"/>
      </w:pPr>
      <w:r>
        <w:rPr>
          <w:b/>
          <w:bCs/>
        </w:rPr>
        <w:t xml:space="preserve">Table S19. Study regions, areas of interest and temporal windows.</w:t>
      </w:r>
      <w:r>
        <w:t xml:space="preserve"> </w:t>
      </w:r>
      <w:r>
        <w:t xml:space="preserve">Bounding boxes are in EPSG:4326,</w:t>
      </w:r>
      <w:r>
        <w:t xml:space="preserve"> </w:t>
      </w:r>
      <w:r>
        <w:t xml:space="preserve">as registered. Window lengths in brackets are inclusive day counts. The baseline years are the four</w:t>
      </w:r>
      <w:r>
        <w:t xml:space="preserve"> </w:t>
      </w:r>
      <w:r>
        <w:t xml:space="preserve">window-symmetric years preceding each predictor window.</w:t>
      </w:r>
    </w:p>
    <w:tbl>
      <w:tblPr>
        <w:tblStyle w:val="Table"/>
        <w:tblW w:type="auto" w:w="0"/>
        <w:tblLook w:firstRow="1" w:lastRow="0" w:firstColumn="0" w:lastColumn="0" w:noHBand="0" w:noVBand="0" w:val="0020"/>
      </w:tblPr>
      <w:tblGrid>
        <w:gridCol w:w="1386"/>
        <w:gridCol w:w="2831"/>
        <w:gridCol w:w="1791"/>
        <w:gridCol w:w="1791"/>
        <w:gridCol w:w="1271"/>
      </w:tblGrid>
      <w:tr>
        <w:trPr>
          <w:tblHeader w:val="on"/>
        </w:trPr>
        <w:tc>
          <w:tcPr>
            <w:tcW w:type="dxa" w:w="1386"/>
          </w:tcPr>
          <w:p>
            <w:pPr>
              <w:pStyle w:val="Compact"/>
            </w:pPr>
            <w:r>
              <w:t xml:space="preserve">Region</w:t>
            </w:r>
          </w:p>
        </w:tc>
        <w:tc>
          <w:tcPr>
            <w:tcW w:type="dxa" w:w="2831"/>
          </w:tcPr>
          <w:p>
            <w:pPr>
              <w:pStyle w:val="Compact"/>
            </w:pPr>
            <w:r>
              <w:t xml:space="preserve">Bounding box (lon min, lat min, lon max, lat max)</w:t>
            </w:r>
          </w:p>
        </w:tc>
        <w:tc>
          <w:tcPr>
            <w:tcW w:type="dxa" w:w="1791"/>
          </w:tcPr>
          <w:p>
            <w:pPr>
              <w:pStyle w:val="Compact"/>
            </w:pPr>
            <w:r>
              <w:t xml:space="preserve">Predictor window</w:t>
            </w:r>
          </w:p>
        </w:tc>
        <w:tc>
          <w:tcPr>
            <w:tcW w:type="dxa" w:w="1791"/>
          </w:tcPr>
          <w:p>
            <w:pPr>
              <w:pStyle w:val="Compact"/>
            </w:pPr>
            <w:r>
              <w:t xml:space="preserve">Label window</w:t>
            </w:r>
          </w:p>
        </w:tc>
        <w:tc>
          <w:tcPr>
            <w:tcW w:type="dxa" w:w="1271"/>
          </w:tcPr>
          <w:p>
            <w:pPr>
              <w:pStyle w:val="Compact"/>
            </w:pPr>
            <w:r>
              <w:t xml:space="preserve">Baseline years</w:t>
            </w:r>
          </w:p>
        </w:tc>
      </w:tr>
      <w:tr>
        <w:tc>
          <w:tcPr>
            <w:tcW w:type="dxa" w:w="1386"/>
          </w:tcPr>
          <w:p>
            <w:pPr>
              <w:pStyle w:val="Compact"/>
            </w:pPr>
            <w:r>
              <w:t xml:space="preserve">Manavgat 2021 (Türkiye)</w:t>
            </w:r>
          </w:p>
        </w:tc>
        <w:tc>
          <w:tcPr>
            <w:tcW w:type="dxa" w:w="2831"/>
          </w:tcPr>
          <w:p>
            <w:pPr>
              <w:pStyle w:val="Compact"/>
            </w:pPr>
            <w:r>
              <w:t xml:space="preserve">31.05, 36.72, 31.85, 37.35</w:t>
            </w:r>
          </w:p>
        </w:tc>
        <w:tc>
          <w:tcPr>
            <w:tcW w:type="dxa" w:w="1791"/>
          </w:tcPr>
          <w:p>
            <w:pPr>
              <w:pStyle w:val="Compact"/>
            </w:pPr>
            <w:r>
              <w:t xml:space="preserve">2021-06-01 to 2021-07-27 (57 d)</w:t>
            </w:r>
          </w:p>
        </w:tc>
        <w:tc>
          <w:tcPr>
            <w:tcW w:type="dxa" w:w="1791"/>
          </w:tcPr>
          <w:p>
            <w:pPr>
              <w:pStyle w:val="Compact"/>
            </w:pPr>
            <w:r>
              <w:t xml:space="preserve">2021-07-28 to 2021-08-31 (35 d)</w:t>
            </w:r>
          </w:p>
        </w:tc>
        <w:tc>
          <w:tcPr>
            <w:tcW w:type="dxa" w:w="1271"/>
          </w:tcPr>
          <w:p>
            <w:pPr>
              <w:pStyle w:val="Compact"/>
            </w:pPr>
            <w:r>
              <w:t xml:space="preserve">2017, 2018, 2019, 2020</w:t>
            </w:r>
          </w:p>
        </w:tc>
      </w:tr>
      <w:tr>
        <w:tc>
          <w:tcPr>
            <w:tcW w:type="dxa" w:w="1386"/>
          </w:tcPr>
          <w:p>
            <w:pPr>
              <w:pStyle w:val="Compact"/>
            </w:pPr>
            <w:r>
              <w:t xml:space="preserve">Bejís 2022 (Spain)</w:t>
            </w:r>
          </w:p>
        </w:tc>
        <w:tc>
          <w:tcPr>
            <w:tcW w:type="dxa" w:w="2831"/>
          </w:tcPr>
          <w:p>
            <w:pPr>
              <w:pStyle w:val="Compact"/>
            </w:pPr>
            <w:r>
              <w:t xml:space="preserve">-1.05, 39.68, -0.35, 40.15</w:t>
            </w:r>
          </w:p>
        </w:tc>
        <w:tc>
          <w:tcPr>
            <w:tcW w:type="dxa" w:w="1791"/>
          </w:tcPr>
          <w:p>
            <w:pPr>
              <w:pStyle w:val="Compact"/>
            </w:pPr>
            <w:r>
              <w:t xml:space="preserve">2022-06-15 to 2022-08-14 (61 d)</w:t>
            </w:r>
          </w:p>
        </w:tc>
        <w:tc>
          <w:tcPr>
            <w:tcW w:type="dxa" w:w="1791"/>
          </w:tcPr>
          <w:p>
            <w:pPr>
              <w:pStyle w:val="Compact"/>
            </w:pPr>
            <w:r>
              <w:t xml:space="preserve">2022-08-15 to 2022-09-30 (47 d)</w:t>
            </w:r>
          </w:p>
        </w:tc>
        <w:tc>
          <w:tcPr>
            <w:tcW w:type="dxa" w:w="1271"/>
          </w:tcPr>
          <w:p>
            <w:pPr>
              <w:pStyle w:val="Compact"/>
            </w:pPr>
            <w:r>
              <w:t xml:space="preserve">2018, 2019, 2020, 2021</w:t>
            </w:r>
          </w:p>
        </w:tc>
      </w:tr>
      <w:tr>
        <w:tc>
          <w:tcPr>
            <w:tcW w:type="dxa" w:w="1386"/>
          </w:tcPr>
          <w:p>
            <w:pPr>
              <w:pStyle w:val="Compact"/>
            </w:pPr>
            <w:r>
              <w:t xml:space="preserve">Muğla 2021 (Türkiye)</w:t>
            </w:r>
          </w:p>
        </w:tc>
        <w:tc>
          <w:tcPr>
            <w:tcW w:type="dxa" w:w="2831"/>
          </w:tcPr>
          <w:p>
            <w:pPr>
              <w:pStyle w:val="Compact"/>
            </w:pPr>
            <w:r>
              <w:t xml:space="preserve">27.1, 36.6, 28.9, 37.45</w:t>
            </w:r>
          </w:p>
        </w:tc>
        <w:tc>
          <w:tcPr>
            <w:tcW w:type="dxa" w:w="1791"/>
          </w:tcPr>
          <w:p>
            <w:pPr>
              <w:pStyle w:val="Compact"/>
            </w:pPr>
            <w:r>
              <w:t xml:space="preserve">2021-06-01 to 2021-07-28 (58 d)</w:t>
            </w:r>
          </w:p>
        </w:tc>
        <w:tc>
          <w:tcPr>
            <w:tcW w:type="dxa" w:w="1791"/>
          </w:tcPr>
          <w:p>
            <w:pPr>
              <w:pStyle w:val="Compact"/>
            </w:pPr>
            <w:r>
              <w:t xml:space="preserve">2021-07-29 to 2021-09-15 (49 d)</w:t>
            </w:r>
          </w:p>
        </w:tc>
        <w:tc>
          <w:tcPr>
            <w:tcW w:type="dxa" w:w="1271"/>
          </w:tcPr>
          <w:p>
            <w:pPr>
              <w:pStyle w:val="Compact"/>
            </w:pPr>
            <w:r>
              <w:t xml:space="preserve">2017, 2018, 2019, 2020</w:t>
            </w:r>
          </w:p>
        </w:tc>
      </w:tr>
      <w:tr>
        <w:tc>
          <w:tcPr>
            <w:tcW w:type="dxa" w:w="1386"/>
          </w:tcPr>
          <w:p>
            <w:pPr>
              <w:pStyle w:val="Compact"/>
            </w:pPr>
            <w:r>
              <w:t xml:space="preserve">North Evia 2021 (Greece)</w:t>
            </w:r>
          </w:p>
        </w:tc>
        <w:tc>
          <w:tcPr>
            <w:tcW w:type="dxa" w:w="2831"/>
          </w:tcPr>
          <w:p>
            <w:pPr>
              <w:pStyle w:val="Compact"/>
            </w:pPr>
            <w:r>
              <w:t xml:space="preserve">23.05, 38.55, 23.85, 39.15</w:t>
            </w:r>
          </w:p>
        </w:tc>
        <w:tc>
          <w:tcPr>
            <w:tcW w:type="dxa" w:w="1791"/>
          </w:tcPr>
          <w:p>
            <w:pPr>
              <w:pStyle w:val="Compact"/>
            </w:pPr>
            <w:r>
              <w:t xml:space="preserve">2021-06-05 to 2021-08-02 (59 d)</w:t>
            </w:r>
          </w:p>
        </w:tc>
        <w:tc>
          <w:tcPr>
            <w:tcW w:type="dxa" w:w="1791"/>
          </w:tcPr>
          <w:p>
            <w:pPr>
              <w:pStyle w:val="Compact"/>
            </w:pPr>
            <w:r>
              <w:t xml:space="preserve">2021-08-03 to 2021-09-30 (59 d)</w:t>
            </w:r>
          </w:p>
        </w:tc>
        <w:tc>
          <w:tcPr>
            <w:tcW w:type="dxa" w:w="1271"/>
          </w:tcPr>
          <w:p>
            <w:pPr>
              <w:pStyle w:val="Compact"/>
            </w:pPr>
            <w:r>
              <w:t xml:space="preserve">2017, 2018, 2019, 2020</w:t>
            </w:r>
          </w:p>
        </w:tc>
      </w:tr>
      <w:tr>
        <w:tc>
          <w:tcPr>
            <w:tcW w:type="dxa" w:w="1386"/>
          </w:tcPr>
          <w:p>
            <w:pPr>
              <w:pStyle w:val="Compact"/>
            </w:pPr>
            <w:r>
              <w:t xml:space="preserve">Montiferru 2021 (Italy)</w:t>
            </w:r>
          </w:p>
        </w:tc>
        <w:tc>
          <w:tcPr>
            <w:tcW w:type="dxa" w:w="2831"/>
          </w:tcPr>
          <w:p>
            <w:pPr>
              <w:pStyle w:val="Compact"/>
            </w:pPr>
            <w:r>
              <w:t xml:space="preserve">8.45, 40.05, 8.75, 40.27</w:t>
            </w:r>
          </w:p>
        </w:tc>
        <w:tc>
          <w:tcPr>
            <w:tcW w:type="dxa" w:w="1791"/>
          </w:tcPr>
          <w:p>
            <w:pPr>
              <w:pStyle w:val="Compact"/>
            </w:pPr>
            <w:r>
              <w:t xml:space="preserve">2021-05-25 to 2021-07-23 (60 d)</w:t>
            </w:r>
          </w:p>
        </w:tc>
        <w:tc>
          <w:tcPr>
            <w:tcW w:type="dxa" w:w="1791"/>
          </w:tcPr>
          <w:p>
            <w:pPr>
              <w:pStyle w:val="Compact"/>
            </w:pPr>
            <w:r>
              <w:t xml:space="preserve">2021-07-24 to 2021-08-31 (39 d)</w:t>
            </w:r>
          </w:p>
        </w:tc>
        <w:tc>
          <w:tcPr>
            <w:tcW w:type="dxa" w:w="1271"/>
          </w:tcPr>
          <w:p>
            <w:pPr>
              <w:pStyle w:val="Compact"/>
            </w:pPr>
            <w:r>
              <w:t xml:space="preserve">2017, 2018, 2019, 2020</w:t>
            </w:r>
          </w:p>
        </w:tc>
      </w:tr>
    </w:tbl>
    <w:bookmarkEnd w:id="61"/>
    <w:bookmarkStart w:id="62" w:name="X22ccedc7bb5c833a610874f39c5377f7d0b97b2"/>
    <w:p>
      <w:pPr>
        <w:pStyle w:val="Heading2"/>
      </w:pPr>
      <w:r>
        <w:t xml:space="preserve">S3.4 Predictor provenance, compositing and the downscaler</w:t>
      </w:r>
    </w:p>
    <w:p>
      <w:pPr>
        <w:pStyle w:val="FirstParagraph"/>
      </w:pPr>
      <w:r>
        <w:t xml:space="preserve">Ten predictors are used, four baseline and six thermal, all summarised per cell over the predictor</w:t>
      </w:r>
      <w:r>
        <w:t xml:space="preserve"> </w:t>
      </w:r>
      <w:r>
        <w:t xml:space="preserve">window, through the chain shown in Fig. 2. All optical and thermal predictors come from Landsat 8 Collection 2 Level-2</w:t>
      </w:r>
      <w:r>
        <w:t xml:space="preserve"> </w:t>
      </w:r>
      <w:r>
        <w:t xml:space="preserve">(</w:t>
      </w:r>
      <w:r>
        <w:rPr>
          <w:rStyle w:val="VerbatimChar"/>
        </w:rPr>
        <w:t xml:space="preserve">LANDSAT/LC08/C02/T1_L2</w:t>
      </w:r>
      <w:r>
        <w:t xml:space="preserve">), quality-screened per pixel from the</w:t>
      </w:r>
      <w:r>
        <w:t xml:space="preserve"> </w:t>
      </w:r>
      <w:r>
        <w:rPr>
          <w:rStyle w:val="VerbatimChar"/>
        </w:rPr>
        <w:t xml:space="preserve">QA_PIXEL</w:t>
      </w:r>
      <w:r>
        <w:t xml:space="preserve"> </w:t>
      </w:r>
      <w:r>
        <w:t xml:space="preserve">band with the water bit</w:t>
      </w:r>
      <w:r>
        <w:t xml:space="preserve"> </w:t>
      </w:r>
      <w:r>
        <w:t xml:space="preserve">deliberately preserved; the coarse-resolution thermal input is</w:t>
      </w:r>
      <w:r>
        <w:t xml:space="preserve"> </w:t>
      </w:r>
      <w:r>
        <w:rPr>
          <w:rStyle w:val="VerbatimChar"/>
        </w:rPr>
        <w:t xml:space="preserve">MODIS/061/MOD11A1</w:t>
      </w:r>
      <w:r>
        <w:t xml:space="preserve">.</w:t>
      </w:r>
    </w:p>
    <w:p>
      <w:pPr>
        <w:pStyle w:val="Compact"/>
        <w:numPr>
          <w:ilvl w:val="0"/>
          <w:numId w:val="1008"/>
        </w:numPr>
      </w:pPr>
      <w:r>
        <w:rPr>
          <w:b/>
          <w:bCs/>
        </w:rPr>
        <w:t xml:space="preserve">NDVI</w:t>
      </w:r>
      <w:r>
        <w:t xml:space="preserve">, the predictor-window median of Landsat surface reflectance, is the baseline’s one</w:t>
      </w:r>
      <w:r>
        <w:t xml:space="preserve"> </w:t>
      </w:r>
      <w:r>
        <w:t xml:space="preserve">time-varying member.</w:t>
      </w:r>
    </w:p>
    <w:p>
      <w:pPr>
        <w:pStyle w:val="Compact"/>
        <w:numPr>
          <w:ilvl w:val="0"/>
          <w:numId w:val="1008"/>
        </w:numPr>
      </w:pPr>
      <w:r>
        <w:rPr>
          <w:b/>
          <w:bCs/>
        </w:rPr>
        <w:t xml:space="preserve">Elevation</w:t>
      </w:r>
      <w:r>
        <w:t xml:space="preserve"> </w:t>
      </w:r>
      <w:r>
        <w:t xml:space="preserve">and</w:t>
      </w:r>
      <w:r>
        <w:t xml:space="preserve"> </w:t>
      </w:r>
      <w:r>
        <w:rPr>
          <w:b/>
          <w:bCs/>
        </w:rPr>
        <w:t xml:space="preserve">slope</w:t>
      </w:r>
      <w:r>
        <w:t xml:space="preserve"> </w:t>
      </w:r>
      <w:r>
        <w:t xml:space="preserve">come from the Copernicus DEM GLO-30, whose heights are referenced to</w:t>
      </w:r>
      <w:r>
        <w:t xml:space="preserve"> </w:t>
      </w:r>
      <w:r>
        <w:t xml:space="preserve">the EGM2008 geoid (EPSG:3855) in metres according to the product handbook; the pipeline applies no</w:t>
      </w:r>
      <w:r>
        <w:t xml:space="preserve"> </w:t>
      </w:r>
      <w:r>
        <w:t xml:space="preserve">datum conversion.</w:t>
      </w:r>
    </w:p>
    <w:p>
      <w:pPr>
        <w:pStyle w:val="Compact"/>
        <w:numPr>
          <w:ilvl w:val="0"/>
          <w:numId w:val="1008"/>
        </w:numPr>
      </w:pPr>
      <w:r>
        <w:rPr>
          <w:b/>
          <w:bCs/>
        </w:rPr>
        <w:t xml:space="preserve">Land cover</w:t>
      </w:r>
      <w:r>
        <w:t xml:space="preserve"> </w:t>
      </w:r>
      <w:r>
        <w:t xml:space="preserve">is ESA WorldCover v200</w:t>
      </w:r>
      <w:r>
        <w:t xml:space="preserve"> </w:t>
      </w:r>
      <w:r>
        <w:t xml:space="preserve">(Zanaga et al., 2022)</w:t>
      </w:r>
      <w:r>
        <w:t xml:space="preserve">, entering as the dominant class code.</w:t>
      </w:r>
    </w:p>
    <w:p>
      <w:pPr>
        <w:pStyle w:val="Compact"/>
        <w:numPr>
          <w:ilvl w:val="0"/>
          <w:numId w:val="1008"/>
        </w:numPr>
      </w:pPr>
      <w:r>
        <w:rPr>
          <w:b/>
          <w:bCs/>
        </w:rPr>
        <w:t xml:space="preserve">Current LST</w:t>
      </w:r>
      <w:r>
        <w:t xml:space="preserve">, the predictor-window median of Landsat surface temperature in °C.</w:t>
      </w:r>
    </w:p>
    <w:p>
      <w:pPr>
        <w:pStyle w:val="Compact"/>
        <w:numPr>
          <w:ilvl w:val="0"/>
          <w:numId w:val="1008"/>
        </w:numPr>
      </w:pPr>
      <w:r>
        <w:rPr>
          <w:b/>
          <w:bCs/>
        </w:rPr>
        <w:t xml:space="preserve">LST anomaly</w:t>
      </w:r>
      <w:r>
        <w:t xml:space="preserve">, a z-score of the current-window LST median against the four baseline years,</w:t>
      </w:r>
      <w:r>
        <w:t xml:space="preserve"> </w:t>
      </w:r>
      <w:r>
        <w:t xml:space="preserve">set to no-data where the baseline standard deviation is below 1.0 °C or observations are too few.</w:t>
      </w:r>
    </w:p>
    <w:p>
      <w:pPr>
        <w:pStyle w:val="Compact"/>
        <w:numPr>
          <w:ilvl w:val="0"/>
          <w:numId w:val="1008"/>
        </w:numPr>
      </w:pPr>
      <w:r>
        <w:rPr>
          <w:b/>
          <w:bCs/>
        </w:rPr>
        <w:t xml:space="preserve">TVDI</w:t>
      </w:r>
      <w:r>
        <w:t xml:space="preserve"> </w:t>
      </w:r>
      <w:r>
        <w:t xml:space="preserve">and</w:t>
      </w:r>
      <w:r>
        <w:t xml:space="preserve"> </w:t>
      </w:r>
      <w:r>
        <w:rPr>
          <w:b/>
          <w:bCs/>
        </w:rPr>
        <w:t xml:space="preserve">TVDI difference</w:t>
      </w:r>
      <w:r>
        <w:t xml:space="preserve">. The Temperature-Vegetation Dryness Index</w:t>
      </w:r>
      <w:r>
        <w:t xml:space="preserve"> </w:t>
      </w:r>
      <w:r>
        <w:t xml:space="preserve">(Sandholt et al., 2002)</w:t>
      </w:r>
      <w:r>
        <w:t xml:space="preserve"> </w:t>
      </w:r>
      <w:r>
        <w:t xml:space="preserve">is</w:t>
      </w:r>
      <w:r>
        <w:t xml:space="preserve"> </w:t>
      </w:r>
      <w:r>
        <w:t xml:space="preserve">computed in the LST-NDVI feature space, with wet and dry edges taken as the 2nd and 98th LST</w:t>
      </w:r>
      <w:r>
        <w:t xml:space="preserve"> </w:t>
      </w:r>
      <w:r>
        <w:t xml:space="preserve">percentiles within each of twenty NDVI bins and the index clamped to [0, 1]. The edges are</w:t>
      </w:r>
      <w:r>
        <w:t xml:space="preserve"> </w:t>
      </w:r>
      <w:r>
        <w:t xml:space="preserve">percentiles of the LST values a given scene contains, so they are fitted per AOI and per window,</w:t>
      </w:r>
      <w:r>
        <w:t xml:space="preserve"> </w:t>
      </w:r>
      <w:r>
        <w:t xml:space="preserve">and a TVDI of 0.5 denotes a different physical moisture state in each region. The companion paper</w:t>
      </w:r>
      <w:r>
        <w:t xml:space="preserve"> </w:t>
      </w:r>
      <w:r>
        <w:t xml:space="preserve">reports what that scene dependence does and does not explain.</w:t>
      </w:r>
      <w:r>
        <w:t xml:space="preserve"> </w:t>
      </w:r>
      <w:r>
        <w:rPr>
          <w:b/>
          <w:bCs/>
        </w:rPr>
        <w:t xml:space="preserve">TVDI difference</w:t>
      </w:r>
      <w:r>
        <w:t xml:space="preserve"> </w:t>
      </w:r>
      <w:r>
        <w:t xml:space="preserve">is the raw</w:t>
      </w:r>
      <w:r>
        <w:t xml:space="preserve"> </w:t>
      </w:r>
      <w:r>
        <w:t xml:space="preserve">anomaly of that index against the same four window-symmetric baseline years used for the LST</w:t>
      </w:r>
      <w:r>
        <w:t xml:space="preserve"> </w:t>
      </w:r>
      <w:r>
        <w:t xml:space="preserve">anomaly:</w:t>
      </w:r>
      <w:r>
        <w:t xml:space="preserve"> </w:t>
      </w:r>
      <w:r>
        <w:rPr>
          <w:rStyle w:val="VerbatimChar"/>
        </w:rPr>
        <w:t xml:space="preserve">tvdi_difference = current_tvdi − mean(baseline_tvdi)</w:t>
      </w:r>
      <w:r>
        <w:t xml:space="preserve">, in index units rather than</w:t>
      </w:r>
      <w:r>
        <w:t xml:space="preserve"> </w:t>
      </w:r>
      <w:r>
        <w:t xml:space="preserve">standard deviations, which is why it is reported alongside the z-scored channel rather than in</w:t>
      </w:r>
      <w:r>
        <w:t xml:space="preserve"> </w:t>
      </w:r>
      <w:r>
        <w:t xml:space="preserve">place of it.</w:t>
      </w:r>
    </w:p>
    <w:p>
      <w:pPr>
        <w:pStyle w:val="Compact"/>
        <w:numPr>
          <w:ilvl w:val="0"/>
          <w:numId w:val="1008"/>
        </w:numPr>
      </w:pPr>
      <w:r>
        <w:rPr>
          <w:b/>
          <w:bCs/>
        </w:rPr>
        <w:t xml:space="preserve">Downscaled LST</w:t>
      </w:r>
      <w:r>
        <w:t xml:space="preserve"> </w:t>
      </w:r>
      <w:r>
        <w:t xml:space="preserve">and</w:t>
      </w:r>
      <w:r>
        <w:t xml:space="preserve"> </w:t>
      </w:r>
      <w:r>
        <w:rPr>
          <w:b/>
          <w:bCs/>
        </w:rPr>
        <w:t xml:space="preserve">fused LST</w:t>
      </w:r>
      <w:r>
        <w:t xml:space="preserve">. A MODIS-to-Landsat downscaling model is trained on the</w:t>
      </w:r>
      <w:r>
        <w:t xml:space="preserve"> </w:t>
      </w:r>
      <w:r>
        <w:t xml:space="preserve">predictor window and applied to the full 30 m grid. The fused product equals observed Landsat LST</w:t>
      </w:r>
      <w:r>
        <w:t xml:space="preserve"> </w:t>
      </w:r>
      <w:r>
        <w:t xml:space="preserve">wherever that is valid, and the downscaled surface only where it is not. Gap-filling therefore</w:t>
      </w:r>
      <w:r>
        <w:t xml:space="preserve"> </w:t>
      </w:r>
      <w:r>
        <w:t xml:space="preserve">never replaces or blends a valid observation. The gap-filled share is 0.11 % to 9.70 % by region. The</w:t>
      </w:r>
      <w:r>
        <w:t xml:space="preserve"> </w:t>
      </w:r>
      <w:r>
        <w:t xml:space="preserve">downscaler’s own inputs include coordinates, which is the one route by which a coordinate-derived</w:t>
      </w:r>
      <w:r>
        <w:t xml:space="preserve"> </w:t>
      </w:r>
      <w:r>
        <w:t xml:space="preserve">surface re-enters a feature set from which Section 3.13 excludes coordinates. Section S1.7</w:t>
      </w:r>
      <w:r>
        <w:t xml:space="preserve"> </w:t>
      </w:r>
      <w:r>
        <w:t xml:space="preserve">reports the increment without these two channels.</w:t>
      </w:r>
    </w:p>
    <w:bookmarkEnd w:id="62"/>
    <w:bookmarkStart w:id="63" w:name="s3.5-limitations-in-full"/>
    <w:p>
      <w:pPr>
        <w:pStyle w:val="Heading2"/>
      </w:pPr>
      <w:r>
        <w:t xml:space="preserve">S3.5 Limitations, in full</w:t>
      </w:r>
    </w:p>
    <w:p>
      <w:pPr>
        <w:pStyle w:val="FirstParagraph"/>
      </w:pPr>
      <w:r>
        <w:t xml:space="preserve">Section 5.7 states the seven that bind the conclusions: (v), (vii), (viii), (ix), (xi), (xii) and</w:t>
      </w:r>
      <w:r>
        <w:t xml:space="preserve"> </w:t>
      </w:r>
      <w:r>
        <w:t xml:space="preserve">(xiii). All thirteen are here. The other six, (i) to (iv), (vi) and (x), bear on scope.</w:t>
      </w:r>
    </w:p>
    <w:p>
      <w:pPr>
        <w:numPr>
          <w:ilvl w:val="0"/>
          <w:numId w:val="1009"/>
        </w:numPr>
      </w:pPr>
      <w:r>
        <w:rPr>
          <w:b/>
          <w:bCs/>
        </w:rPr>
        <w:t xml:space="preserve">No meteorological covariates</w:t>
      </w:r>
      <w:r>
        <w:t xml:space="preserve"> </w:t>
      </w:r>
      <w:r>
        <w:t xml:space="preserve">enter the models, so we cannot say how local skill and</w:t>
      </w:r>
      <w:r>
        <w:t xml:space="preserve"> </w:t>
      </w:r>
      <w:r>
        <w:t xml:space="preserve">portability behave for a mixed thermal-plus-weather predictor set.</w:t>
      </w:r>
    </w:p>
    <w:p>
      <w:pPr>
        <w:numPr>
          <w:ilvl w:val="0"/>
          <w:numId w:val="1009"/>
        </w:numPr>
      </w:pPr>
      <w:r>
        <w:rPr>
          <w:b/>
          <w:bCs/>
        </w:rPr>
        <w:t xml:space="preserve">The same-geography comparison covers one region only</w:t>
      </w:r>
      <w:r>
        <w:t xml:space="preserve">, and even there year and seasonal phase</w:t>
      </w:r>
      <w:r>
        <w:t xml:space="preserve"> </w:t>
      </w:r>
      <w:r>
        <w:t xml:space="preserve">are confounded. That confound cannot be resolved in this study area, and the reason is specific: the</w:t>
      </w:r>
      <w:r>
        <w:t xml:space="preserve"> </w:t>
      </w:r>
      <w:r>
        <w:t xml:space="preserve">two events sit 42 days apart in median burn day-of-year, neither year contains a second event at the</w:t>
      </w:r>
      <w:r>
        <w:t xml:space="preserve"> </w:t>
      </w:r>
      <w:r>
        <w:t xml:space="preserve">other’s phase, and a calendar-matched arm would carry nine burned cells against this design’s gate</w:t>
      </w:r>
      <w:r>
        <w:t xml:space="preserve"> </w:t>
      </w:r>
      <w:r>
        <w:t xml:space="preserve">minimum of thirty. The positive-block count for the 2022 arm is separately below the floor this</w:t>
      </w:r>
      <w:r>
        <w:t xml:space="preserve"> </w:t>
      </w:r>
      <w:r>
        <w:t xml:space="preserve">design sets itself, at eleven against sixteen (Section S1.13). Its 331 burned cells also leave the thermal reversals unresolved at interval level, and</w:t>
      </w:r>
      <w:r>
        <w:t xml:space="preserve"> </w:t>
      </w:r>
      <w:r>
        <w:t xml:space="preserve">the pair holds place fixed but not population. Those two arms were computed by us rather than read</w:t>
      </w:r>
      <w:r>
        <w:t xml:space="preserve"> </w:t>
      </w:r>
      <w:r>
        <w:t xml:space="preserve">from the pipeline author’s frozen export, with his unmodified code and the same pinned environment.</w:t>
      </w:r>
      <w:r>
        <w:t xml:space="preserve"> </w:t>
      </w:r>
      <w:r>
        <w:t xml:space="preserve">Since the label correction, every Manavgat quantity is computed by us as well (Section 3.13).</w:t>
      </w:r>
    </w:p>
    <w:p>
      <w:pPr>
        <w:numPr>
          <w:ilvl w:val="0"/>
          <w:numId w:val="1009"/>
        </w:numPr>
      </w:pPr>
      <w:r>
        <w:rPr>
          <w:b/>
          <w:bCs/>
        </w:rPr>
        <w:t xml:space="preserve">All labels derive from a single burned-area product</w:t>
      </w:r>
      <w:r>
        <w:t xml:space="preserve">, MCD64A1</w:t>
      </w:r>
      <w:r>
        <w:t xml:space="preserve"> </w:t>
      </w:r>
      <w:r>
        <w:t xml:space="preserve">(Giglio et al., 2018)</w:t>
      </w:r>
      <w:r>
        <w:t xml:space="preserve">, whose omission</w:t>
      </w:r>
      <w:r>
        <w:t xml:space="preserve"> </w:t>
      </w:r>
      <w:r>
        <w:t xml:space="preserve">and commission characteristics</w:t>
      </w:r>
      <w:r>
        <w:t xml:space="preserve"> </w:t>
      </w:r>
      <w:r>
        <w:t xml:space="preserve">(Boschetti et al., 2019)</w:t>
      </w:r>
      <w:r>
        <w:t xml:space="preserve"> </w:t>
      </w:r>
      <w:r>
        <w:t xml:space="preserve">bound every model evaluated here. No second</w:t>
      </w:r>
      <w:r>
        <w:t xml:space="preserve"> </w:t>
      </w:r>
      <w:r>
        <w:t xml:space="preserve">burned-area product covers 2021 and 2022 at this resolution; the companion paper reports what an</w:t>
      </w:r>
      <w:r>
        <w:t xml:space="preserve"> </w:t>
      </w:r>
      <w:r>
        <w:t xml:space="preserve">independent active-fire observation says about the omission concern.</w:t>
      </w:r>
    </w:p>
    <w:p>
      <w:pPr>
        <w:numPr>
          <w:ilvl w:val="0"/>
          <w:numId w:val="1009"/>
        </w:numPr>
      </w:pPr>
      <w:r>
        <w:rPr>
          <w:b/>
          <w:bCs/>
        </w:rPr>
        <w:t xml:space="preserve">Evia remains the most imbalance-atypical population</w:t>
      </w:r>
      <w:r>
        <w:t xml:space="preserve"> </w:t>
      </w:r>
      <w:r>
        <w:t xml:space="preserve">even after the AOI extension. Its TSG</w:t>
      </w:r>
      <w:r>
        <w:t xml:space="preserve"> </w:t>
      </w:r>
      <w:r>
        <w:t xml:space="preserve">prevalence is 0.287, the highest in the cohort, against 0.070 to 0.212 in the other four.</w:t>
      </w:r>
    </w:p>
    <w:p>
      <w:pPr>
        <w:numPr>
          <w:ilvl w:val="0"/>
          <w:numId w:val="1009"/>
        </w:numPr>
      </w:pPr>
      <w:r>
        <w:rPr>
          <w:b/>
          <w:bCs/>
        </w:rPr>
        <w:t xml:space="preserve">Each region contributes one fire season</w:t>
      </w:r>
      <w:r>
        <w:t xml:space="preserve">, so regional concept shift is confounded with event</w:t>
      </w:r>
      <w:r>
        <w:t xml:space="preserve"> </w:t>
      </w:r>
      <w:r>
        <w:t xml:space="preserve">meteorology, and distinguishing them requires multi-year labels.</w:t>
      </w:r>
    </w:p>
    <w:p>
      <w:pPr>
        <w:numPr>
          <w:ilvl w:val="0"/>
          <w:numId w:val="1009"/>
        </w:numPr>
      </w:pPr>
      <w:r>
        <w:rPr>
          <w:b/>
          <w:bCs/>
        </w:rPr>
        <w:t xml:space="preserve">Cross-region point estimates carry an implementation tolerance</w:t>
      </w:r>
      <w:r>
        <w:t xml:space="preserve"> </w:t>
      </w:r>
      <w:r>
        <w:t xml:space="preserve">of roughly ±0.02 to 0.03</w:t>
      </w:r>
      <w:r>
        <w:t xml:space="preserve"> </w:t>
      </w:r>
      <w:r>
        <w:t xml:space="preserve">across scikit-learn versions. All reported numbers are fixed to one verified version, but exact</w:t>
      </w:r>
      <w:r>
        <w:t xml:space="preserve"> </w:t>
      </w:r>
      <w:r>
        <w:t xml:space="preserve">reproduction elsewhere requires the archived environment.</w:t>
      </w:r>
    </w:p>
    <w:p>
      <w:pPr>
        <w:numPr>
          <w:ilvl w:val="0"/>
          <w:numId w:val="1009"/>
        </w:numPr>
      </w:pPr>
      <w:r>
        <w:rPr>
          <w:b/>
          <w:bCs/>
        </w:rPr>
        <w:t xml:space="preserve">Manavgat’s atypical transfer is localised, not explained, and the localisation rests on one</w:t>
      </w:r>
      <w:r>
        <w:rPr>
          <w:b/>
          <w:bCs/>
        </w:rPr>
        <w:t xml:space="preserve"> </w:t>
      </w:r>
      <w:r>
        <w:rPr>
          <w:b/>
          <w:bCs/>
        </w:rPr>
        <w:t xml:space="preserve">region and one event.</w:t>
      </w:r>
      <w:r>
        <w:t xml:space="preserve"> </w:t>
      </w:r>
      <w:r>
        <w:t xml:space="preserve">Manavgat is the weakest target (0.435), carries the largest matched shortfall</w:t>
      </w:r>
      <w:r>
        <w:t xml:space="preserve"> </w:t>
      </w:r>
      <w:r>
        <w:t xml:space="preserve">(+0.319) and has the most outlying univariate profile in the cohort. Three candidates have been</w:t>
      </w:r>
      <w:r>
        <w:t xml:space="preserve"> </w:t>
      </w:r>
      <w:r>
        <w:t xml:space="preserve">tested and none accounts for it. Its meteorology was not extreme. The quality screening of its</w:t>
      </w:r>
      <w:r>
        <w:t xml:space="preserve"> </w:t>
      </w:r>
      <w:r>
        <w:t xml:space="preserve">coarse thermal input moves no signed association by more than 0.005 (Section S1.17, Section S1.5).</w:t>
      </w:r>
      <w:r>
        <w:t xml:space="preserve"> </w:t>
      </w:r>
      <w:r>
        <w:t xml:space="preserve">The evaluation frame leaves its elevation reversal supported (Section 4.4). An exploratory split by</w:t>
      </w:r>
      <w:r>
        <w:t xml:space="preserve"> </w:t>
      </w:r>
      <w:r>
        <w:t xml:space="preserve">fire phase places the collapse in the cells that burned in the first four days, and Section 5.4</w:t>
      </w:r>
      <w:r>
        <w:t xml:space="preserve"> </w:t>
      </w:r>
      <w:r>
        <w:t xml:space="preserve">offers a mechanism proposal from it. That split was not registered and concerns one region and one</w:t>
      </w:r>
      <w:r>
        <w:t xml:space="preserve"> </w:t>
      </w:r>
      <w:r>
        <w:t xml:space="preserve">event. It cannot be generalised until other events that burn across the elevation gradient are</w:t>
      </w:r>
      <w:r>
        <w:t xml:space="preserve"> </w:t>
      </w:r>
      <w:r>
        <w:t xml:space="preserve">examined.</w:t>
      </w:r>
    </w:p>
    <w:p>
      <w:pPr>
        <w:numPr>
          <w:ilvl w:val="0"/>
          <w:numId w:val="1009"/>
        </w:numPr>
      </w:pPr>
      <w:r>
        <w:rPr>
          <w:b/>
          <w:bCs/>
        </w:rPr>
        <w:t xml:space="preserve">The interval-support measures are less stable than the point estimates behind them.</w:t>
      </w:r>
      <w:r>
        <w:t xml:space="preserve"> </w:t>
      </w:r>
      <w:r>
        <w:t xml:space="preserve">Five</w:t>
      </w:r>
      <w:r>
        <w:t xml:space="preserve"> </w:t>
      </w:r>
      <w:r>
        <w:t xml:space="preserve">to six of the pipeline’s interval bounds lie within 0.01 of 0.5, under both labels. A single such</w:t>
      </w:r>
      <w:r>
        <w:t xml:space="preserve"> </w:t>
      </w:r>
      <w:r>
        <w:t xml:space="preserve">flag, Manavgat’s NDVI, moved the full-frame supported-feature cosine from ρ = 0.49 to 0.70 when two</w:t>
      </w:r>
      <w:r>
        <w:t xml:space="preserve"> </w:t>
      </w:r>
      <w:r>
        <w:t xml:space="preserve">equally valid bootstrap streams disagreed on it (Section 5.4). The transfer verdicts are steadier.</w:t>
      </w:r>
      <w:r>
        <w:t xml:space="preserve"> </w:t>
      </w:r>
      <w:r>
        <w:t xml:space="preserve">Across five bootstrap seeds, every verdict at 1 km blocking is stable, and the paired split of twelve</w:t>
      </w:r>
      <w:r>
        <w:t xml:space="preserve"> </w:t>
      </w:r>
      <w:r>
        <w:t xml:space="preserve">positive, seven negative and one uncertain holds on every seed. At 5 km blocking, one level verdict</w:t>
      </w:r>
      <w:r>
        <w:t xml:space="preserve"> </w:t>
      </w:r>
      <w:r>
        <w:t xml:space="preserve">and two paired-delta verdicts change with the seed. Every sentence in this paper that leans on an</w:t>
      </w:r>
      <w:r>
        <w:t xml:space="preserve"> </w:t>
      </w:r>
      <w:r>
        <w:t xml:space="preserve">exact count of supported directions should be read at that precision.</w:t>
      </w:r>
    </w:p>
    <w:p>
      <w:pPr>
        <w:numPr>
          <w:ilvl w:val="0"/>
          <w:numId w:val="1009"/>
        </w:numPr>
      </w:pPr>
      <w:r>
        <w:rPr>
          <w:b/>
          <w:bCs/>
        </w:rPr>
        <w:t xml:space="preserve">The five areas of interest are not comparable frames, and this cohort cannot fully repair it</w:t>
      </w:r>
      <w:r>
        <w:t xml:space="preserve"> </w:t>
      </w:r>
      <w:r>
        <w:t xml:space="preserve">(Section 4.4). We report the equalised arm alongside the frame-as-drawn arm rather than replacing one</w:t>
      </w:r>
      <w:r>
        <w:t xml:space="preserve"> </w:t>
      </w:r>
      <w:r>
        <w:t xml:space="preserve">with the other, because the collar radius is itself a choice and 5 km and 10 km do not agree exactly</w:t>
      </w:r>
      <w:r>
        <w:t xml:space="preserve"> </w:t>
      </w:r>
      <w:r>
        <w:t xml:space="preserve">(0.591 against 0.589). The deeper limitation is that the frames were fixed upstream of this work, in</w:t>
      </w:r>
      <w:r>
        <w:t xml:space="preserve"> </w:t>
      </w:r>
      <w:r>
        <w:rPr>
          <w:rStyle w:val="VerbatimChar"/>
        </w:rPr>
        <w:t xml:space="preserve">repo/</w:t>
      </w:r>
      <w:r>
        <w:t xml:space="preserve">, so we can restrict them but not extend them; a region whose rectangle is already fire-scale,</w:t>
      </w:r>
      <w:r>
        <w:t xml:space="preserve"> </w:t>
      </w:r>
      <w:r>
        <w:t xml:space="preserve">Montiferru, cannot be given a far field for symmetry. Nor can their independence from outcomes be</w:t>
      </w:r>
      <w:r>
        <w:t xml:space="preserve"> </w:t>
      </w:r>
      <w:r>
        <w:t xml:space="preserve">fully documented: only Montiferru’s box is derived by a rule, Manavgat’s is dated before its first gate result, and for Bejís and Muğla the</w:t>
      </w:r>
      <w:r>
        <w:t xml:space="preserve"> </w:t>
      </w:r>
      <w:r>
        <w:t xml:space="preserve">version history cannot show the box fixed before the first gate result (Section 3.1). Any future cohort should fix the frame by an</w:t>
      </w:r>
      <w:r>
        <w:t xml:space="preserve"> </w:t>
      </w:r>
      <w:r>
        <w:t xml:space="preserve">explicit accessible-area rule</w:t>
      </w:r>
      <w:r>
        <w:t xml:space="preserve"> </w:t>
      </w:r>
      <w:r>
        <w:t xml:space="preserve">(Barve et al., 2011)</w:t>
      </w:r>
      <w:r>
        <w:t xml:space="preserve"> </w:t>
      </w:r>
      <w:r>
        <w:t xml:space="preserve">before any predictor is computed, and we treat that as the</w:t>
      </w:r>
      <w:r>
        <w:t xml:space="preserve"> </w:t>
      </w:r>
      <w:r>
        <w:t xml:space="preserve">main design lesson of this paper.</w:t>
      </w:r>
    </w:p>
    <w:p>
      <w:pPr>
        <w:numPr>
          <w:ilvl w:val="0"/>
          <w:numId w:val="1009"/>
        </w:numPr>
      </w:pPr>
      <w:r>
        <w:rPr>
          <w:b/>
          <w:bCs/>
        </w:rPr>
        <w:t xml:space="preserve">Other classifiers are compared by point estimate only.</w:t>
      </w:r>
      <w:r>
        <w:t xml:space="preserve"> </w:t>
      </w:r>
      <w:r>
        <w:t xml:space="preserve">The headline numbers use a random forest with unlimited depth, the</w:t>
      </w:r>
      <w:r>
        <w:t xml:space="preserve"> </w:t>
      </w:r>
      <w:r>
        <w:t xml:space="preserve">configuration most able to encode local structure and least able to extrapolate. Section S1.8 shows the transfer result is not an artefact of that</w:t>
      </w:r>
      <w:r>
        <w:t xml:space="preserve"> </w:t>
      </w:r>
      <w:r>
        <w:t xml:space="preserve">choice: three further estimators, including a penalised linear one, all land between 0.481 and 0.527</w:t>
      </w:r>
      <w:r>
        <w:t xml:space="preserve"> </w:t>
      </w:r>
      <w:r>
        <w:t xml:space="preserve">and place eleven to thirteen of twenty directions above chance. Those are point estimates without</w:t>
      </w:r>
      <w:r>
        <w:t xml:space="preserve"> </w:t>
      </w:r>
      <w:r>
        <w:t xml:space="preserve">intervals, so the ordering among them is not claimed as a result. Estimator classes beyond these four were not</w:t>
      </w:r>
      <w:r>
        <w:t xml:space="preserve"> </w:t>
      </w:r>
      <w:r>
        <w:t xml:space="preserve">tried, and a different inductive bias might behave differently, but across the four tried the negative</w:t>
      </w:r>
      <w:r>
        <w:t xml:space="preserve"> </w:t>
      </w:r>
      <w:r>
        <w:t xml:space="preserve">result is a property of the predictors rather than of an unregularised estimator.</w:t>
      </w:r>
    </w:p>
    <w:p>
      <w:pPr>
        <w:numPr>
          <w:ilvl w:val="0"/>
          <w:numId w:val="1009"/>
        </w:numPr>
      </w:pPr>
      <w:r>
        <w:rPr>
          <w:b/>
          <w:bCs/>
        </w:rPr>
        <w:t xml:space="preserve">The phase split cannot separate elevation from temperature.</w:t>
      </w:r>
      <w:r>
        <w:t xml:space="preserve"> </w:t>
      </w:r>
      <w:r>
        <w:t xml:space="preserve">The cells that burned in</w:t>
      </w:r>
      <w:r>
        <w:t xml:space="preserve"> </w:t>
      </w:r>
      <w:r>
        <w:t xml:space="preserve">Manavgat’s first four days lie at a median of 219 m, against 512 m for the later burns and 1,004 m</w:t>
      </w:r>
      <w:r>
        <w:t xml:space="preserve"> </w:t>
      </w:r>
      <w:r>
        <w:t xml:space="preserve">for unburned cells. They also carry the region’s strongest LST signal, at AUC 0.70 to 0.72 against</w:t>
      </w:r>
      <w:r>
        <w:t xml:space="preserve"> </w:t>
      </w:r>
      <w:r>
        <w:t xml:space="preserve">0.57 to 0.58 later. Low ground is hot ground here. The proposal of Section 5.4 is therefore</w:t>
      </w:r>
      <w:r>
        <w:t xml:space="preserve"> </w:t>
      </w:r>
      <w:r>
        <w:t xml:space="preserve">confounded in this data by construction. Separating the two needs predictors that decouple terrain</w:t>
      </w:r>
      <w:r>
        <w:t xml:space="preserve"> </w:t>
      </w:r>
      <w:r>
        <w:t xml:space="preserve">from surface temperature, or events in which the hot surfaces are not the low ones.</w:t>
      </w:r>
    </w:p>
    <w:p>
      <w:pPr>
        <w:numPr>
          <w:ilvl w:val="0"/>
          <w:numId w:val="1009"/>
        </w:numPr>
      </w:pPr>
      <w:r>
        <w:rPr>
          <w:b/>
          <w:bCs/>
        </w:rPr>
        <w:t xml:space="preserve">The quality-screening comparison differs in code version as well as in screening.</w:t>
      </w:r>
      <w:r>
        <w:t xml:space="preserve"> </w:t>
      </w:r>
      <w:r>
        <w:t xml:space="preserve">The</w:t>
      </w:r>
      <w:r>
        <w:t xml:space="preserve"> </w:t>
      </w:r>
      <w:r>
        <w:t xml:space="preserve">current pipeline’s step7 refuses the unscreened MODIS input, because the raster carries no nodata tag</w:t>
      </w:r>
      <w:r>
        <w:t xml:space="preserve"> </w:t>
      </w:r>
      <w:r>
        <w:t xml:space="preserve">and 8.1 % exact zeros. The unscreened arm therefore uses the step7 of export time, and the screened</w:t>
      </w:r>
      <w:r>
        <w:t xml:space="preserve"> </w:t>
      </w:r>
      <w:r>
        <w:t xml:space="preserve">arm the current one. The two agree on elevation to four decimals and on every other signed AUC to</w:t>
      </w:r>
      <w:r>
        <w:t xml:space="preserve"> </w:t>
      </w:r>
      <w:r>
        <w:t xml:space="preserve">within 0.005, the largest move being downscaled LST at −0.0044. The within-region increment moves</w:t>
      </w:r>
      <w:r>
        <w:t xml:space="preserve"> </w:t>
      </w:r>
      <w:r>
        <w:t xml:space="preserve">from +0.067 to +0.068. The confound could therefore have hidden an effect only if two effects had</w:t>
      </w:r>
      <w:r>
        <w:t xml:space="preserve"> </w:t>
      </w:r>
      <w:r>
        <w:t xml:space="preserve">cancelled. An earlier description of both arms as rebuilt was inaccurate: the earlier unscreened arm</w:t>
      </w:r>
      <w:r>
        <w:t xml:space="preserve"> </w:t>
      </w:r>
      <w:r>
        <w:t xml:space="preserve">almost certainly met the same refusal, since its signed AUCs equal the frozen ones (Section S1.5).</w:t>
      </w:r>
    </w:p>
    <w:p>
      <w:pPr>
        <w:numPr>
          <w:ilvl w:val="0"/>
          <w:numId w:val="1009"/>
        </w:numPr>
      </w:pPr>
      <w:r>
        <w:rPr>
          <w:b/>
          <w:bCs/>
        </w:rPr>
        <w:t xml:space="preserve">The diagnostic correlations rest on an effective sample of ten region pairs.</w:t>
      </w:r>
      <w:r>
        <w:t xml:space="preserve"> </w:t>
      </w:r>
      <w:r>
        <w:t xml:space="preserve">Five regions</w:t>
      </w:r>
      <w:r>
        <w:t xml:space="preserve"> </w:t>
      </w:r>
      <w:r>
        <w:t xml:space="preserve">give twenty ordered directions, but the two directions of a pair share both regions and are not</w:t>
      </w:r>
      <w:r>
        <w:t xml:space="preserve"> </w:t>
      </w:r>
      <w:r>
        <w:t xml:space="preserve">independent. The diagnostic results of Section S4, successes and failures alike, read at that power.</w:t>
      </w:r>
    </w:p>
    <w:bookmarkEnd w:id="63"/>
    <w:bookmarkStart w:id="66" w:name="Xdd31c53b461bc182b050058e71b7f599426e20c"/>
    <w:p>
      <w:pPr>
        <w:pStyle w:val="Heading2"/>
      </w:pPr>
      <w:r>
        <w:t xml:space="preserve">S3.6 Leakage control and reproducibility, in full</w:t>
      </w:r>
    </w:p>
    <w:p>
      <w:pPr>
        <w:pStyle w:val="FirstParagraph"/>
      </w:pPr>
      <w:r>
        <w:t xml:space="preserve">An explicit forbidden-column set is enforced at every model fit. Coordinates (</w:t>
      </w:r>
      <w:r>
        <w:rPr>
          <w:rStyle w:val="VerbatimChar"/>
        </w:rPr>
        <w:t xml:space="preserve">lon</w:t>
      </w:r>
      <w:r>
        <w:t xml:space="preserve">,</w:t>
      </w:r>
      <w:r>
        <w:t xml:space="preserve"> </w:t>
      </w:r>
      <w:r>
        <w:rPr>
          <w:rStyle w:val="VerbatimChar"/>
        </w:rPr>
        <w:t xml:space="preserve">lat</w:t>
      </w:r>
      <w:r>
        <w:t xml:space="preserve">,</w:t>
      </w:r>
      <w:r>
        <w:t xml:space="preserve"> </w:t>
      </w:r>
      <w:r>
        <w:rPr>
          <w:rStyle w:val="VerbatimChar"/>
        </w:rPr>
        <w:t xml:space="preserve">row</w:t>
      </w:r>
      <w:r>
        <w:t xml:space="preserve">,</w:t>
      </w:r>
      <w:r>
        <w:t xml:space="preserve"> </w:t>
      </w:r>
      <w:r>
        <w:rPr>
          <w:rStyle w:val="VerbatimChar"/>
        </w:rPr>
        <w:t xml:space="preserve">col</w:t>
      </w:r>
      <w:r>
        <w:t xml:space="preserve"> </w:t>
      </w:r>
      <w:r>
        <w:t xml:space="preserve">and their normalised forms), every burn-date and label-provenance column, and the agreement</w:t>
      </w:r>
      <w:r>
        <w:t xml:space="preserve"> </w:t>
      </w:r>
      <w:r>
        <w:t xml:space="preserve">fraction are excluded from all feature sets, and the enforcement runs as an assertion rather than a</w:t>
      </w:r>
      <w:r>
        <w:t xml:space="preserve"> </w:t>
      </w:r>
      <w:r>
        <w:t xml:space="preserve">convention. The natural-vegetation mask is used only to define the population, never as a predictor.</w:t>
      </w:r>
      <w:r>
        <w:t xml:space="preserve"> </w:t>
      </w:r>
      <w:r>
        <w:t xml:space="preserve">Spatial blocking prevents a cell from sharing a fold with its own neighbours.</w:t>
      </w:r>
    </w:p>
    <w:p>
      <w:pPr>
        <w:pStyle w:val="BodyText"/>
      </w:pPr>
      <w:r>
        <w:rPr>
          <w:b/>
          <w:bCs/>
        </w:rPr>
        <w:t xml:space="preserve">Reproducibility.</w:t>
      </w:r>
      <w:r>
        <w:t xml:space="preserve"> </w:t>
      </w:r>
      <w:r>
        <w:t xml:space="preserve">All randomness uses seed 42 and the bootstrap uses 1000 replicates throughout.</w:t>
      </w:r>
      <w:r>
        <w:t xml:space="preserve"> </w:t>
      </w:r>
      <w:r>
        <w:t xml:space="preserve">The transfer and adaptation analysis runs in an environment separate from the upstream pipeline’s.</w:t>
      </w:r>
      <w:r>
        <w:t xml:space="preserve"> </w:t>
      </w:r>
      <w:r>
        <w:t xml:space="preserve">Every within-region model was therefore refitted there and compared against the frozen upstream</w:t>
      </w:r>
      <w:r>
        <w:t xml:space="preserve"> </w:t>
      </w:r>
      <w:r>
        <w:t xml:space="preserve">output, and the independently implemented adaptation was compared against the pipeline’s own. The</w:t>
      </w:r>
      <w:r>
        <w:t xml:space="preserve"> </w:t>
      </w:r>
      <w:r>
        <w:t xml:space="preserve">within-region comparisons agree exactly and the twenty directed CORAL transfers to within 1.3×10⁻⁸</w:t>
      </w:r>
      <w:r>
        <w:t xml:space="preserve"> </w:t>
      </w:r>
      <w:r>
        <w:t xml:space="preserve">against the re-frozen outputs (1.6×10⁻⁷ against the frozen ones), under the repository’s</w:t>
      </w:r>
      <w:r>
        <w:t xml:space="preserve"> </w:t>
      </w:r>
      <w:r>
        <w:t xml:space="preserve">pre-existing tolerance of 10⁻⁶ (Section 3.13). All numbers here were produced under scikit-learn 1.9.0 or verified against it; the</w:t>
      </w:r>
      <w:r>
        <w:t xml:space="preserve"> </w:t>
      </w:r>
      <w:r>
        <w:t xml:space="preserve">implementation tolerance that applies if the version is not fixed is stated in Section S3.5(vi), and</w:t>
      </w:r>
      <w:r>
        <w:t xml:space="preserve"> </w:t>
      </w:r>
      <w:r>
        <w:t xml:space="preserve">the companion paper reports the version sensitivity and the reproduction check in full.</w:t>
      </w:r>
    </w:p>
    <w:p>
      <w:pPr>
        <w:pStyle w:val="BodyText"/>
      </w:pPr>
      <w:r>
        <w:rPr>
          <w:b/>
          <w:bCs/>
        </w:rPr>
        <w:t xml:space="preserve">Sensitivity analyses.</w:t>
      </w:r>
      <w:r>
        <w:t xml:space="preserve"> </w:t>
      </w:r>
      <w:r>
        <w:t xml:space="preserve">Every headline result is repeated across two analysis populations, three</w:t>
      </w:r>
      <w:r>
        <w:t xml:space="preserve"> </w:t>
      </w:r>
      <w:r>
        <w:t xml:space="preserve">spatial-block sizes, the CORAL sweep, both feature sets and four classifier capacities; where a</w:t>
      </w:r>
      <w:r>
        <w:t xml:space="preserve"> </w:t>
      </w:r>
      <w:r>
        <w:t xml:space="preserve">conclusion depends on one of those choices the dependence is reported rather than resolved by</w:t>
      </w:r>
      <w:r>
        <w:t xml:space="preserve"> </w:t>
      </w:r>
      <w:r>
        <w:t xml:space="preserve">choosing the favourable setting (Section S1).</w:t>
      </w:r>
    </w:p>
    <w:bookmarkStart w:id="64" w:name="s3.6.1-resampling-units"/>
    <w:p>
      <w:pPr>
        <w:pStyle w:val="Heading3"/>
      </w:pPr>
      <w:r>
        <w:t xml:space="preserve">S3.6.1 Resampling units</w:t>
      </w:r>
    </w:p>
    <w:p>
      <w:pPr>
        <w:pStyle w:val="FirstParagraph"/>
      </w:pPr>
      <w:r>
        <w:t xml:space="preserve">Uncertainty is a spatial-block bootstrap. Let</w:t>
      </w:r>
      <w:r>
        <w:t xml:space="preserve"> </w:t>
      </w:r>
      <m:oMath>
        <m:sSub>
          <m:e>
            <m:r>
              <m:t>β</m:t>
            </m:r>
          </m:e>
          <m:sub>
            <m:r>
              <m:t>1</m:t>
            </m:r>
          </m:sub>
        </m:sSub>
        <m:r>
          <m:rPr>
            <m:sty m:val="p"/>
          </m:rPr>
          <m:t>,</m:t>
        </m:r>
        <m:r>
          <m:rPr>
            <m:sty m:val="p"/>
          </m:rPr>
          <m:t>…</m:t>
        </m:r>
        <m:r>
          <m:rPr>
            <m:sty m:val="p"/>
          </m:rPr>
          <m:t>,</m:t>
        </m:r>
        <m:sSub>
          <m:e>
            <m:r>
              <m:t>β</m:t>
            </m:r>
          </m:e>
          <m:sub>
            <m:r>
              <m:t>M</m:t>
            </m:r>
          </m:sub>
        </m:sSub>
      </m:oMath>
      <w:r>
        <w:t xml:space="preserve"> </w:t>
      </w:r>
      <w:r>
        <w:t xml:space="preserve">be the blocks of</w:t>
      </w:r>
      <w:r>
        <w:t xml:space="preserve"> </w:t>
      </w:r>
      <w:r>
        <w:t xml:space="preserve">Eq. (1) of the main text holding cells of</w:t>
      </w:r>
      <w:r>
        <w:t xml:space="preserve"> </w:t>
      </w:r>
      <m:oMath>
        <m:r>
          <m:t>F</m:t>
        </m:r>
      </m:oMath>
      <w:r>
        <w:t xml:space="preserve">. Replicate</w:t>
      </w:r>
      <w:r>
        <w:t xml:space="preserve"> </w:t>
      </w:r>
      <m:oMath>
        <m:r>
          <m:t>b</m:t>
        </m:r>
      </m:oMath>
      <w:r>
        <w:t xml:space="preserve"> </w:t>
      </w:r>
      <w:r>
        <w:t xml:space="preserve">draws</w:t>
      </w:r>
      <w:r>
        <w:t xml:space="preserve"> </w:t>
      </w:r>
      <m:oMath>
        <m:r>
          <m:t>M</m:t>
        </m:r>
      </m:oMath>
      <w:r>
        <w:t xml:space="preserve"> </w:t>
      </w:r>
      <w:r>
        <w:t xml:space="preserve">indices</w:t>
      </w:r>
      <w:r>
        <w:t xml:space="preserve"> </w:t>
      </w:r>
      <m:oMath>
        <m:sSub>
          <m:e>
            <m:r>
              <m:t>u</m:t>
            </m:r>
          </m:e>
          <m:sub>
            <m:r>
              <m:t>b</m:t>
            </m:r>
            <m:r>
              <m:t>m</m:t>
            </m:r>
          </m:sub>
        </m:sSub>
      </m:oMath>
      <w:r>
        <w:t xml:space="preserve"> </w:t>
      </w:r>
      <w:r>
        <w:t xml:space="preserve">uniformly with replacement:</w:t>
      </w:r>
    </w:p>
    <w:p>
      <w:pPr>
        <w:pStyle w:val="BodyText"/>
      </w:pPr>
      <m:oMathPara>
        <m:oMathParaPr>
          <m:jc m:val="center"/>
        </m:oMathParaPr>
        <m:oMath>
          <m:sSup>
            <m:e>
              <m:r>
                <m:t>F</m:t>
              </m:r>
            </m:e>
            <m:sup>
              <m:r>
                <m:rPr>
                  <m:sty m:val="p"/>
                </m:rPr>
                <m:t>*</m:t>
              </m:r>
              <m:r>
                <m:t>b</m:t>
              </m:r>
            </m:sup>
          </m:sSup>
          <m:r>
            <m:rPr>
              <m:sty m:val="p"/>
            </m:rPr>
            <m:t>=</m:t>
          </m:r>
          <m:sSubSup>
            <m:e>
              <m:r>
                <m:rPr>
                  <m:sty m:val="p"/>
                </m:rPr>
                <m:t>⨄</m:t>
              </m:r>
            </m:e>
            <m:sub>
              <m:r>
                <m:t>m</m:t>
              </m:r>
              <m:r>
                <m:rPr>
                  <m:sty m:val="p"/>
                </m:rPr>
                <m:t>=</m:t>
              </m:r>
              <m:r>
                <m:t>1</m:t>
              </m:r>
            </m:sub>
            <m:sup>
              <m:r>
                <m:t>M</m:t>
              </m:r>
            </m:sup>
          </m:sSubSup>
          <m:sSub>
            <m:e>
              <m:r>
                <m:t>β</m:t>
              </m:r>
            </m:e>
            <m:sub>
              <m:sSub>
                <m:e>
                  <m:r>
                    <m:t>u</m:t>
                  </m:r>
                </m:e>
                <m:sub>
                  <m:r>
                    <m:t>b</m:t>
                  </m:r>
                  <m:r>
                    <m:t>m</m:t>
                  </m:r>
                </m:sub>
              </m:sSub>
            </m:sub>
          </m:sSub>
          <m:r>
            <m:rPr>
              <m:sty m:val="p"/>
            </m:rPr>
            <m:t>,</m:t>
          </m:r>
          <m:r>
            <m:t>  </m:t>
          </m:r>
          <m:sSub>
            <m:e>
              <m:r>
                <m:rPr>
                  <m:sty m:val="p"/>
                </m:rPr>
                <m:t>C</m:t>
              </m:r>
              <m:r>
                <m:rPr>
                  <m:sty m:val="p"/>
                </m:rPr>
                <m:t>I</m:t>
              </m:r>
            </m:e>
            <m:sub>
              <m:r>
                <m:t>95</m:t>
              </m:r>
            </m:sub>
          </m:sSub>
          <m:r>
            <m:rPr>
              <m:sty m:val="p"/>
            </m:rPr>
            <m:t>=</m:t>
          </m:r>
          <m:d>
            <m:dPr>
              <m:begChr m:val="["/>
              <m:sepChr m:val=""/>
              <m:endChr m:val="]"/>
              <m:grow/>
            </m:dPr>
            <m:e>
              <m:sSub>
                <m:e>
                  <m:r>
                    <m:t>Q</m:t>
                  </m:r>
                </m:e>
                <m:sub>
                  <m:r>
                    <m:t>0.025</m:t>
                  </m:r>
                </m:sub>
              </m:sSub>
              <m:r>
                <m:rPr>
                  <m:sty m:val="p"/>
                </m:rPr>
                <m:t>{</m:t>
              </m:r>
              <m:r>
                <m:t>θ</m:t>
              </m:r>
              <m:r>
                <m:rPr>
                  <m:sty m:val="p"/>
                </m:rPr>
                <m:t>(</m:t>
              </m:r>
              <m:sSup>
                <m:e>
                  <m:r>
                    <m:t>F</m:t>
                  </m:r>
                </m:e>
                <m:sup>
                  <m:r>
                    <m:rPr>
                      <m:sty m:val="p"/>
                    </m:rPr>
                    <m:t>*</m:t>
                  </m:r>
                  <m:r>
                    <m:t>b</m:t>
                  </m:r>
                </m:sup>
              </m:sSup>
              <m:r>
                <m:rPr>
                  <m:sty m:val="p"/>
                </m:rPr>
                <m:t>)</m:t>
              </m:r>
              <m:sSub>
                <m:e>
                  <m:r>
                    <m:rPr>
                      <m:sty m:val="p"/>
                    </m:rPr>
                    <m:t>}</m:t>
                  </m:r>
                </m:e>
                <m:sub>
                  <m:r>
                    <m:t>b</m:t>
                  </m:r>
                </m:sub>
              </m:sSub>
              <m:r>
                <m:rPr>
                  <m:sty m:val="p"/>
                </m:rPr>
                <m:t>,</m:t>
              </m:r>
              <m:r>
                <m:t> </m:t>
              </m:r>
              <m:sSub>
                <m:e>
                  <m:r>
                    <m:t>Q</m:t>
                  </m:r>
                </m:e>
                <m:sub>
                  <m:r>
                    <m:t>0.975</m:t>
                  </m:r>
                </m:sub>
              </m:sSub>
              <m:r>
                <m:rPr>
                  <m:sty m:val="p"/>
                </m:rPr>
                <m:t>{</m:t>
              </m:r>
              <m:r>
                <m:t>θ</m:t>
              </m:r>
              <m:r>
                <m:rPr>
                  <m:sty m:val="p"/>
                </m:rPr>
                <m:t>(</m:t>
              </m:r>
              <m:sSup>
                <m:e>
                  <m:r>
                    <m:t>F</m:t>
                  </m:r>
                </m:e>
                <m:sup>
                  <m:r>
                    <m:rPr>
                      <m:sty m:val="p"/>
                    </m:rPr>
                    <m:t>*</m:t>
                  </m:r>
                  <m:r>
                    <m:t>b</m:t>
                  </m:r>
                </m:sup>
              </m:sSup>
              <m:r>
                <m:rPr>
                  <m:sty m:val="p"/>
                </m:rPr>
                <m:t>)</m:t>
              </m:r>
              <m:sSub>
                <m:e>
                  <m:r>
                    <m:rPr>
                      <m:sty m:val="p"/>
                    </m:rPr>
                    <m:t>}</m:t>
                  </m:r>
                </m:e>
                <m:sub>
                  <m:r>
                    <m:t>b</m:t>
                  </m:r>
                </m:sub>
              </m:sSub>
            </m:e>
          </m:d>
          <m:r>
            <m:rPr>
              <m:sty m:val="p"/>
            </m:rPr>
            <m:t>.</m:t>
          </m:r>
          <m:r>
            <m:t>  </m:t>
          </m:r>
          <m:r>
            <m:rPr>
              <m:sty m:val="p"/>
            </m:rPr>
            <m:t>(</m:t>
          </m:r>
          <m:r>
            <m:t>1</m:t>
          </m:r>
          <m:r>
            <m:rPr>
              <m:sty m:val="p"/>
            </m:rPr>
            <m:t>)</m:t>
          </m:r>
        </m:oMath>
      </m:oMathPara>
    </w:p>
    <w:p>
      <w:pPr>
        <w:pStyle w:val="FirstParagraph"/>
      </w:pPr>
      <w:r>
        <w:t xml:space="preserve">Here</w:t>
      </w:r>
      <w:r>
        <w:t xml:space="preserve"> </w:t>
      </w:r>
      <m:oMath>
        <m:r>
          <m:t>θ</m:t>
        </m:r>
      </m:oMath>
      <w:r>
        <w:t xml:space="preserve"> </w:t>
      </w:r>
      <w:r>
        <w:t xml:space="preserve">is the statistic and</w:t>
      </w:r>
      <w:r>
        <w:t xml:space="preserve"> </w:t>
      </w:r>
      <m:oMath>
        <m:r>
          <m:t>Q</m:t>
        </m:r>
      </m:oMath>
      <w:r>
        <w:t xml:space="preserve"> </w:t>
      </w:r>
      <w:r>
        <w:t xml:space="preserve">the 2.5 and 97.5 percentiles over 1000 replicates, seed 42. A</w:t>
      </w:r>
      <w:r>
        <w:t xml:space="preserve"> </w:t>
      </w:r>
      <w:r>
        <w:t xml:space="preserve">single-class replicate is discarded. Differences are formed within each replicate, so they are</w:t>
      </w:r>
      <w:r>
        <w:t xml:space="preserve"> </w:t>
      </w:r>
      <w:r>
        <w:t xml:space="preserve">paired. The block size of each interval is stated with the result. Because it is blocks that are resampled,</w:t>
      </w:r>
      <w:r>
        <w:t xml:space="preserve"> </w:t>
      </w:r>
      <w:r>
        <w:t xml:space="preserve">what bounds an interval’s reliability is the number of blocks carrying at least one burned cell, and</w:t>
      </w:r>
      <w:r>
        <w:t xml:space="preserve"> </w:t>
      </w:r>
      <w:r>
        <w:t xml:space="preserve">those counts are reported alongside the intervals. Where a verdict rests on too few such blocks it</w:t>
      </w:r>
      <w:r>
        <w:t xml:space="preserve"> </w:t>
      </w:r>
      <w:r>
        <w:t xml:space="preserve">is stated as indicative rather than as an interval.</w:t>
      </w:r>
    </w:p>
    <w:p>
      <w:pPr>
        <w:pStyle w:val="BodyText"/>
      </w:pPr>
      <w:r>
        <w:t xml:space="preserve">The twenty transfer directions are not independent, since each region appears in eight. The</w:t>
      </w:r>
      <w:r>
        <w:t xml:space="preserve"> </w:t>
      </w:r>
      <w:r>
        <w:rPr>
          <w:b/>
          <w:bCs/>
        </w:rPr>
        <w:t xml:space="preserve">pair-cluster bootstrap</w:t>
      </w:r>
      <w:r>
        <w:t xml:space="preserve"> </w:t>
      </w:r>
      <w:r>
        <w:t xml:space="preserve">therefore resamples the ten unordered region pairs, each carrying its set</w:t>
      </w:r>
      <w:r>
        <w:t xml:space="preserve"> </w:t>
      </w:r>
      <m:oMath>
        <m:sSub>
          <m:e>
            <m:r>
              <m:t>π</m:t>
            </m:r>
          </m:e>
          <m:sub>
            <m:r>
              <m:t>p</m:t>
            </m:r>
          </m:sub>
        </m:sSub>
      </m:oMath>
      <w:r>
        <w:t xml:space="preserve"> </w:t>
      </w:r>
      <w:r>
        <w:t xml:space="preserve">of ordered directions, and averages the carried values</w:t>
      </w:r>
      <w:r>
        <w:t xml:space="preserve"> </w:t>
      </w:r>
      <m:oMath>
        <m:sSub>
          <m:e>
            <m:r>
              <m:t>δ</m:t>
            </m:r>
          </m:e>
          <m:sub>
            <m:r>
              <m:t>s</m:t>
            </m:r>
            <m:r>
              <m:t>t</m:t>
            </m:r>
          </m:sub>
        </m:sSub>
      </m:oMath>
      <w:r>
        <w:t xml:space="preserve">:</w:t>
      </w:r>
    </w:p>
    <w:p>
      <w:pPr>
        <w:pStyle w:val="BodyText"/>
      </w:pPr>
      <m:oMathPara>
        <m:oMathParaPr>
          <m:jc m:val="center"/>
        </m:oMathParaPr>
        <m:oMath>
          <m:sSup>
            <m:e>
              <m:acc>
                <m:accPr>
                  <m:chr m:val="‾"/>
                </m:accPr>
                <m:e>
                  <m:r>
                    <m:t>δ</m:t>
                  </m:r>
                </m:e>
              </m:acc>
            </m:e>
            <m:sup>
              <m:r>
                <m:rPr>
                  <m:sty m:val="p"/>
                </m:rPr>
                <m:t>*</m:t>
              </m:r>
              <m:r>
                <m:t>b</m:t>
              </m:r>
            </m:sup>
          </m:sSup>
          <m:r>
            <m:rPr>
              <m:sty m:val="p"/>
            </m:rPr>
            <m:t>=</m:t>
          </m:r>
          <m:f>
            <m:fPr>
              <m:type m:val="bar"/>
            </m:fPr>
            <m:num>
              <m:nary>
                <m:naryPr>
                  <m:chr m:val="∑"/>
                  <m:limLoc m:val="undOvr"/>
                  <m:subHide m:val="off"/>
                  <m:supHide m:val="off"/>
                </m:naryPr>
                <m:sub>
                  <m:r>
                    <m:t>m</m:t>
                  </m:r>
                  <m:r>
                    <m:rPr>
                      <m:sty m:val="p"/>
                    </m:rPr>
                    <m:t>=</m:t>
                  </m:r>
                  <m:r>
                    <m:t>1</m:t>
                  </m:r>
                </m:sub>
                <m:sup>
                  <m:r>
                    <m:t>10</m:t>
                  </m:r>
                </m:sup>
                <m:e>
                  <m:nary>
                    <m:naryPr>
                      <m:chr m:val="∑"/>
                      <m:limLoc m:val="undOvr"/>
                      <m:subHide m:val="off"/>
                      <m:supHide m:val="on"/>
                    </m:naryPr>
                    <m:sub>
                      <m:r>
                        <m:rPr>
                          <m:sty m:val="p"/>
                        </m:rPr>
                        <m:t>(</m:t>
                      </m:r>
                      <m:r>
                        <m:t>s</m:t>
                      </m:r>
                      <m:r>
                        <m:rPr>
                          <m:sty m:val="p"/>
                        </m:rPr>
                        <m:t>,</m:t>
                      </m:r>
                      <m:r>
                        <m:t>t</m:t>
                      </m:r>
                      <m:r>
                        <m:rPr>
                          <m:sty m:val="p"/>
                        </m:rPr>
                        <m:t>)</m:t>
                      </m:r>
                      <m:r>
                        <m:rPr>
                          <m:sty m:val="p"/>
                        </m:rPr>
                        <m:t>∈</m:t>
                      </m:r>
                      <m:sSub>
                        <m:e>
                          <m:r>
                            <m:t>π</m:t>
                          </m:r>
                        </m:e>
                        <m:sub>
                          <m:sSub>
                            <m:e>
                              <m:r>
                                <m:t>u</m:t>
                              </m:r>
                            </m:e>
                            <m:sub>
                              <m:r>
                                <m:t>b</m:t>
                              </m:r>
                              <m:r>
                                <m:t>m</m:t>
                              </m:r>
                            </m:sub>
                          </m:sSub>
                        </m:sub>
                      </m:sSub>
                    </m:sub>
                    <m:sup>
                      <m:r>
                        <m:t>​</m:t>
                      </m:r>
                    </m:sup>
                    <m:e>
                      <m:sSub>
                        <m:e>
                          <m:r>
                            <m:t>δ</m:t>
                          </m:r>
                        </m:e>
                        <m:sub>
                          <m:r>
                            <m:t>s</m:t>
                          </m:r>
                          <m:r>
                            <m:t>t</m:t>
                          </m:r>
                        </m:sub>
                      </m:sSub>
                    </m:e>
                  </m:nary>
                </m:e>
              </m:nary>
            </m:num>
            <m:den>
              <m:nary>
                <m:naryPr>
                  <m:chr m:val="∑"/>
                  <m:limLoc m:val="undOvr"/>
                  <m:subHide m:val="off"/>
                  <m:supHide m:val="off"/>
                </m:naryPr>
                <m:sub>
                  <m:r>
                    <m:t>m</m:t>
                  </m:r>
                  <m:r>
                    <m:rPr>
                      <m:sty m:val="p"/>
                    </m:rPr>
                    <m:t>=</m:t>
                  </m:r>
                  <m:r>
                    <m:t>1</m:t>
                  </m:r>
                </m:sub>
                <m:sup>
                  <m:r>
                    <m:t>10</m:t>
                  </m:r>
                </m:sup>
                <m:e>
                  <m:r>
                    <m:rPr>
                      <m:sty m:val="p"/>
                    </m:rPr>
                    <m:t>|</m:t>
                  </m:r>
                </m:e>
              </m:nary>
              <m:sSub>
                <m:e>
                  <m:r>
                    <m:t>π</m:t>
                  </m:r>
                </m:e>
                <m:sub>
                  <m:sSub>
                    <m:e>
                      <m:r>
                        <m:t>u</m:t>
                      </m:r>
                    </m:e>
                    <m:sub>
                      <m:r>
                        <m:t>b</m:t>
                      </m:r>
                      <m:r>
                        <m:t>m</m:t>
                      </m:r>
                    </m:sub>
                  </m:sSub>
                </m:sub>
              </m:sSub>
              <m:r>
                <m:rPr>
                  <m:sty m:val="p"/>
                </m:rPr>
                <m:t>|</m:t>
              </m:r>
            </m:den>
          </m:f>
          <m:r>
            <m:rPr>
              <m:sty m:val="p"/>
            </m:rPr>
            <m:t>.</m:t>
          </m:r>
          <m:r>
            <m:t>  </m:t>
          </m:r>
          <m:r>
            <m:rPr>
              <m:sty m:val="p"/>
            </m:rPr>
            <m:t>(</m:t>
          </m:r>
          <m:r>
            <m:t>2</m:t>
          </m:r>
          <m:r>
            <m:rPr>
              <m:sty m:val="p"/>
            </m:rPr>
            <m:t>)</m:t>
          </m:r>
        </m:oMath>
      </m:oMathPara>
    </w:p>
    <w:p>
      <w:pPr>
        <w:pStyle w:val="FirstParagraph"/>
      </w:pPr>
      <w:r>
        <w:t xml:space="preserve">The interval is the same percentile form, over 20,000 replicates for Section 4.4. Clustering by</w:t>
      </w:r>
      <w:r>
        <w:t xml:space="preserve"> </w:t>
      </w:r>
      <w:r>
        <w:t xml:space="preserve">target region replaces</w:t>
      </w:r>
      <w:r>
        <w:t xml:space="preserve"> </w:t>
      </w:r>
      <m:oMath>
        <m:sSub>
          <m:e>
            <m:r>
              <m:t>π</m:t>
            </m:r>
          </m:e>
          <m:sub>
            <m:r>
              <m:t>p</m:t>
            </m:r>
          </m:sub>
        </m:sSub>
      </m:oMath>
      <w:r>
        <w:t xml:space="preserve"> </w:t>
      </w:r>
      <w:r>
        <w:t xml:space="preserve">by the four directions sharing a target. A quantity with one value</w:t>
      </w:r>
      <w:r>
        <w:t xml:space="preserve"> </w:t>
      </w:r>
      <w:r>
        <w:t xml:space="preserve">per held-out scar or target region gets a Student t interval over those</w:t>
      </w:r>
      <w:r>
        <w:t xml:space="preserve"> </w:t>
      </w:r>
      <m:oMath>
        <m:r>
          <m:t>n</m:t>
        </m:r>
      </m:oMath>
      <w:r>
        <w:t xml:space="preserve"> </w:t>
      </w:r>
      <w:r>
        <w:t xml:space="preserve">units,</w:t>
      </w:r>
    </w:p>
    <w:p>
      <w:pPr>
        <w:pStyle w:val="BodyText"/>
      </w:pPr>
      <m:oMathPara>
        <m:oMathParaPr>
          <m:jc m:val="center"/>
        </m:oMathParaPr>
        <m:oMath>
          <m:acc>
            <m:accPr>
              <m:chr m:val="‾"/>
            </m:accPr>
            <m:e>
              <m:r>
                <m:t>x</m:t>
              </m:r>
            </m:e>
          </m:acc>
          <m:r>
            <m:rPr>
              <m:sty m:val="p"/>
            </m:rPr>
            <m:t>±</m:t>
          </m:r>
          <m:sSub>
            <m:e>
              <m:r>
                <m:t>t</m:t>
              </m:r>
            </m:e>
            <m:sub>
              <m:r>
                <m:t>0.975</m:t>
              </m:r>
              <m:r>
                <m:rPr>
                  <m:sty m:val="p"/>
                </m:rPr>
                <m:t>,</m:t>
              </m:r>
              <m:r>
                <m:t> </m:t>
              </m:r>
              <m:r>
                <m:t>n</m:t>
              </m:r>
              <m:r>
                <m:rPr>
                  <m:sty m:val="p"/>
                </m:rPr>
                <m:t>−</m:t>
              </m:r>
              <m:r>
                <m:t>1</m:t>
              </m:r>
            </m:sub>
          </m:sSub>
          <m:r>
            <m:t> </m:t>
          </m:r>
          <m:sSub>
            <m:e>
              <m:r>
                <m:t>s</m:t>
              </m:r>
            </m:e>
            <m:sub>
              <m:r>
                <m:t>x</m:t>
              </m:r>
            </m:sub>
          </m:sSub>
          <m:r>
            <m:rPr>
              <m:sty m:val="p"/>
            </m:rPr>
            <m:t>/</m:t>
          </m:r>
          <m:rad>
            <m:radPr>
              <m:degHide m:val="on"/>
            </m:radPr>
            <m:deg/>
            <m:e>
              <m:r>
                <m:t>n</m:t>
              </m:r>
            </m:e>
          </m:rad>
          <m:r>
            <m:rPr>
              <m:sty m:val="p"/>
            </m:rPr>
            <m:t>.</m:t>
          </m:r>
          <m:r>
            <m:t>  </m:t>
          </m:r>
          <m:r>
            <m:rPr>
              <m:sty m:val="p"/>
            </m:rPr>
            <m:t>(</m:t>
          </m:r>
          <m:r>
            <m:t>3</m:t>
          </m:r>
          <m:r>
            <m:rPr>
              <m:sty m:val="p"/>
            </m:rPr>
            <m:t>)</m:t>
          </m:r>
        </m:oMath>
      </m:oMathPara>
    </w:p>
    <w:p>
      <w:pPr>
        <w:pStyle w:val="FirstParagraph"/>
      </w:pPr>
      <w:r>
        <w:rPr>
          <w:b/>
          <w:bCs/>
        </w:rPr>
        <w:t xml:space="preserve">The effective sample is thus ten pairs or five regions for direction-level intervals, and at most</w:t>
      </w:r>
      <w:r>
        <w:rPr>
          <w:b/>
          <w:bCs/>
        </w:rPr>
        <w:t xml:space="preserve"> </w:t>
      </w:r>
      <w:r>
        <w:rPr>
          <w:b/>
          <w:bCs/>
        </w:rPr>
        <w:t xml:space="preserve">seven scars from three regions for scar-level ones.</w:t>
      </w:r>
    </w:p>
    <w:bookmarkEnd w:id="64"/>
    <w:bookmarkStart w:id="65" w:name="X0ae8e26febd88e9fb8191e199c7ec154398bd1c"/>
    <w:p>
      <w:pPr>
        <w:pStyle w:val="Heading3"/>
      </w:pPr>
      <w:r>
        <w:t xml:space="preserve">S3.6.2 Reproduction of the re-frozen outputs</w:t>
      </w:r>
    </w:p>
    <w:p>
      <w:pPr>
        <w:pStyle w:val="FirstParagraph"/>
      </w:pPr>
      <w:r>
        <w:t xml:space="preserve">The transfer analysis runs in an environment separate from the upstream pipeline’s. The</w:t>
      </w:r>
      <w:r>
        <w:t xml:space="preserve"> </w:t>
      </w:r>
      <w:r>
        <w:t xml:space="preserve">repository’s own reproduction check therefore refitted every within-region model and all twenty</w:t>
      </w:r>
      <w:r>
        <w:t xml:space="preserve"> </w:t>
      </w:r>
      <w:r>
        <w:t xml:space="preserve">directed CORAL transfers against the frozen upstream output. For Manavgat that output is the one</w:t>
      </w:r>
      <w:r>
        <w:t xml:space="preserve"> </w:t>
      </w:r>
      <w:r>
        <w:t xml:space="preserve">re-frozen on the corrected label (Section 3.2), produced with the upstream pipeline at commit</w:t>
      </w:r>
      <w:r>
        <w:t xml:space="preserve"> </w:t>
      </w:r>
      <w:r>
        <w:t xml:space="preserve">6381f4c, run unchanged apart from a one-line patch. That patch lets the window-closure module accept</w:t>
      </w:r>
      <w:r>
        <w:t xml:space="preserve"> </w:t>
      </w:r>
      <w:r>
        <w:t xml:space="preserve">a population column the corrected label adds, and its diff is released with the re-freeze. The</w:t>
      </w:r>
      <w:r>
        <w:t xml:space="preserve"> </w:t>
      </w:r>
      <w:r>
        <w:t xml:space="preserve">within-region comparisons agree exactly, and the transfer directions to within 1.3×10⁻⁸, under the</w:t>
      </w:r>
      <w:r>
        <w:t xml:space="preserve"> </w:t>
      </w:r>
      <w:r>
        <w:t xml:space="preserve">repository’s pre-existing tolerance of 10⁻⁶. That 10⁻⁶ tolerance belongs to the CORAL and within-region reproduction check. The frame-transfer</w:t>
      </w:r>
      <w:r>
        <w:t xml:space="preserve"> </w:t>
      </w:r>
      <w:r>
        <w:t xml:space="preserve">script of Section 4.4 fits its forests in parallel, so its values vary from run to run by up to</w:t>
      </w:r>
      <w:r>
        <w:t xml:space="preserve"> </w:t>
      </w:r>
      <w:r>
        <w:t xml:space="preserve">2×10⁻⁶, within the 10⁻⁵ tolerance applied to it, and are stable at the printed precision. The tolerance that applies if the library</w:t>
      </w:r>
      <w:r>
        <w:t xml:space="preserve"> </w:t>
      </w:r>
      <w:r>
        <w:t xml:space="preserve">version is not pinned is given in Section S3.5(vi).</w:t>
      </w:r>
    </w:p>
    <w:bookmarkEnd w:id="65"/>
    <w:bookmarkEnd w:id="66"/>
    <w:bookmarkStart w:id="68" w:name="Xcb25a90d00f58f7567c934698a002b62f4fc3c6"/>
    <w:p>
      <w:pPr>
        <w:pStyle w:val="Heading2"/>
      </w:pPr>
      <w:r>
        <w:t xml:space="preserve">S3.7 Transfer-gap decomposition and the concept-shift diagnostic, in full</w:t>
      </w:r>
    </w:p>
    <w:p>
      <w:pPr>
        <w:pStyle w:val="FirstParagraph"/>
      </w:pPr>
      <w:r>
        <w:t xml:space="preserve">For each direction the gap between the target’s own within-region skill and the raw transfer result</w:t>
      </w:r>
      <w:r>
        <w:t xml:space="preserve"> </w:t>
      </w:r>
      <w:r>
        <w:t xml:space="preserve">is split in two. One part is what the best label-free adaptation recovers, and the other is what it</w:t>
      </w:r>
      <w:r>
        <w:t xml:space="preserve"> </w:t>
      </w:r>
      <w:r>
        <w:t xml:space="preserve">does not. The recovered fraction is (adapted − raw) / (within − raw), signed and unclipped, with its interval</w:t>
      </w:r>
      <w:r>
        <w:t xml:space="preserve"> </w:t>
      </w:r>
      <w:r>
        <w:t xml:space="preserve">from the same paired bootstrap; it bounds what covariate-level correction can achieve. Section 4.3</w:t>
      </w:r>
      <w:r>
        <w:t xml:space="preserve"> </w:t>
      </w:r>
      <w:r>
        <w:t xml:space="preserve">shows the remainder should not be read as a conditional residual, because much of it is incurred</w:t>
      </w:r>
      <w:r>
        <w:t xml:space="preserve"> </w:t>
      </w:r>
      <w:r>
        <w:t xml:space="preserve">inside a single region (Section S1.10).</w:t>
      </w:r>
    </w:p>
    <w:p>
      <w:pPr>
        <w:pStyle w:val="BodyText"/>
      </w:pPr>
      <w:r>
        <w:t xml:space="preserve">The mechanism is diagnosed by</w:t>
      </w:r>
      <w:r>
        <w:t xml:space="preserve"> </w:t>
      </w:r>
      <w:r>
        <w:rPr>
          <w:b/>
          <w:bCs/>
        </w:rPr>
        <w:t xml:space="preserve">signed univariate association</w:t>
      </w:r>
      <w:r>
        <w:t xml:space="preserve">. For each numeric predictor the raw</w:t>
      </w:r>
      <w:r>
        <w:t xml:space="preserve"> </w:t>
      </w:r>
      <w:r>
        <w:t xml:space="preserve">ROC-AUC of that predictor against</w:t>
      </w:r>
      <w:r>
        <w:t xml:space="preserve"> </w:t>
      </w:r>
      <w:r>
        <w:rPr>
          <w:rStyle w:val="VerbatimChar"/>
        </w:rPr>
        <w:t xml:space="preserve">burned</w:t>
      </w:r>
      <w:r>
        <w:t xml:space="preserve"> </w:t>
      </w:r>
      <w:r>
        <w:t xml:space="preserve">is computed in each region and never folded to</w:t>
      </w:r>
      <w:r>
        <w:t xml:space="preserve"> </w:t>
      </w:r>
      <w:r>
        <w:t xml:space="preserve">max(AUC, 1 − AUC), so a value below 0.5 is read as a direction rather than as weakness. A reversal is</w:t>
      </w:r>
      <w:r>
        <w:t xml:space="preserve"> </w:t>
      </w:r>
      <w:r>
        <w:t xml:space="preserve">called bootstrap-supported only when the two regions’ point estimates fall on opposite sides of 0.5</w:t>
      </w:r>
      <w:r>
        <w:t xml:space="preserve"> </w:t>
      </w:r>
      <w:r>
        <w:rPr>
          <w:b/>
          <w:bCs/>
        </w:rPr>
        <w:t xml:space="preserve">and each region’s own interval excludes 0.5</w:t>
      </w:r>
      <w:r>
        <w:t xml:space="preserve">, under the same 10-cell spatial-block bootstrap.</w:t>
      </w:r>
      <w:r>
        <w:t xml:space="preserve"> </w:t>
      </w:r>
      <w:r>
        <w:t xml:space="preserve">That is stricter than requiring the two regions’ intervals to be disjoint: a feature whose intervals</w:t>
      </w:r>
      <w:r>
        <w:t xml:space="preserve"> </w:t>
      </w:r>
      <w:r>
        <w:t xml:space="preserve">are disjoint but one of which straddles 0.5 has not been shown to point anywhere in that region, so</w:t>
      </w:r>
      <w:r>
        <w:t xml:space="preserve"> </w:t>
      </w:r>
      <w:r>
        <w:t xml:space="preserve">it is recorded as a point reversal only. Section S2 states the rule again beside the counts, and</w:t>
      </w:r>
      <w:r>
        <w:t xml:space="preserve"> </w:t>
      </w:r>
      <w:r>
        <w:rPr>
          <w:rStyle w:val="VerbatimChar"/>
        </w:rPr>
        <w:t xml:space="preserve">conditional_similarity_transfer.json</w:t>
      </w:r>
      <w:r>
        <w:t xml:space="preserve"> </w:t>
      </w:r>
      <w:r>
        <w:t xml:space="preserve">carries it as machine-readable metadata.</w:t>
      </w:r>
    </w:p>
    <w:bookmarkStart w:id="67" w:name="s3.7.1-degenerate-replicates"/>
    <w:p>
      <w:pPr>
        <w:pStyle w:val="Heading3"/>
      </w:pPr>
      <w:r>
        <w:t xml:space="preserve">S3.7.1 Degenerate replicates</w:t>
      </w:r>
    </w:p>
    <w:p>
      <w:pPr>
        <w:pStyle w:val="FirstParagraph"/>
      </w:pPr>
      <w:r>
        <w:t xml:space="preserve">Replicates with</w:t>
      </w:r>
      <w:r>
        <w:t xml:space="preserve"> </w:t>
      </w:r>
      <m:oMath>
        <m:r>
          <m:rPr>
            <m:sty m:val="p"/>
          </m:rPr>
          <m:t>|</m:t>
        </m:r>
        <m:r>
          <m:t>G</m:t>
        </m:r>
        <m:r>
          <m:rPr>
            <m:sty m:val="p"/>
          </m:rPr>
          <m:t>|</m:t>
        </m:r>
        <m:r>
          <m:rPr>
            <m:sty m:val="p"/>
          </m:rPr>
          <m:t>&lt;</m:t>
        </m:r>
        <m:sSup>
          <m:e>
            <m:r>
              <m:t>10</m:t>
            </m:r>
          </m:e>
          <m:sup>
            <m:r>
              <m:rPr>
                <m:sty m:val="p"/>
              </m:rPr>
              <m:t>−</m:t>
            </m:r>
            <m:r>
              <m:t>6</m:t>
            </m:r>
          </m:sup>
        </m:sSup>
      </m:oMath>
      <w:r>
        <w:t xml:space="preserve"> </w:t>
      </w:r>
      <w:r>
        <w:t xml:space="preserve">are dropped.</w:t>
      </w:r>
    </w:p>
    <w:bookmarkEnd w:id="67"/>
    <w:bookmarkEnd w:id="68"/>
    <w:bookmarkStart w:id="69" w:name="X2ca07e7c22cf45b2abe8f9173657513d187df7a"/>
    <w:p>
      <w:pPr>
        <w:pStyle w:val="Heading2"/>
      </w:pPr>
      <w:r>
        <w:t xml:space="preserve">S3.8 Label-blind adaptation, full specification</w:t>
      </w:r>
    </w:p>
    <w:p>
      <w:pPr>
        <w:pStyle w:val="FirstParagraph"/>
      </w:pPr>
      <w:r>
        <w:rPr>
          <w:b/>
          <w:bCs/>
        </w:rPr>
        <w:t xml:space="preserve">Region-wise z-score.</w:t>
      </w:r>
      <w:r>
        <w:t xml:space="preserve"> </w:t>
      </w:r>
      <w:r>
        <w:t xml:space="preserve">Each region’s numeric features are standardised using its own statistics,</w:t>
      </w:r>
      <w:r>
        <w:t xml:space="preserve"> </w:t>
      </w:r>
      <w:r>
        <w:t xml:space="preserve">source statistics from source data and target statistics from target data, never pooled. For</w:t>
      </w:r>
      <w:r>
        <w:t xml:space="preserve"> </w:t>
      </w:r>
      <w:r>
        <w:t xml:space="preserve">feature</w:t>
      </w:r>
      <w:r>
        <w:t xml:space="preserve"> </w:t>
      </w:r>
      <m:oMath>
        <m:r>
          <m:t>j</m:t>
        </m:r>
      </m:oMath>
      <w:r>
        <w:t xml:space="preserve"> </w:t>
      </w:r>
      <w:r>
        <w:t xml:space="preserve">in region</w:t>
      </w:r>
      <w:r>
        <w:t xml:space="preserve"> </w:t>
      </w:r>
      <m:oMath>
        <m:r>
          <m:t>R</m:t>
        </m:r>
      </m:oMath>
      <w:r>
        <w:t xml:space="preserve">,</w:t>
      </w:r>
    </w:p>
    <w:p>
      <w:pPr>
        <w:pStyle w:val="BodyText"/>
      </w:pPr>
      <m:oMathPara>
        <m:oMathParaPr>
          <m:jc m:val="center"/>
        </m:oMathParaPr>
        <m:oMath>
          <m:sSub>
            <m:e>
              <m:r>
                <m:t>z</m:t>
              </m:r>
            </m:e>
            <m:sub>
              <m:r>
                <m:t>i</m:t>
              </m:r>
              <m:r>
                <m:t>j</m:t>
              </m:r>
            </m:sub>
          </m:sSub>
          <m:r>
            <m:rPr>
              <m:sty m:val="p"/>
            </m:rPr>
            <m:t>=</m:t>
          </m:r>
          <m:f>
            <m:fPr>
              <m:type m:val="bar"/>
            </m:fPr>
            <m:num>
              <m:sSub>
                <m:e>
                  <m:r>
                    <m:t>x</m:t>
                  </m:r>
                </m:e>
                <m:sub>
                  <m:r>
                    <m:t>i</m:t>
                  </m:r>
                  <m:r>
                    <m:t>j</m:t>
                  </m:r>
                </m:sub>
              </m:sSub>
              <m:r>
                <m:rPr>
                  <m:sty m:val="p"/>
                </m:rPr>
                <m:t>−</m:t>
              </m:r>
              <m:sSubSup>
                <m:e>
                  <m:r>
                    <m:t>μ</m:t>
                  </m:r>
                </m:e>
                <m:sub>
                  <m:r>
                    <m:t>j</m:t>
                  </m:r>
                </m:sub>
                <m:sup>
                  <m:r>
                    <m:t>R</m:t>
                  </m:r>
                </m:sup>
              </m:sSubSup>
            </m:num>
            <m:den>
              <m:sSubSup>
                <m:e>
                  <m:r>
                    <m:t>σ</m:t>
                  </m:r>
                </m:e>
                <m:sub>
                  <m:r>
                    <m:t>j</m:t>
                  </m:r>
                </m:sub>
                <m:sup>
                  <m:r>
                    <m:t>R</m:t>
                  </m:r>
                </m:sup>
              </m:sSubSup>
            </m:den>
          </m:f>
          <m:r>
            <m:rPr>
              <m:sty m:val="p"/>
            </m:rPr>
            <m:t>,</m:t>
          </m:r>
          <m:r>
            <m:t>  </m:t>
          </m:r>
          <m:sSubSup>
            <m:e>
              <m:r>
                <m:t>μ</m:t>
              </m:r>
            </m:e>
            <m:sub>
              <m:r>
                <m:t>j</m:t>
              </m:r>
            </m:sub>
            <m:sup>
              <m:r>
                <m:t>R</m:t>
              </m:r>
            </m:sup>
          </m:sSubSup>
          <m:r>
            <m:rPr>
              <m:sty m:val="p"/>
            </m:rPr>
            <m:t>=</m:t>
          </m:r>
          <m:f>
            <m:fPr>
              <m:type m:val="bar"/>
            </m:fPr>
            <m:num>
              <m:r>
                <m:t>1</m:t>
              </m:r>
            </m:num>
            <m:den>
              <m:sSubSup>
                <m:e>
                  <m:r>
                    <m:t>n</m:t>
                  </m:r>
                </m:e>
                <m:sub>
                  <m:r>
                    <m:t>j</m:t>
                  </m:r>
                </m:sub>
                <m:sup>
                  <m:r>
                    <m:t>R</m:t>
                  </m:r>
                </m:sup>
              </m:sSubSup>
            </m:den>
          </m:f>
          <m:nary>
            <m:naryPr>
              <m:chr m:val="∑"/>
              <m:limLoc m:val="undOvr"/>
              <m:subHide m:val="off"/>
              <m:supHide m:val="on"/>
            </m:naryPr>
            <m:sub>
              <m:r>
                <m:t>i</m:t>
              </m:r>
              <m:r>
                <m:rPr>
                  <m:sty m:val="p"/>
                </m:rPr>
                <m:t>∈</m:t>
              </m:r>
              <m:sSubSup>
                <m:e>
                  <m:r>
                    <m:t>O</m:t>
                  </m:r>
                </m:e>
                <m:sub>
                  <m:r>
                    <m:t>j</m:t>
                  </m:r>
                </m:sub>
                <m:sup>
                  <m:r>
                    <m:t>R</m:t>
                  </m:r>
                </m:sup>
              </m:sSubSup>
            </m:sub>
            <m:sup>
              <m:r>
                <m:t>​</m:t>
              </m:r>
            </m:sup>
            <m:e>
              <m:sSub>
                <m:e>
                  <m:r>
                    <m:t>x</m:t>
                  </m:r>
                </m:e>
                <m:sub>
                  <m:r>
                    <m:t>i</m:t>
                  </m:r>
                  <m:r>
                    <m:t>j</m:t>
                  </m:r>
                </m:sub>
              </m:sSub>
            </m:e>
          </m:nary>
          <m:r>
            <m:rPr>
              <m:sty m:val="p"/>
            </m:rPr>
            <m:t>,</m:t>
          </m:r>
          <m:r>
            <m:t>  </m:t>
          </m:r>
          <m:sSubSup>
            <m:e>
              <m:r>
                <m:t>σ</m:t>
              </m:r>
            </m:e>
            <m:sub>
              <m:r>
                <m:t>j</m:t>
              </m:r>
            </m:sub>
            <m:sup>
              <m:r>
                <m:t>R</m:t>
              </m:r>
            </m:sup>
          </m:sSubSup>
          <m:r>
            <m:rPr>
              <m:sty m:val="p"/>
            </m:rPr>
            <m:t>=</m:t>
          </m:r>
          <m:r>
            <m:rPr>
              <m:sty m:val="p"/>
            </m:rPr>
            <m:t>(</m:t>
          </m:r>
          <m:f>
            <m:fPr>
              <m:type m:val="bar"/>
            </m:fPr>
            <m:num>
              <m:r>
                <m:t>1</m:t>
              </m:r>
            </m:num>
            <m:den>
              <m:sSubSup>
                <m:e>
                  <m:r>
                    <m:t>n</m:t>
                  </m:r>
                </m:e>
                <m:sub>
                  <m:r>
                    <m:t>j</m:t>
                  </m:r>
                </m:sub>
                <m:sup>
                  <m:r>
                    <m:t>R</m:t>
                  </m:r>
                </m:sup>
              </m:sSubSup>
            </m:den>
          </m:f>
          <m:nary>
            <m:naryPr>
              <m:chr m:val="∑"/>
              <m:limLoc m:val="undOvr"/>
              <m:subHide m:val="off"/>
              <m:supHide m:val="on"/>
            </m:naryPr>
            <m:sub>
              <m:r>
                <m:t>i</m:t>
              </m:r>
              <m:r>
                <m:rPr>
                  <m:sty m:val="p"/>
                </m:rPr>
                <m:t>∈</m:t>
              </m:r>
              <m:sSubSup>
                <m:e>
                  <m:r>
                    <m:t>O</m:t>
                  </m:r>
                </m:e>
                <m:sub>
                  <m:r>
                    <m:t>j</m:t>
                  </m:r>
                </m:sub>
                <m:sup>
                  <m:r>
                    <m:t>R</m:t>
                  </m:r>
                </m:sup>
              </m:sSubSup>
            </m:sub>
            <m:sup>
              <m:r>
                <m:t>​</m:t>
              </m:r>
            </m:sup>
            <m:e>
              <m:r>
                <m:rPr>
                  <m:sty m:val="p"/>
                </m:rPr>
                <m:t>(</m:t>
              </m:r>
            </m:e>
          </m:nary>
          <m:sSub>
            <m:e>
              <m:r>
                <m:t>x</m:t>
              </m:r>
            </m:e>
            <m:sub>
              <m:r>
                <m:t>i</m:t>
              </m:r>
              <m:r>
                <m:t>j</m:t>
              </m:r>
            </m:sub>
          </m:sSub>
          <m:r>
            <m:rPr>
              <m:sty m:val="p"/>
            </m:rPr>
            <m:t>−</m:t>
          </m:r>
          <m:sSubSup>
            <m:e>
              <m:r>
                <m:t>μ</m:t>
              </m:r>
            </m:e>
            <m:sub>
              <m:r>
                <m:t>j</m:t>
              </m:r>
            </m:sub>
            <m:sup>
              <m:r>
                <m:t>R</m:t>
              </m:r>
            </m:sup>
          </m:sSubSup>
          <m:sSup>
            <m:e>
              <m:r>
                <m:rPr>
                  <m:sty m:val="p"/>
                </m:rPr>
                <m:t>)</m:t>
              </m:r>
            </m:e>
            <m:sup>
              <m:r>
                <m:t>2</m:t>
              </m:r>
            </m:sup>
          </m:sSup>
          <m:sSup>
            <m:e>
              <m:r>
                <m:rPr>
                  <m:sty m:val="p"/>
                </m:rPr>
                <m:t>)</m:t>
              </m:r>
            </m:e>
            <m:sup>
              <m:r>
                <m:t>1</m:t>
              </m:r>
              <m:r>
                <m:rPr>
                  <m:sty m:val="p"/>
                </m:rPr>
                <m:t>/</m:t>
              </m:r>
              <m:r>
                <m:t>2</m:t>
              </m:r>
            </m:sup>
          </m:sSup>
          <m:r>
            <m:rPr>
              <m:sty m:val="p"/>
            </m:rPr>
            <m:t>,</m:t>
          </m:r>
          <m:r>
            <m:t>  </m:t>
          </m:r>
          <m:r>
            <m:rPr>
              <m:sty m:val="p"/>
            </m:rPr>
            <m:t>(</m:t>
          </m:r>
          <m:r>
            <m:t>4</m:t>
          </m:r>
          <m:r>
            <m:rPr>
              <m:sty m:val="p"/>
            </m:rPr>
            <m:t>)</m:t>
          </m:r>
        </m:oMath>
      </m:oMathPara>
    </w:p>
    <w:p>
      <w:pPr>
        <w:pStyle w:val="FirstParagraph"/>
      </w:pPr>
      <w:r>
        <w:t xml:space="preserve">where</w:t>
      </w:r>
      <w:r>
        <w:t xml:space="preserve"> </w:t>
      </w:r>
      <m:oMath>
        <m:sSubSup>
          <m:e>
            <m:r>
              <m:t>O</m:t>
            </m:r>
          </m:e>
          <m:sub>
            <m:r>
              <m:t>j</m:t>
            </m:r>
          </m:sub>
          <m:sup>
            <m:r>
              <m:t>R</m:t>
            </m:r>
          </m:sup>
        </m:sSubSup>
      </m:oMath>
      <w:r>
        <w:t xml:space="preserve"> </w:t>
      </w:r>
      <w:r>
        <w:t xml:space="preserve">holds the</w:t>
      </w:r>
      <w:r>
        <w:t xml:space="preserve"> </w:t>
      </w:r>
      <m:oMath>
        <m:sSubSup>
          <m:e>
            <m:r>
              <m:t>n</m:t>
            </m:r>
          </m:e>
          <m:sub>
            <m:r>
              <m:t>j</m:t>
            </m:r>
          </m:sub>
          <m:sup>
            <m:r>
              <m:t>R</m:t>
            </m:r>
          </m:sup>
        </m:sSubSup>
      </m:oMath>
      <w:r>
        <w:t xml:space="preserve"> </w:t>
      </w:r>
      <w:r>
        <w:t xml:space="preserve">cells with an observed value (ddof 0). A missing value is</w:t>
      </w:r>
      <w:r>
        <w:t xml:space="preserve"> </w:t>
      </w:r>
      <w:r>
        <w:t xml:space="preserve">first set to</w:t>
      </w:r>
      <w:r>
        <w:t xml:space="preserve"> </w:t>
      </w:r>
      <m:oMath>
        <m:sSubSup>
          <m:e>
            <m:r>
              <m:t>μ</m:t>
            </m:r>
          </m:e>
          <m:sub>
            <m:r>
              <m:t>j</m:t>
            </m:r>
          </m:sub>
          <m:sup>
            <m:r>
              <m:t>R</m:t>
            </m:r>
          </m:sup>
        </m:sSubSup>
      </m:oMath>
      <w:r>
        <w:t xml:space="preserve">, so it becomes zero, and</w:t>
      </w:r>
      <w:r>
        <w:t xml:space="preserve"> </w:t>
      </w:r>
      <m:oMath>
        <m:sSubSup>
          <m:e>
            <m:r>
              <m:t>σ</m:t>
            </m:r>
          </m:e>
          <m:sub>
            <m:r>
              <m:t>j</m:t>
            </m:r>
          </m:sub>
          <m:sup>
            <m:r>
              <m:t>R</m:t>
            </m:r>
          </m:sup>
        </m:sSubSup>
        <m:r>
          <m:rPr>
            <m:sty m:val="p"/>
          </m:rPr>
          <m:t>&lt;</m:t>
        </m:r>
        <m:sSup>
          <m:e>
            <m:r>
              <m:t>10</m:t>
            </m:r>
          </m:e>
          <m:sup>
            <m:r>
              <m:rPr>
                <m:sty m:val="p"/>
              </m:rPr>
              <m:t>−</m:t>
            </m:r>
            <m:r>
              <m:t>12</m:t>
            </m:r>
          </m:sup>
        </m:sSup>
      </m:oMath>
      <w:r>
        <w:t xml:space="preserve"> </w:t>
      </w:r>
      <w:r>
        <w:t xml:space="preserve">is replaced by 1.</w:t>
      </w:r>
      <w:r>
        <w:t xml:space="preserve"> </w:t>
      </w:r>
      <w:r>
        <w:t xml:space="preserve">Land cover is not transformed. Target feature statistics, never target labels, thus enter the</w:t>
      </w:r>
      <w:r>
        <w:t xml:space="preserve"> </w:t>
      </w:r>
      <w:r>
        <w:t xml:space="preserve">adapted arms by design. The</w:t>
      </w:r>
      <w:r>
        <w:t xml:space="preserve"> </w:t>
      </w:r>
      <w:r>
        <w:t xml:space="preserve">classifier is refitted on the z-scored source and applied to the z-scored target. This removes</w:t>
      </w:r>
      <w:r>
        <w:t xml:space="preserve"> </w:t>
      </w:r>
      <w:r>
        <w:t xml:space="preserve">first- and second-order marginal offsets.</w:t>
      </w:r>
    </w:p>
    <w:p>
      <w:pPr>
        <w:pStyle w:val="BodyText"/>
      </w:pPr>
      <w:r>
        <w:rPr>
          <w:b/>
          <w:bCs/>
        </w:rPr>
        <w:t xml:space="preserve">CORAL after region-wise z-score.</w:t>
      </w:r>
      <w:r>
        <w:t xml:space="preserve"> </w:t>
      </w:r>
      <w:r>
        <w:t xml:space="preserve">The source covariance is aligned to the target’s by the standard</w:t>
      </w:r>
      <w:r>
        <w:t xml:space="preserve"> </w:t>
      </w:r>
      <w:r>
        <w:t xml:space="preserve">whitening-recolouring map</w:t>
      </w:r>
      <w:r>
        <w:t xml:space="preserve"> </w:t>
      </w:r>
      <w:r>
        <w:t xml:space="preserve">(Sun et al., 2016)</w:t>
      </w:r>
      <w:r>
        <w:t xml:space="preserve">. With</w:t>
      </w:r>
      <w:r>
        <w:t xml:space="preserve"> </w:t>
      </w:r>
      <m:oMath>
        <m:sSub>
          <m:e>
            <m:r>
              <m:t>Z</m:t>
            </m:r>
          </m:e>
          <m:sub>
            <m:r>
              <m:t>R</m:t>
            </m:r>
          </m:sub>
        </m:sSub>
      </m:oMath>
      <w:r>
        <w:t xml:space="preserve"> </w:t>
      </w:r>
      <w:r>
        <w:t xml:space="preserve">the</w:t>
      </w:r>
      <w:r>
        <w:t xml:space="preserve"> </w:t>
      </w:r>
      <m:oMath>
        <m:sSub>
          <m:e>
            <m:r>
              <m:t>n</m:t>
            </m:r>
          </m:e>
          <m:sub>
            <m:r>
              <m:t>R</m:t>
            </m:r>
          </m:sub>
        </m:sSub>
        <m:r>
          <m:rPr>
            <m:sty m:val="p"/>
          </m:rPr>
          <m:t>×</m:t>
        </m:r>
        <m:r>
          <m:t>d</m:t>
        </m:r>
      </m:oMath>
      <w:r>
        <w:t xml:space="preserve"> </w:t>
      </w:r>
      <w:r>
        <w:t xml:space="preserve">matrix of z-scored numeric</w:t>
      </w:r>
      <w:r>
        <w:t xml:space="preserve"> </w:t>
      </w:r>
      <w:r>
        <w:t xml:space="preserve">features, one row per cell,</w:t>
      </w:r>
    </w:p>
    <w:p>
      <w:pPr>
        <w:pStyle w:val="BodyText"/>
      </w:pPr>
      <m:oMathPara>
        <m:oMathParaPr>
          <m:jc m:val="center"/>
        </m:oMathParaPr>
        <m:oMath>
          <m:sSubSup>
            <m:e>
              <m:r>
                <m:t>Z</m:t>
              </m:r>
            </m:e>
            <m:sub>
              <m:r>
                <m:t>s</m:t>
              </m:r>
            </m:sub>
            <m:sup>
              <m:r>
                <m:rPr>
                  <m:sty m:val="p"/>
                </m:rPr>
                <m:t>a</m:t>
              </m:r>
              <m:r>
                <m:rPr>
                  <m:sty m:val="p"/>
                </m:rPr>
                <m:t>l</m:t>
              </m:r>
            </m:sup>
          </m:sSubSup>
          <m:r>
            <m:rPr>
              <m:sty m:val="p"/>
            </m:rPr>
            <m:t>=</m:t>
          </m:r>
          <m:sSub>
            <m:e>
              <m:r>
                <m:t>Z</m:t>
              </m:r>
            </m:e>
            <m:sub>
              <m:r>
                <m:t>s</m:t>
              </m:r>
            </m:sub>
          </m:sSub>
          <m:r>
            <m:t> </m:t>
          </m:r>
          <m:r>
            <m:rPr>
              <m:sty m:val="p"/>
            </m:rPr>
            <m:t>(</m:t>
          </m:r>
          <m:sSub>
            <m:e>
              <m:r>
                <m:t>C</m:t>
              </m:r>
            </m:e>
            <m:sub>
              <m:r>
                <m:t>s</m:t>
              </m:r>
            </m:sub>
          </m:sSub>
          <m:r>
            <m:rPr>
              <m:sty m:val="p"/>
            </m:rPr>
            <m:t>+</m:t>
          </m:r>
          <m:r>
            <m:t>λ</m:t>
          </m:r>
          <m:r>
            <m:t>I</m:t>
          </m:r>
          <m:sSup>
            <m:e>
              <m:r>
                <m:rPr>
                  <m:sty m:val="p"/>
                </m:rPr>
                <m:t>)</m:t>
              </m:r>
            </m:e>
            <m:sup>
              <m:r>
                <m:rPr>
                  <m:sty m:val="p"/>
                </m:rPr>
                <m:t>−</m:t>
              </m:r>
              <m:r>
                <m:t>1</m:t>
              </m:r>
              <m:r>
                <m:rPr>
                  <m:sty m:val="p"/>
                </m:rPr>
                <m:t>/</m:t>
              </m:r>
              <m:r>
                <m:t>2</m:t>
              </m:r>
            </m:sup>
          </m:sSup>
          <m:r>
            <m:t> </m:t>
          </m:r>
          <m:r>
            <m:rPr>
              <m:sty m:val="p"/>
            </m:rPr>
            <m:t>(</m:t>
          </m:r>
          <m:sSub>
            <m:e>
              <m:r>
                <m:t>C</m:t>
              </m:r>
            </m:e>
            <m:sub>
              <m:r>
                <m:t>t</m:t>
              </m:r>
            </m:sub>
          </m:sSub>
          <m:r>
            <m:rPr>
              <m:sty m:val="p"/>
            </m:rPr>
            <m:t>+</m:t>
          </m:r>
          <m:r>
            <m:t>λ</m:t>
          </m:r>
          <m:r>
            <m:t>I</m:t>
          </m:r>
          <m:sSup>
            <m:e>
              <m:r>
                <m:rPr>
                  <m:sty m:val="p"/>
                </m:rPr>
                <m:t>)</m:t>
              </m:r>
            </m:e>
            <m:sup>
              <m:r>
                <m:t>1</m:t>
              </m:r>
              <m:r>
                <m:rPr>
                  <m:sty m:val="p"/>
                </m:rPr>
                <m:t>/</m:t>
              </m:r>
              <m:r>
                <m:t>2</m:t>
              </m:r>
            </m:sup>
          </m:sSup>
          <m:r>
            <m:rPr>
              <m:sty m:val="p"/>
            </m:rPr>
            <m:t>,</m:t>
          </m:r>
          <m:r>
            <m:t>  </m:t>
          </m:r>
          <m:sSub>
            <m:e>
              <m:r>
                <m:t>C</m:t>
              </m:r>
            </m:e>
            <m:sub>
              <m:r>
                <m:t>R</m:t>
              </m:r>
            </m:sub>
          </m:sSub>
          <m:r>
            <m:rPr>
              <m:sty m:val="p"/>
            </m:rPr>
            <m:t>=</m:t>
          </m:r>
          <m:f>
            <m:fPr>
              <m:type m:val="bar"/>
            </m:fPr>
            <m:num>
              <m:r>
                <m:t>1</m:t>
              </m:r>
            </m:num>
            <m:den>
              <m:sSub>
                <m:e>
                  <m:r>
                    <m:t>n</m:t>
                  </m:r>
                </m:e>
                <m:sub>
                  <m:r>
                    <m:t>R</m:t>
                  </m:r>
                </m:sub>
              </m:sSub>
            </m:den>
          </m:f>
          <m:nary>
            <m:naryPr>
              <m:chr m:val="∑"/>
              <m:limLoc m:val="undOvr"/>
              <m:subHide m:val="off"/>
              <m:supHide m:val="off"/>
            </m:naryPr>
            <m:sub>
              <m:r>
                <m:t>i</m:t>
              </m:r>
              <m:r>
                <m:rPr>
                  <m:sty m:val="p"/>
                </m:rPr>
                <m:t>=</m:t>
              </m:r>
              <m:r>
                <m:t>1</m:t>
              </m:r>
            </m:sub>
            <m:sup>
              <m:sSub>
                <m:e>
                  <m:r>
                    <m:t>n</m:t>
                  </m:r>
                </m:e>
                <m:sub>
                  <m:r>
                    <m:t>R</m:t>
                  </m:r>
                </m:sub>
              </m:sSub>
            </m:sup>
            <m:e>
              <m:r>
                <m:rPr>
                  <m:sty m:val="p"/>
                </m:rPr>
                <m:t>(</m:t>
              </m:r>
            </m:e>
          </m:nary>
          <m:sSub>
            <m:e>
              <m:r>
                <m:t>z</m:t>
              </m:r>
            </m:e>
            <m:sub>
              <m:r>
                <m:t>i</m:t>
              </m:r>
            </m:sub>
          </m:sSub>
          <m:r>
            <m:rPr>
              <m:sty m:val="p"/>
            </m:rPr>
            <m:t>−</m:t>
          </m:r>
          <m:sSub>
            <m:e>
              <m:acc>
                <m:accPr>
                  <m:chr m:val="‾"/>
                </m:accPr>
                <m:e>
                  <m:r>
                    <m:t>z</m:t>
                  </m:r>
                </m:e>
              </m:acc>
            </m:e>
            <m:sub>
              <m:r>
                <m:t>R</m:t>
              </m:r>
            </m:sub>
          </m:sSub>
          <m:r>
            <m:rPr>
              <m:sty m:val="p"/>
            </m:rPr>
            <m:t>)</m:t>
          </m:r>
          <m:r>
            <m:rPr>
              <m:sty m:val="p"/>
            </m:rPr>
            <m:t>(</m:t>
          </m:r>
          <m:sSub>
            <m:e>
              <m:r>
                <m:t>z</m:t>
              </m:r>
            </m:e>
            <m:sub>
              <m:r>
                <m:t>i</m:t>
              </m:r>
            </m:sub>
          </m:sSub>
          <m:r>
            <m:rPr>
              <m:sty m:val="p"/>
            </m:rPr>
            <m:t>−</m:t>
          </m:r>
          <m:sSub>
            <m:e>
              <m:acc>
                <m:accPr>
                  <m:chr m:val="‾"/>
                </m:accPr>
                <m:e>
                  <m:r>
                    <m:t>z</m:t>
                  </m:r>
                </m:e>
              </m:acc>
            </m:e>
            <m:sub>
              <m:r>
                <m:t>R</m:t>
              </m:r>
            </m:sub>
          </m:sSub>
          <m:sSup>
            <m:e>
              <m:r>
                <m:rPr>
                  <m:sty m:val="p"/>
                </m:rPr>
                <m:t>)</m:t>
              </m:r>
            </m:e>
            <m:sup>
              <m:r>
                <m:rPr>
                  <m:sty m:val="p"/>
                </m:rPr>
                <m:t>⊤</m:t>
              </m:r>
            </m:sup>
          </m:sSup>
          <m:r>
            <m:rPr>
              <m:sty m:val="p"/>
            </m:rPr>
            <m:t>,</m:t>
          </m:r>
          <m:r>
            <m:t>  </m:t>
          </m:r>
          <m:r>
            <m:rPr>
              <m:sty m:val="p"/>
            </m:rPr>
            <m:t>(</m:t>
          </m:r>
          <m:r>
            <m:t>5</m:t>
          </m:r>
          <m:r>
            <m:rPr>
              <m:sty m:val="p"/>
            </m:rPr>
            <m:t>)</m:t>
          </m:r>
        </m:oMath>
      </m:oMathPara>
    </w:p>
    <w:p>
      <w:pPr>
        <w:pStyle w:val="FirstParagraph"/>
      </w:pPr>
      <w:r>
        <w:t xml:space="preserve">with</w:t>
      </w:r>
      <w:r>
        <w:t xml:space="preserve"> </w:t>
      </w:r>
      <m:oMath>
        <m:r>
          <m:t>λ</m:t>
        </m:r>
        <m:r>
          <m:rPr>
            <m:sty m:val="p"/>
          </m:rPr>
          <m:t>=</m:t>
        </m:r>
        <m:sSup>
          <m:e>
            <m:r>
              <m:t>10</m:t>
            </m:r>
          </m:e>
          <m:sup>
            <m:r>
              <m:rPr>
                <m:sty m:val="p"/>
              </m:rPr>
              <m:t>−</m:t>
            </m:r>
            <m:r>
              <m:t>5</m:t>
            </m:r>
          </m:sup>
        </m:sSup>
      </m:oMath>
      <w:r>
        <w:t xml:space="preserve"> </w:t>
      </w:r>
      <w:r>
        <w:t xml:space="preserve">(ddof 0). Both means are zero after Eq. (4), so the general map’s</w:t>
      </w:r>
      <w:r>
        <w:t xml:space="preserve"> </w:t>
      </w:r>
      <w:r>
        <w:t xml:space="preserve">mean terms vanish. Matrix powers use a symmetric eigendecomposition, eigenvalues floored at</w:t>
      </w:r>
      <w:r>
        <w:t xml:space="preserve"> </w:t>
      </w:r>
      <m:oMath>
        <m:sSup>
          <m:e>
            <m:r>
              <m:t>10</m:t>
            </m:r>
          </m:e>
          <m:sup>
            <m:r>
              <m:rPr>
                <m:sty m:val="p"/>
              </m:rPr>
              <m:t>−</m:t>
            </m:r>
            <m:r>
              <m:t>12</m:t>
            </m:r>
          </m:sup>
        </m:sSup>
      </m:oMath>
      <w:r>
        <w:t xml:space="preserve">. Critically</w:t>
      </w:r>
      <w:r>
        <w:t xml:space="preserve"> </w:t>
      </w:r>
      <w:r>
        <w:rPr>
          <w:b/>
          <w:bCs/>
        </w:rPr>
        <w:t xml:space="preserve">the transform is applied to the source</w:t>
      </w:r>
      <w:r>
        <w:rPr>
          <w:b/>
          <w:bCs/>
        </w:rPr>
        <w:t xml:space="preserve"> </w:t>
      </w:r>
      <w:r>
        <w:rPr>
          <w:b/>
          <w:bCs/>
        </w:rPr>
        <w:t xml:space="preserve">only</w:t>
      </w:r>
      <w:r>
        <w:t xml:space="preserve">; the target stays at</w:t>
      </w:r>
      <w:r>
        <w:t xml:space="preserve"> </w:t>
      </w:r>
      <m:oMath>
        <m:sSub>
          <m:e>
            <m:r>
              <m:t>Z</m:t>
            </m:r>
          </m:e>
          <m:sub>
            <m:r>
              <m:t>t</m:t>
            </m:r>
          </m:sub>
        </m:sSub>
      </m:oMath>
      <w:r>
        <w:t xml:space="preserve">, and the classifier is refitted on</w:t>
      </w:r>
      <w:r>
        <w:t xml:space="preserve"> </w:t>
      </w:r>
      <m:oMath>
        <m:sSubSup>
          <m:e>
            <m:r>
              <m:t>Z</m:t>
            </m:r>
          </m:e>
          <m:sub>
            <m:r>
              <m:t>s</m:t>
            </m:r>
          </m:sub>
          <m:sup>
            <m:r>
              <m:rPr>
                <m:sty m:val="p"/>
              </m:rPr>
              <m:t>a</m:t>
            </m:r>
            <m:r>
              <m:rPr>
                <m:sty m:val="p"/>
              </m:rPr>
              <m:t>l</m:t>
            </m:r>
          </m:sup>
        </m:sSubSup>
      </m:oMath>
      <w:r>
        <w:t xml:space="preserve">. Neither</w:t>
      </w:r>
      <w:r>
        <w:t xml:space="preserve"> </w:t>
      </w:r>
      <w:r>
        <w:t xml:space="preserve">variant sees a target label, and both are verified label-blind at run time. λ sensitivity was assessed over nine</w:t>
      </w:r>
      <w:r>
        <w:t xml:space="preserve"> </w:t>
      </w:r>
      <w:r>
        <w:t xml:space="preserve">values on four of the twenty directions, moving transfer AUC by at most 0.014, and no value of λ was</w:t>
      </w:r>
      <w:r>
        <w:t xml:space="preserve"> </w:t>
      </w:r>
      <w:r>
        <w:t xml:space="preserve">selected on performance; the λ = 1 of the original CORAL formulation lies outside that sweep, while</w:t>
      </w:r>
      <w:r>
        <w:t xml:space="preserve"> </w:t>
      </w:r>
      <w:r>
        <w:t xml:space="preserve">the value used throughout remains λ = 10⁻⁵ (Section S1.2).</w:t>
      </w:r>
    </w:p>
    <w:bookmarkEnd w:id="69"/>
    <w:bookmarkEnd w:id="70"/>
    <w:bookmarkStart w:id="73" w:name="Xa1b22d7ac483e003659be484d80ace71aa8faa8"/>
    <w:p>
      <w:pPr>
        <w:pStyle w:val="Heading1"/>
      </w:pPr>
      <w:r>
        <w:t xml:space="preserve">S4 Transferability diagnostics: the record behind Contribution 3</w:t>
      </w:r>
    </w:p>
    <w:p>
      <w:pPr>
        <w:pStyle w:val="FirstParagraph"/>
      </w:pPr>
      <w:r>
        <w:rPr>
          <w:b/>
          <w:bCs/>
        </w:rPr>
        <w:t xml:space="preserve">Status (2026-08-16; frozen label, superseded).</w:t>
      </w:r>
      <w:r>
        <w:t xml:space="preserve"> </w:t>
      </w:r>
      <w:r>
        <w:t xml:space="preserve">This was Contribution 3 of an earlier version: twenty candidate diagnostics from five</w:t>
      </w:r>
      <w:r>
        <w:t xml:space="preserve"> </w:t>
      </w:r>
      <w:r>
        <w:t xml:space="preserve">families, each rank-correlated with observed transfer, none shown to order it. It is released here</w:t>
      </w:r>
      <w:r>
        <w:t xml:space="preserve"> </w:t>
      </w:r>
      <w:r>
        <w:t xml:space="preserve">rather than printed because it rests on an effective sample of</w:t>
      </w:r>
      <w:r>
        <w:t xml:space="preserve"> </w:t>
      </w:r>
      <w:r>
        <w:rPr>
          <w:b/>
          <w:bCs/>
        </w:rPr>
        <w:t xml:space="preserve">eight region pairs</w:t>
      </w:r>
      <w:r>
        <w:t xml:space="preserve"> </w:t>
      </w:r>
      <w:r>
        <w:t xml:space="preserve">— the two</w:t>
      </w:r>
      <w:r>
        <w:t xml:space="preserve"> </w:t>
      </w:r>
      <w:r>
        <w:t xml:space="preserve">Montiferru pairs carry no jointly supported feature — and a null on eight pairs cannot carry a claim</w:t>
      </w:r>
      <w:r>
        <w:t xml:space="preserve"> </w:t>
      </w:r>
      <w:r>
        <w:t xml:space="preserve">at the scope the paper otherwise keeps. The paper now makes two claims, on evaluation geometry and</w:t>
      </w:r>
      <w:r>
        <w:t xml:space="preserve"> </w:t>
      </w:r>
      <w:r>
        <w:t xml:space="preserve">on portability, and says what it can support.</w:t>
      </w:r>
    </w:p>
    <w:p>
      <w:pPr>
        <w:pStyle w:val="BodyText"/>
      </w:pPr>
      <w:r>
        <w:rPr>
          <w:b/>
          <w:bCs/>
        </w:rPr>
        <w:t xml:space="preserve">What is not withdrawn.</w:t>
      </w:r>
      <w:r>
        <w:t xml:space="preserve"> </w:t>
      </w:r>
      <w:r>
        <w:t xml:space="preserve">The one part of this work the paper still needs is in Section 4.4 there:</w:t>
      </w:r>
      <w:r>
        <w:t xml:space="preserve"> </w:t>
      </w:r>
      <w:r>
        <w:t xml:space="preserve">the frame correction dissolves the diagnostic that had ordered transfer best, which is evidence for</w:t>
      </w:r>
      <w:r>
        <w:t xml:space="preserve"> </w:t>
      </w:r>
      <w:r>
        <w:t xml:space="preserve">the paper’s first contribution rather than for this one. That passage stays in the paper.</w:t>
      </w:r>
    </w:p>
    <w:p>
      <w:pPr>
        <w:pStyle w:val="BodyText"/>
      </w:pPr>
      <w:r>
        <w:rPr>
          <w:b/>
          <w:bCs/>
        </w:rPr>
        <w:t xml:space="preserve">What would make it publishable.</w:t>
      </w:r>
      <w:r>
        <w:t xml:space="preserve"> </w:t>
      </w:r>
      <w:r>
        <w:t xml:space="preserve">The design is sound and the arithmetic was checked to the</w:t>
      </w:r>
      <w:r>
        <w:t xml:space="preserve"> </w:t>
      </w:r>
      <w:r>
        <w:t xml:space="preserve">individual permutation: the exact one-sided p of 0.0060 is 240 of the 8! = 40,320 relabellings, and</w:t>
      </w:r>
      <w:r>
        <w:t xml:space="preserve"> </w:t>
      </w:r>
      <w:r>
        <w:t xml:space="preserve">no outcome of that diagnostic could have cleared family-wise correction at 0.05/19. What it needs is</w:t>
      </w:r>
      <w:r>
        <w:t xml:space="preserve"> </w:t>
      </w:r>
      <w:r>
        <w:t xml:space="preserve">regions. At ten regions the pair count rises from eight to forty-five, and the same analysis would</w:t>
      </w:r>
      <w:r>
        <w:t xml:space="preserve"> </w:t>
      </w:r>
      <w:r>
        <w:t xml:space="preserve">carry a claim.</w:t>
      </w:r>
    </w:p>
    <w:p>
      <w:pPr>
        <w:pStyle w:val="BodyText"/>
      </w:pPr>
      <w:r>
        <w:t xml:space="preserve">The material below is reproduced as it stood in the paper, with its section numbers as they were;</w:t>
      </w:r>
      <w:r>
        <w:t xml:space="preserve"> </w:t>
      </w:r>
      <w:r>
        <w:t xml:space="preserve">its cross-references are updated to the numbering of this supplement.</w:t>
      </w:r>
      <w:r>
        <w:t xml:space="preserve"> </w:t>
      </w:r>
      <w:r>
        <w:rPr>
          <w:b/>
          <w:bCs/>
        </w:rPr>
        <w:t xml:space="preserve">It was written under the frozen label and is superseded</w:t>
      </w:r>
      <w:r>
        <w:t xml:space="preserve">; it is kept so the change is traceable.</w:t>
      </w:r>
    </w:p>
    <w:p>
      <w:pPr>
        <w:pStyle w:val="BodyText"/>
      </w:pPr>
      <w:r>
        <w:rPr>
          <w:b/>
          <w:bCs/>
        </w:rPr>
        <w:t xml:space="preserve">From 01_introduction.md.</w:t>
      </w:r>
      <w:r>
        <w:t xml:space="preserve"> </w:t>
      </w:r>
      <w:r>
        <w:t xml:space="preserve">## S4.1 Why the loss is invisible to the diagnostics in use (former Section 1.3)</w:t>
      </w:r>
    </w:p>
    <w:p>
      <w:pPr>
        <w:pStyle w:val="BodyText"/>
      </w:pPr>
      <w:r>
        <w:t xml:space="preserve">The field’s instrument for anticipating transfer failure is predictor-space dissimilarity — the area</w:t>
      </w:r>
      <w:r>
        <w:t xml:space="preserve"> </w:t>
      </w:r>
      <w:r>
        <w:t xml:space="preserve">of applicability and its relatives</w:t>
      </w:r>
      <w:r>
        <w:t xml:space="preserve"> </w:t>
      </w:r>
      <w:r>
        <w:t xml:space="preserve">(Ludwig et al., 2023; Meyer and Pebesma, 2022, 2021)</w:t>
      </w:r>
      <w:r>
        <w:t xml:space="preserve"> </w:t>
      </w:r>
      <w:r>
        <w:t xml:space="preserve">— which asks whether a target’s</w:t>
      </w:r>
      <w:r>
        <w:t xml:space="preserve"> </w:t>
      </w:r>
      <w:r>
        <w:t xml:space="preserve">predictor values fall inside the training envelope. That is a question about the marginal</w:t>
      </w:r>
      <w:r>
        <w:t xml:space="preserve"> </w:t>
      </w:r>
      <w:r>
        <w:t xml:space="preserve">distribution of the predictors, and it cannot see a change in the</w:t>
      </w:r>
      <w:r>
        <w:t xml:space="preserve"> </w:t>
      </w:r>
      <w:r>
        <w:rPr>
          <w:i/>
          <w:iCs/>
        </w:rPr>
        <w:t xml:space="preserve">relationship</w:t>
      </w:r>
      <w:r>
        <w:t xml:space="preserve"> </w:t>
      </w:r>
      <w:r>
        <w:t xml:space="preserve">between predictors</w:t>
      </w:r>
      <w:r>
        <w:t xml:space="preserve"> </w:t>
      </w:r>
      <w:r>
        <w:t xml:space="preserve">and response, because detecting one requires the labels being withheld. If the failure is</w:t>
      </w:r>
      <w:r>
        <w:t xml:space="preserve"> </w:t>
      </w:r>
      <w:r>
        <w:t xml:space="preserve">conditional rather than marginal, those diagnostics look in the wrong place; Section S4 tests</w:t>
      </w:r>
      <w:r>
        <w:t xml:space="preserve"> </w:t>
      </w:r>
      <w:r>
        <w:t xml:space="preserve">whether they do.</w:t>
      </w:r>
    </w:p>
    <w:p>
      <w:pPr>
        <w:pStyle w:val="BodyText"/>
      </w:pPr>
      <w:r>
        <w:rPr>
          <w:b/>
          <w:bCs/>
        </w:rPr>
        <w:t xml:space="preserve">From 01_introduction.md.</w:t>
      </w:r>
      <w:r>
        <w:t xml:space="preserve"> </w:t>
      </w:r>
      <w:r>
        <w:rPr>
          <w:b/>
          <w:bCs/>
        </w:rPr>
        <w:t xml:space="preserve">Contribution 3. The shortfall cannot be anticipated by any diagnostic we could run.</w:t>
      </w:r>
      <w:r>
        <w:t xml:space="preserve"> </w:t>
      </w:r>
      <w:r>
        <w:t xml:space="preserve">Of twenty candidates from</w:t>
      </w:r>
      <w:r>
        <w:t xml:space="preserve"> </w:t>
      </w:r>
      <w:r>
        <w:t xml:space="preserve">five families, eighteen were not shown to order the matrix on the frames as drawn. Two conditional</w:t>
      </w:r>
      <w:r>
        <w:t xml:space="preserve"> </w:t>
      </w:r>
      <w:r>
        <w:t xml:space="preserve">variants did, but both need burned labels on both sides, both rest on a data-selected feature subset</w:t>
      </w:r>
      <w:r>
        <w:t xml:space="preserve"> </w:t>
      </w:r>
      <w:r>
        <w:t xml:space="preserve">whose all-nine counterparts span zero, and</w:t>
      </w:r>
      <w:r>
        <w:t xml:space="preserve"> </w:t>
      </w:r>
      <w:r>
        <w:rPr>
          <w:b/>
          <w:bCs/>
        </w:rPr>
        <w:t xml:space="preserve">Contribution 1 removes even those</w:t>
      </w:r>
      <w:r>
        <w:t xml:space="preserve"> </w:t>
      </w:r>
      <w:r>
        <w:t xml:space="preserve">(Section 4.4). The</w:t>
      </w:r>
      <w:r>
        <w:t xml:space="preserve"> </w:t>
      </w:r>
      <w:r>
        <w:t xml:space="preserve">point survives without any ranking: at the point estimates the pair with the highest burned-niche</w:t>
      </w:r>
      <w:r>
        <w:t xml:space="preserve"> </w:t>
      </w:r>
      <w:r>
        <w:t xml:space="preserve">overlap is among the weakest in the matrix while the lowest transfers above chance in both</w:t>
      </w:r>
      <w:r>
        <w:t xml:space="preserve"> </w:t>
      </w:r>
      <w:r>
        <w:t xml:space="preserve">directions, contradicting an expectation the fire literature carries</w:t>
      </w:r>
      <w:r>
        <w:t xml:space="preserve"> </w:t>
      </w:r>
      <w:r>
        <w:t xml:space="preserve">(Dimarco et al., 2026; Liu and Mostafavi, 2025)</w:t>
      </w:r>
      <w:r>
        <w:t xml:space="preserve"> </w:t>
      </w:r>
      <w:r>
        <w:t xml:space="preserve">and</w:t>
      </w:r>
      <w:r>
        <w:t xml:space="preserve"> </w:t>
      </w:r>
      <w:r>
        <w:t xml:space="preserve">agreeing with species distribution modelling</w:t>
      </w:r>
      <w:r>
        <w:t xml:space="preserve"> </w:t>
      </w:r>
      <w:r>
        <w:t xml:space="preserve">(Rousseau and Betts, 2022; Vesk et al., 2021)</w:t>
      </w:r>
      <w:r>
        <w:t xml:space="preserve">.</w:t>
      </w:r>
    </w:p>
    <w:p>
      <w:pPr>
        <w:pStyle w:val="BodyText"/>
      </w:pPr>
      <w:r>
        <w:rPr>
          <w:b/>
          <w:bCs/>
        </w:rPr>
        <w:t xml:space="preserve">From 02_related_work.md.</w:t>
      </w:r>
      <w:r>
        <w:t xml:space="preserve"> </w:t>
      </w:r>
      <w:r>
        <w:t xml:space="preserve">Random cross-validation over spatially autocorrelated cells inflates skill estimates</w:t>
      </w:r>
      <w:r>
        <w:t xml:space="preserve"> </w:t>
      </w:r>
      <w:r>
        <w:t xml:space="preserve">(Ploton et al., 2020; Roberts et al., 2017)</w:t>
      </w:r>
      <w:r>
        <w:t xml:space="preserve">, and spatially blocked designs are the standard remedy</w:t>
      </w:r>
      <w:r>
        <w:t xml:space="preserve"> </w:t>
      </w:r>
      <w:r>
        <w:t xml:space="preserve">(Meyer et al., 2018; Valavi et al., 2019)</w:t>
      </w:r>
      <w:r>
        <w:t xml:space="preserve">,</w:t>
      </w:r>
      <w:r>
        <w:t xml:space="preserve"> </w:t>
      </w:r>
      <w:r>
        <w:t xml:space="preserve">though they have themselves been argued to introduce pessimistic bias</w:t>
      </w:r>
      <w:r>
        <w:t xml:space="preserve"> </w:t>
      </w:r>
      <w:r>
        <w:t xml:space="preserve">(Bruin et al., 2022; Milà et al., 2022; Wadoux et al., 2021)</w:t>
      </w:r>
      <w:r>
        <w:t xml:space="preserve">. This paper blocks throughout and reports every result at three block sizes, so a</w:t>
      </w:r>
      <w:r>
        <w:t xml:space="preserve"> </w:t>
      </w:r>
      <w:r>
        <w:t xml:space="preserve">reader can see which verdicts depend on the choice.</w:t>
      </w:r>
    </w:p>
    <w:p>
      <w:pPr>
        <w:pStyle w:val="BodyText"/>
      </w:pPr>
      <w:r>
        <w:t xml:space="preserve">Blocking corrects the inflation random folds produce within a region. It does not speak to</w:t>
      </w:r>
      <w:r>
        <w:t xml:space="preserve"> </w:t>
      </w:r>
      <w:r>
        <w:t xml:space="preserve">performance on a fire the model has not seen, which Section 4.3 measures on identical cells. For</w:t>
      </w:r>
      <w:r>
        <w:t xml:space="preserve"> </w:t>
      </w:r>
      <w:r>
        <w:t xml:space="preserve">that, the field’s instrument is the area of applicability and related predictor-space dissimilarity</w:t>
      </w:r>
      <w:r>
        <w:t xml:space="preserve"> </w:t>
      </w:r>
      <w:r>
        <w:t xml:space="preserve">measures</w:t>
      </w:r>
      <w:r>
        <w:t xml:space="preserve"> </w:t>
      </w:r>
      <w:r>
        <w:t xml:space="preserve">(Ludwig et al., 2023; Meyer and Pebesma, 2022, 2021)</w:t>
      </w:r>
      <w:r>
        <w:t xml:space="preserve">, which ask whether a target’s predictor values fall inside the</w:t>
      </w:r>
      <w:r>
        <w:t xml:space="preserve"> </w:t>
      </w:r>
      <w:r>
        <w:t xml:space="preserve">training data’s envelope. Species distribution modelling has examined transferability far more</w:t>
      </w:r>
      <w:r>
        <w:t xml:space="preserve"> </w:t>
      </w:r>
      <w:r>
        <w:t xml:space="preserve">systematically than fire has</w:t>
      </w:r>
      <w:r>
        <w:t xml:space="preserve"> </w:t>
      </w:r>
      <w:r>
        <w:t xml:space="preserve">(Yates et al., 2018)</w:t>
      </w:r>
      <w:r>
        <w:t xml:space="preserve">, and two studies there report that geographic and</w:t>
      </w:r>
      <w:r>
        <w:t xml:space="preserve"> </w:t>
      </w:r>
      <w:r>
        <w:t xml:space="preserve">environmental similarity do not reliably predict transfer success</w:t>
      </w:r>
      <w:r>
        <w:t xml:space="preserve"> </w:t>
      </w:r>
      <w:r>
        <w:t xml:space="preserve">(Rousseau and Betts, 2022; Vesk et al., 2021)</w:t>
      </w:r>
      <w:r>
        <w:t xml:space="preserve">;</w:t>
      </w:r>
      <w:r>
        <w:t xml:space="preserve"> </w:t>
      </w:r>
      <w:r>
        <w:t xml:space="preserve">transferability of satellite-derived empirical models is an active question in fire remote sensing</w:t>
      </w:r>
      <w:r>
        <w:t xml:space="preserve"> </w:t>
      </w:r>
      <w:r>
        <w:t xml:space="preserve">itself</w:t>
      </w:r>
      <w:r>
        <w:t xml:space="preserve"> </w:t>
      </w:r>
      <w:r>
        <w:t xml:space="preserve">(Marino et al., 2024)</w:t>
      </w:r>
      <w:r>
        <w:t xml:space="preserve">.</w:t>
      </w:r>
    </w:p>
    <w:p>
      <w:pPr>
        <w:pStyle w:val="BodyText"/>
      </w:pPr>
      <w:r>
        <w:rPr>
          <w:b/>
          <w:bCs/>
        </w:rPr>
        <w:t xml:space="preserve">From 03_methods.md.</w:t>
      </w:r>
      <w:r>
        <w:t xml:space="preserve"> </w:t>
      </w:r>
      <w:r>
        <w:t xml:space="preserve">## S4.2 Transferability diagnostics versus transfer (former Section 3.11)</w:t>
      </w:r>
    </w:p>
    <w:p>
      <w:pPr>
        <w:pStyle w:val="BodyText"/>
      </w:pPr>
      <w:r>
        <w:t xml:space="preserve">Twenty candidate diagnostics from five families are computed for every region pair and</w:t>
      </w:r>
      <w:r>
        <w:t xml:space="preserve"> </w:t>
      </w:r>
      <w:r>
        <w:t xml:space="preserve">rank-correlated (Spearman) against observed raw transfer AUC, under one bootstrap that resamples</w:t>
      </w:r>
      <w:r>
        <w:t xml:space="preserve"> </w:t>
      </w:r>
      <w:r>
        <w:t xml:space="preserve">unordered region pairs with both of their ordered directions travelling together. The families are</w:t>
      </w:r>
      <w:r>
        <w:t xml:space="preserve"> </w:t>
      </w:r>
      <w:r>
        <w:t xml:space="preserve">marginal predictor-space measures P(ix), including area-of-applicability dissimilarity, climatic and</w:t>
      </w:r>
      <w:r>
        <w:t xml:space="preserve"> </w:t>
      </w:r>
      <w:r>
        <w:t xml:space="preserve">geographic distance and a learned domain classifier; burned-niche overlap P(x|y=1), measured by</w:t>
      </w:r>
      <w:r>
        <w:t xml:space="preserve"> </w:t>
      </w:r>
      <w:r>
        <w:t xml:space="preserve">Schoener’s D</w:t>
      </w:r>
      <w:r>
        <w:t xml:space="preserve"> </w:t>
      </w:r>
      <w:r>
        <w:t xml:space="preserve">(Schoener, 1968)</w:t>
      </w:r>
      <w:r>
        <w:t xml:space="preserve"> </w:t>
      </w:r>
      <w:r>
        <w:t xml:space="preserve">and Warren’s I</w:t>
      </w:r>
      <w:r>
        <w:t xml:space="preserve"> </w:t>
      </w:r>
      <w:r>
        <w:t xml:space="preserve">(Warren et al., 2008)</w:t>
      </w:r>
      <w:r>
        <w:t xml:space="preserve">; regime distance</w:t>
      </w:r>
      <w:r>
        <w:t xml:space="preserve"> </w:t>
      </w:r>
      <w:r>
        <w:t xml:space="preserve">P(y); and conditional direction agreement P(y|x).</w:t>
      </w:r>
      <w:r>
        <w:t xml:space="preserve"> </w:t>
      </w:r>
      <w:r>
        <w:rPr>
          <w:b/>
          <w:bCs/>
        </w:rPr>
        <w:t xml:space="preserve">No family-wise error control is claimed</w:t>
      </w:r>
      <w:r>
        <w:t xml:space="preserve">, and</w:t>
      </w:r>
      <w:r>
        <w:t xml:space="preserve"> </w:t>
      </w:r>
      <w:r>
        <w:t xml:space="preserve">the number of variants per family is reported with the result. Section S3.2 gives the full</w:t>
      </w:r>
      <w:r>
        <w:t xml:space="preserve"> </w:t>
      </w:r>
      <w:r>
        <w:t xml:space="preserve">specification.</w:t>
      </w:r>
    </w:p>
    <w:p>
      <w:pPr>
        <w:pStyle w:val="BodyText"/>
      </w:pPr>
      <w:r>
        <w:rPr>
          <w:b/>
          <w:bCs/>
        </w:rPr>
        <w:t xml:space="preserve">From 04_results.md.</w:t>
      </w:r>
      <w:r>
        <w:t xml:space="preserve"> </w:t>
      </w:r>
      <w:r>
        <w:rPr>
          <w:b/>
          <w:bCs/>
        </w:rPr>
        <w:t xml:space="preserve">The same test determines what the diagnostics of Section S4 can establish.</w:t>
      </w:r>
      <w:r>
        <w:t xml:space="preserve"> </w:t>
      </w:r>
      <w:r>
        <w:t xml:space="preserve">Both candidates</w:t>
      </w:r>
      <w:r>
        <w:t xml:space="preserve"> </w:t>
      </w:r>
      <w:r>
        <w:t xml:space="preserve">there with intervals excluding zero measure agreement in the sign of each predictor’s association</w:t>
      </w:r>
      <w:r>
        <w:t xml:space="preserve"> </w:t>
      </w:r>
      <w:r>
        <w:t xml:space="preserve">between source and target — built from exactly the signed AUCs shown above to be frame artefacts,</w:t>
      </w:r>
      <w:r>
        <w:t xml:space="preserve"> </w:t>
      </w:r>
      <w:r>
        <w:t xml:space="preserve">and correlated against transfer on the same unequal frames. Recomputing both sides under the</w:t>
      </w:r>
      <w:r>
        <w:t xml:space="preserve"> </w:t>
      </w:r>
      <w:r>
        <w:t xml:space="preserve">collar:</w:t>
      </w:r>
    </w:p>
    <w:p>
      <w:pPr>
        <w:pStyle w:val="BodyText"/>
      </w:pPr>
      <w:r>
        <w:rPr>
          <w:b/>
          <w:bCs/>
        </w:rPr>
        <w:t xml:space="preserve">Table S20. The diagnostics that ordered transfer, recomputed on an equalised frame.</w:t>
      </w:r>
      <w:r>
        <w:t xml:space="preserve"> </w:t>
      </w:r>
      <w:r>
        <w:t xml:space="preserve">Spearman ρ</w:t>
      </w:r>
      <w:r>
        <w:t xml:space="preserve"> </w:t>
      </w:r>
      <w:r>
        <w:t xml:space="preserve">against target ROC-AUC over the ordered directions in which each is defined. The first two rows are</w:t>
      </w:r>
      <w:r>
        <w:t xml:space="preserve"> </w:t>
      </w:r>
      <w:r>
        <w:t xml:space="preserve">the two variants that cleared zero in Table S17; the third is the all-feature cosine, which did not</w:t>
      </w:r>
      <w:r>
        <w:t xml:space="preserve"> </w:t>
      </w:r>
      <w:r>
        <w:t xml:space="preserve">and is shown for contrast. Both sides are recomputed here under one bootstrap setting, 1000</w:t>
      </w:r>
      <w:r>
        <w:t xml:space="preserve"> </w:t>
      </w:r>
      <w:r>
        <w:t xml:space="preserve">replicates, seed 42. Source</w:t>
      </w:r>
      <w:r>
        <w:t xml:space="preserve"> </w:t>
      </w:r>
      <w:r>
        <w:rPr>
          <w:rStyle w:val="VerbatimChar"/>
        </w:rPr>
        <w:t xml:space="preserve">diagnostics_collar_frame.csv</w:t>
      </w:r>
      <w:r>
        <w:t xml:space="preserve"> </w:t>
      </w:r>
      <w:r>
        <w:t xml:space="preserve">and</w:t>
      </w:r>
      <w:r>
        <w:t xml:space="preserve"> </w:t>
      </w:r>
      <w:r>
        <w:rPr>
          <w:rStyle w:val="VerbatimChar"/>
        </w:rPr>
        <w:t xml:space="preserve">collar_increment_and_cosine.csv</w:t>
      </w:r>
      <w:r>
        <w:t xml:space="preserve">.</w:t>
      </w:r>
    </w:p>
    <w:tbl>
      <w:tblPr>
        <w:tblStyle w:val="Table"/>
        <w:tblW w:type="auto" w:w="0"/>
        <w:tblLook w:firstRow="1" w:lastRow="0" w:firstColumn="0" w:lastColumn="0" w:noHBand="0" w:noVBand="0" w:val="0020"/>
      </w:tblPr>
      <w:tblGrid>
        <w:gridCol w:w="3000"/>
        <w:gridCol w:w="2093"/>
        <w:gridCol w:w="3977"/>
      </w:tblGrid>
      <w:tr>
        <w:trPr>
          <w:tblHeader w:val="on"/>
        </w:trPr>
        <w:tc>
          <w:tcPr>
            <w:tcW w:type="dxa" w:w="3000"/>
          </w:tcPr>
          <w:p>
            <w:pPr>
              <w:pStyle w:val="Compact"/>
            </w:pPr>
            <w:r>
              <w:t xml:space="preserve">Diagnostic</w:t>
            </w:r>
          </w:p>
        </w:tc>
        <w:tc>
          <w:tcPr>
            <w:tcW w:type="dxa" w:w="2093"/>
          </w:tcPr>
          <w:p>
            <w:pPr>
              <w:pStyle w:val="Compact"/>
            </w:pPr>
            <w:r>
              <w:t xml:space="preserve">Full frame</w:t>
            </w:r>
          </w:p>
        </w:tc>
        <w:tc>
          <w:tcPr>
            <w:tcW w:type="dxa" w:w="3977"/>
          </w:tcPr>
          <w:p>
            <w:pPr>
              <w:pStyle w:val="Compact"/>
            </w:pPr>
            <w:r>
              <w:t xml:space="preserve">10 km collar</w:t>
            </w:r>
          </w:p>
        </w:tc>
      </w:tr>
      <w:tr>
        <w:tc>
          <w:tcPr>
            <w:tcW w:type="dxa" w:w="3000"/>
          </w:tcPr>
          <w:p>
            <w:pPr>
              <w:pStyle w:val="Compact"/>
            </w:pPr>
            <w:r>
              <w:t xml:space="preserve">Sign-agreement fraction, supported features</w:t>
            </w:r>
          </w:p>
        </w:tc>
        <w:tc>
          <w:tcPr>
            <w:tcW w:type="dxa" w:w="2093"/>
          </w:tcPr>
          <w:p>
            <w:pPr>
              <w:pStyle w:val="Compact"/>
            </w:pPr>
            <w:r>
              <w:t xml:space="preserve">ρ = +0.86 (p = 0.0001, n = 14)</w:t>
            </w:r>
          </w:p>
        </w:tc>
        <w:tc>
          <w:tcPr>
            <w:tcW w:type="dxa" w:w="3977"/>
          </w:tcPr>
          <w:p>
            <w:pPr>
              <w:pStyle w:val="Compact"/>
            </w:pPr>
            <w:r>
              <w:rPr>
                <w:b/>
                <w:bCs/>
              </w:rPr>
              <w:t xml:space="preserve">1.0 in all 18 directions, variance exactly 0 — degenerate</w:t>
            </w:r>
          </w:p>
        </w:tc>
      </w:tr>
      <w:tr>
        <w:tc>
          <w:tcPr>
            <w:tcW w:type="dxa" w:w="3000"/>
          </w:tcPr>
          <w:p>
            <w:pPr>
              <w:pStyle w:val="Compact"/>
            </w:pPr>
            <w:r>
              <w:t xml:space="preserve">Cosine, supported features</w:t>
            </w:r>
          </w:p>
        </w:tc>
        <w:tc>
          <w:tcPr>
            <w:tcW w:type="dxa" w:w="2093"/>
          </w:tcPr>
          <w:p>
            <w:pPr>
              <w:pStyle w:val="Compact"/>
            </w:pPr>
            <w:r>
              <w:t xml:space="preserve">ρ = +0.81 (p = 0.0005, n = 14)</w:t>
            </w:r>
          </w:p>
        </w:tc>
        <w:tc>
          <w:tcPr>
            <w:tcW w:type="dxa" w:w="3977"/>
          </w:tcPr>
          <w:p>
            <w:pPr>
              <w:pStyle w:val="Compact"/>
            </w:pPr>
            <w:r>
              <w:rPr>
                <w:b/>
                <w:bCs/>
              </w:rPr>
              <w:t xml:space="preserve">ρ = −0.06 (p = 0.82, n = 18)</w:t>
            </w:r>
            <w:r>
              <w:t xml:space="preserve">, variance 0.00014</w:t>
            </w:r>
          </w:p>
        </w:tc>
      </w:tr>
      <w:tr>
        <w:tc>
          <w:tcPr>
            <w:tcW w:type="dxa" w:w="3000"/>
          </w:tcPr>
          <w:p>
            <w:pPr>
              <w:pStyle w:val="Compact"/>
            </w:pPr>
            <w:r>
              <w:t xml:space="preserve">Cosine, all nine features</w:t>
            </w:r>
          </w:p>
        </w:tc>
        <w:tc>
          <w:tcPr>
            <w:tcW w:type="dxa" w:w="2093"/>
          </w:tcPr>
          <w:p>
            <w:pPr>
              <w:pStyle w:val="Compact"/>
            </w:pPr>
            <w:r>
              <w:t xml:space="preserve">ρ = +0.50 (p = 0.023, n = 20)</w:t>
            </w:r>
          </w:p>
        </w:tc>
        <w:tc>
          <w:tcPr>
            <w:tcW w:type="dxa" w:w="3977"/>
          </w:tcPr>
          <w:p>
            <w:pPr>
              <w:pStyle w:val="Compact"/>
            </w:pPr>
            <w:r>
              <w:t xml:space="preserve">ρ = +0.12 (p = 0.61, n = 20)</w:t>
            </w:r>
          </w:p>
        </w:tc>
      </w:tr>
    </w:tbl>
    <w:p>
      <w:pPr>
        <w:pStyle w:val="BodyText"/>
      </w:pPr>
      <w:r>
        <w:t xml:space="preserve">The two fail differently and both fail: the agreement fraction has no variance left once every pair</w:t>
      </w:r>
      <w:r>
        <w:t xml:space="preserve"> </w:t>
      </w:r>
      <w:r>
        <w:t xml:space="preserve">agrees, and the supported cosine keeps a trace of variance but stops tracking transfer. The</w:t>
      </w:r>
      <w:r>
        <w:t xml:space="preserve"> </w:t>
      </w:r>
      <w:r>
        <w:t xml:space="preserve">disagreements they were reading were the far fields.</w:t>
      </w:r>
      <w:r>
        <w:t xml:space="preserve"> </w:t>
      </w:r>
      <w:r>
        <w:rPr>
          <w:b/>
          <w:bCs/>
        </w:rPr>
        <w:t xml:space="preserve">Only these two were recomputed, so the other</w:t>
      </w:r>
      <w:r>
        <w:rPr>
          <w:b/>
          <w:bCs/>
        </w:rPr>
        <w:t xml:space="preserve"> </w:t>
      </w:r>
      <w:r>
        <w:rPr>
          <w:b/>
          <w:bCs/>
        </w:rPr>
        <w:t xml:space="preserve">eighteen are unknown against the equalised transfer vector rather than shown to be null</w:t>
      </w:r>
      <w:r>
        <w:t xml:space="preserve"> </w:t>
      </w:r>
      <w:r>
        <w:t xml:space="preserve">(Section S1.15). This settles what Contribution 3 can claim:</w:t>
      </w:r>
      <w:r>
        <w:t xml:space="preserve"> </w:t>
      </w:r>
      <w:r>
        <w:rPr>
          <w:b/>
          <w:bCs/>
        </w:rPr>
        <w:t xml:space="preserve">no diagnostic tested here has been</w:t>
      </w:r>
      <w:r>
        <w:rPr>
          <w:b/>
          <w:bCs/>
        </w:rPr>
        <w:t xml:space="preserve"> </w:t>
      </w:r>
      <w:r>
        <w:rPr>
          <w:b/>
          <w:bCs/>
        </w:rPr>
        <w:t xml:space="preserve">shown to order transfer</w:t>
      </w:r>
      <w:r>
        <w:t xml:space="preserve">, and the two that appeared to were reading how the rectangles were drawn.</w:t>
      </w:r>
    </w:p>
    <w:p>
      <w:pPr>
        <w:pStyle w:val="BodyText"/>
      </w:pPr>
      <w:r>
        <w:rPr>
          <w:b/>
          <w:bCs/>
        </w:rPr>
        <w:t xml:space="preserve">From 04_results.md.</w:t>
      </w:r>
      <w:r>
        <w:t xml:space="preserve"> </w:t>
      </w:r>
      <w:r>
        <w:t xml:space="preserve">## S4.3 Transferability diagnostics: what appears to order transfer, and why it does not (former Section 4.6)</w:t>
      </w:r>
    </w:p>
    <w:p>
      <w:pPr>
        <w:pStyle w:val="BodyText"/>
      </w:pPr>
      <w:r>
        <w:t xml:space="preserve">Twenty candidate diagnostics from five families were each rank-correlated with raw thermal transfer</w:t>
      </w:r>
      <w:r>
        <w:t xml:space="preserve"> </w:t>
      </w:r>
      <w:r>
        <w:t xml:space="preserve">over the twenty ordered directions, under one common pair-based bootstrap.</w:t>
      </w:r>
    </w:p>
    <w:p>
      <w:pPr>
        <w:pStyle w:val="BodyText"/>
      </w:pPr>
      <w:r>
        <w:rPr>
          <w:b/>
          <w:bCs/>
        </w:rPr>
        <w:t xml:space="preserve">Table S21. Transferability diagnostics versus raw thermal transfer, by family.</w:t>
      </w:r>
      <w:r>
        <w:t xml:space="preserve"> </w:t>
      </w:r>
      <w:r>
        <w:t xml:space="preserve">Spearman ρ against</w:t>
      </w:r>
      <w:r>
        <w:t xml:space="preserve"> </w:t>
      </w:r>
      <w:r>
        <w:t xml:space="preserve">raw transfer AUC with pair-based bootstrap 95 % CIs. Exp. is the sign expected if the diagnostic</w:t>
      </w:r>
      <w:r>
        <w:t xml:space="preserve"> </w:t>
      </w:r>
      <w:r>
        <w:t xml:space="preserve">orders transfer. The member named is the one with the largest absolute correlation in its family,</w:t>
      </w:r>
      <w:r>
        <w:t xml:space="preserve"> </w:t>
      </w:r>
      <w:r>
        <w:t xml:space="preserve">which is not always in the expected direction. All twenty individual diagnostics are in Table S17.</w:t>
      </w:r>
    </w:p>
    <w:tbl>
      <w:tblPr>
        <w:tblStyle w:val="Table"/>
        <w:tblW w:type="auto" w:w="0"/>
        <w:tblLook w:firstRow="1" w:lastRow="0" w:firstColumn="0" w:lastColumn="0" w:noHBand="0" w:noVBand="0" w:val="0020"/>
      </w:tblPr>
      <w:tblGrid>
        <w:gridCol w:w="1535"/>
        <w:gridCol w:w="767"/>
        <w:gridCol w:w="279"/>
        <w:gridCol w:w="4116"/>
        <w:gridCol w:w="1116"/>
        <w:gridCol w:w="1256"/>
      </w:tblGrid>
      <w:tr>
        <w:trPr>
          <w:tblHeader w:val="on"/>
        </w:trPr>
        <w:tc>
          <w:tcPr>
            <w:tcW w:type="dxa" w:w="1535"/>
          </w:tcPr>
          <w:p>
            <w:pPr>
              <w:pStyle w:val="Compact"/>
            </w:pPr>
            <w:r>
              <w:t xml:space="preserve">Family</w:t>
            </w:r>
          </w:p>
        </w:tc>
        <w:tc>
          <w:tcPr>
            <w:tcW w:type="dxa" w:w="767"/>
          </w:tcPr>
          <w:p>
            <w:pPr>
              <w:pStyle w:val="Compact"/>
              <w:jc w:val="right"/>
            </w:pPr>
            <w:r>
              <w:t xml:space="preserve">Diagnostics</w:t>
            </w:r>
          </w:p>
        </w:tc>
        <w:tc>
          <w:tcPr>
            <w:tcW w:type="dxa" w:w="279"/>
          </w:tcPr>
          <w:p>
            <w:pPr>
              <w:pStyle w:val="Compact"/>
              <w:jc w:val="center"/>
            </w:pPr>
            <w:r>
              <w:t xml:space="preserve">Exp.</w:t>
            </w:r>
          </w:p>
        </w:tc>
        <w:tc>
          <w:tcPr>
            <w:tcW w:type="dxa" w:w="4116"/>
          </w:tcPr>
          <w:p>
            <w:pPr>
              <w:pStyle w:val="Compact"/>
            </w:pPr>
            <w:r>
              <w:t xml:space="preserve">Largest correlation in family</w:t>
            </w:r>
          </w:p>
        </w:tc>
        <w:tc>
          <w:tcPr>
            <w:tcW w:type="dxa" w:w="1116"/>
          </w:tcPr>
          <w:p>
            <w:pPr>
              <w:pStyle w:val="Compact"/>
              <w:jc w:val="center"/>
            </w:pPr>
            <w:r>
              <w:t xml:space="preserve">Sign as expected</w:t>
            </w:r>
          </w:p>
        </w:tc>
        <w:tc>
          <w:tcPr>
            <w:tcW w:type="dxa" w:w="1256"/>
          </w:tcPr>
          <w:p>
            <w:pPr>
              <w:pStyle w:val="Compact"/>
            </w:pPr>
            <w:r>
              <w:t xml:space="preserve">Any CI excluding 0</w:t>
            </w:r>
          </w:p>
        </w:tc>
      </w:tr>
      <w:tr>
        <w:tc>
          <w:tcPr>
            <w:tcW w:type="dxa" w:w="1535"/>
          </w:tcPr>
          <w:p>
            <w:pPr>
              <w:pStyle w:val="Compact"/>
            </w:pPr>
            <w:r>
              <w:rPr>
                <w:b/>
                <w:bCs/>
              </w:rPr>
              <w:t xml:space="preserve">P(y|x) conditional</w:t>
            </w:r>
          </w:p>
        </w:tc>
        <w:tc>
          <w:tcPr>
            <w:tcW w:type="dxa" w:w="767"/>
          </w:tcPr>
          <w:p>
            <w:pPr>
              <w:pStyle w:val="Compact"/>
              <w:jc w:val="right"/>
            </w:pPr>
            <w:r>
              <w:t xml:space="preserve">6</w:t>
            </w:r>
          </w:p>
        </w:tc>
        <w:tc>
          <w:tcPr>
            <w:tcW w:type="dxa" w:w="279"/>
          </w:tcPr>
          <w:p>
            <w:pPr>
              <w:pStyle w:val="Compact"/>
              <w:jc w:val="center"/>
            </w:pPr>
            <w:r>
              <w:t xml:space="preserve">+</w:t>
            </w:r>
          </w:p>
        </w:tc>
        <w:tc>
          <w:tcPr>
            <w:tcW w:type="dxa" w:w="4116"/>
          </w:tcPr>
          <w:p>
            <w:pPr>
              <w:pStyle w:val="Compact"/>
            </w:pPr>
            <w:r>
              <w:rPr>
                <w:b/>
                <w:bCs/>
              </w:rPr>
              <w:t xml:space="preserve">+0.84 [+0.58, +0.88]</w:t>
            </w:r>
            <w:r>
              <w:t xml:space="preserve"> </w:t>
            </w:r>
            <w:r>
              <w:t xml:space="preserve">agreement fraction, supported features</w:t>
            </w:r>
          </w:p>
        </w:tc>
        <w:tc>
          <w:tcPr>
            <w:tcW w:type="dxa" w:w="1116"/>
          </w:tcPr>
          <w:p>
            <w:pPr>
              <w:pStyle w:val="Compact"/>
              <w:jc w:val="center"/>
            </w:pPr>
            <w:r>
              <w:t xml:space="preserve">yes</w:t>
            </w:r>
          </w:p>
        </w:tc>
        <w:tc>
          <w:tcPr>
            <w:tcW w:type="dxa" w:w="1256"/>
          </w:tcPr>
          <w:p>
            <w:pPr>
              <w:pStyle w:val="Compact"/>
            </w:pPr>
            <w:r>
              <w:rPr>
                <w:b/>
                <w:bCs/>
              </w:rPr>
              <w:t xml:space="preserve">yes, 2 of 6</w:t>
            </w:r>
          </w:p>
        </w:tc>
      </w:tr>
      <w:tr>
        <w:tc>
          <w:tcPr>
            <w:tcW w:type="dxa" w:w="1535"/>
          </w:tcPr>
          <w:p>
            <w:pPr>
              <w:pStyle w:val="Compact"/>
            </w:pPr>
            <w:r>
              <w:t xml:space="preserve">P(x|y=1) niche overlap</w:t>
            </w:r>
          </w:p>
        </w:tc>
        <w:tc>
          <w:tcPr>
            <w:tcW w:type="dxa" w:w="767"/>
          </w:tcPr>
          <w:p>
            <w:pPr>
              <w:pStyle w:val="Compact"/>
              <w:jc w:val="right"/>
            </w:pPr>
            <w:r>
              <w:t xml:space="preserve">5</w:t>
            </w:r>
          </w:p>
        </w:tc>
        <w:tc>
          <w:tcPr>
            <w:tcW w:type="dxa" w:w="279"/>
          </w:tcPr>
          <w:p>
            <w:pPr>
              <w:pStyle w:val="Compact"/>
              <w:jc w:val="center"/>
            </w:pPr>
            <w:r>
              <w:t xml:space="preserve">+</w:t>
            </w:r>
          </w:p>
        </w:tc>
        <w:tc>
          <w:tcPr>
            <w:tcW w:type="dxa" w:w="4116"/>
          </w:tcPr>
          <w:p>
            <w:pPr>
              <w:pStyle w:val="Compact"/>
            </w:pPr>
            <w:r>
              <w:t xml:space="preserve">+0.24 [−0.45, +0.74] Schoener’s D, 1-D mean</w:t>
            </w:r>
          </w:p>
        </w:tc>
        <w:tc>
          <w:tcPr>
            <w:tcW w:type="dxa" w:w="1116"/>
          </w:tcPr>
          <w:p>
            <w:pPr>
              <w:pStyle w:val="Compact"/>
              <w:jc w:val="center"/>
            </w:pPr>
            <w:r>
              <w:t xml:space="preserve">yes</w:t>
            </w:r>
          </w:p>
        </w:tc>
        <w:tc>
          <w:tcPr>
            <w:tcW w:type="dxa" w:w="1256"/>
          </w:tcPr>
          <w:p>
            <w:pPr>
              <w:pStyle w:val="Compact"/>
            </w:pPr>
            <w:r>
              <w:t xml:space="preserve">no</w:t>
            </w:r>
          </w:p>
        </w:tc>
      </w:tr>
      <w:tr>
        <w:tc>
          <w:tcPr>
            <w:tcW w:type="dxa" w:w="1535"/>
          </w:tcPr>
          <w:p>
            <w:pPr>
              <w:pStyle w:val="Compact"/>
            </w:pPr>
            <w:r>
              <w:t xml:space="preserve">P(ix) marginal</w:t>
            </w:r>
          </w:p>
        </w:tc>
        <w:tc>
          <w:tcPr>
            <w:tcW w:type="dxa" w:w="767"/>
          </w:tcPr>
          <w:p>
            <w:pPr>
              <w:pStyle w:val="Compact"/>
              <w:jc w:val="right"/>
            </w:pPr>
            <w:r>
              <w:t xml:space="preserve">6</w:t>
            </w:r>
          </w:p>
        </w:tc>
        <w:tc>
          <w:tcPr>
            <w:tcW w:type="dxa" w:w="279"/>
          </w:tcPr>
          <w:p>
            <w:pPr>
              <w:pStyle w:val="Compact"/>
              <w:jc w:val="center"/>
            </w:pPr>
            <w:r>
              <w:t xml:space="preserve">−</w:t>
            </w:r>
          </w:p>
        </w:tc>
        <w:tc>
          <w:tcPr>
            <w:tcW w:type="dxa" w:w="4116"/>
          </w:tcPr>
          <w:p>
            <w:pPr>
              <w:pStyle w:val="Compact"/>
            </w:pPr>
            <w:r>
              <w:t xml:space="preserve">−0.32 [−0.78, +0.33] domain-classifier AUC</w:t>
            </w:r>
          </w:p>
        </w:tc>
        <w:tc>
          <w:tcPr>
            <w:tcW w:type="dxa" w:w="1116"/>
          </w:tcPr>
          <w:p>
            <w:pPr>
              <w:pStyle w:val="Compact"/>
              <w:jc w:val="center"/>
            </w:pPr>
            <w:r>
              <w:t xml:space="preserve">yes</w:t>
            </w:r>
          </w:p>
        </w:tc>
        <w:tc>
          <w:tcPr>
            <w:tcW w:type="dxa" w:w="1256"/>
          </w:tcPr>
          <w:p>
            <w:pPr>
              <w:pStyle w:val="Compact"/>
            </w:pPr>
            <w:r>
              <w:t xml:space="preserve">no</w:t>
            </w:r>
          </w:p>
        </w:tc>
      </w:tr>
      <w:tr>
        <w:tc>
          <w:tcPr>
            <w:tcW w:type="dxa" w:w="1535"/>
          </w:tcPr>
          <w:p>
            <w:pPr>
              <w:pStyle w:val="Compact"/>
            </w:pPr>
            <w:r>
              <w:t xml:space="preserve">P(y) regime structure</w:t>
            </w:r>
          </w:p>
        </w:tc>
        <w:tc>
          <w:tcPr>
            <w:tcW w:type="dxa" w:w="767"/>
          </w:tcPr>
          <w:p>
            <w:pPr>
              <w:pStyle w:val="Compact"/>
              <w:jc w:val="right"/>
            </w:pPr>
            <w:r>
              <w:t xml:space="preserve">2</w:t>
            </w:r>
          </w:p>
        </w:tc>
        <w:tc>
          <w:tcPr>
            <w:tcW w:type="dxa" w:w="279"/>
          </w:tcPr>
          <w:p>
            <w:pPr>
              <w:pStyle w:val="Compact"/>
              <w:jc w:val="center"/>
            </w:pPr>
            <w:r>
              <w:t xml:space="preserve">−</w:t>
            </w:r>
          </w:p>
        </w:tc>
        <w:tc>
          <w:tcPr>
            <w:tcW w:type="dxa" w:w="4116"/>
          </w:tcPr>
          <w:p>
            <w:pPr>
              <w:pStyle w:val="Compact"/>
            </w:pPr>
            <w:r>
              <w:t xml:space="preserve">+0.29 [−0.38, +0.74] log effective-N distance</w:t>
            </w:r>
          </w:p>
        </w:tc>
        <w:tc>
          <w:tcPr>
            <w:tcW w:type="dxa" w:w="1116"/>
          </w:tcPr>
          <w:p>
            <w:pPr>
              <w:pStyle w:val="Compact"/>
              <w:jc w:val="center"/>
            </w:pPr>
            <w:r>
              <w:rPr>
                <w:b/>
                <w:bCs/>
              </w:rPr>
              <w:t xml:space="preserve">no</w:t>
            </w:r>
          </w:p>
        </w:tc>
        <w:tc>
          <w:tcPr>
            <w:tcW w:type="dxa" w:w="1256"/>
          </w:tcPr>
          <w:p>
            <w:pPr>
              <w:pStyle w:val="Compact"/>
            </w:pPr>
            <w:r>
              <w:t xml:space="preserve">no</w:t>
            </w:r>
          </w:p>
        </w:tc>
      </w:tr>
      <w:tr>
        <w:tc>
          <w:tcPr>
            <w:tcW w:type="dxa" w:w="1535"/>
          </w:tcPr>
          <w:p>
            <w:pPr>
              <w:pStyle w:val="Compact"/>
            </w:pPr>
            <w:r>
              <w:t xml:space="preserve">geographic</w:t>
            </w:r>
          </w:p>
        </w:tc>
        <w:tc>
          <w:tcPr>
            <w:tcW w:type="dxa" w:w="767"/>
          </w:tcPr>
          <w:p>
            <w:pPr>
              <w:pStyle w:val="Compact"/>
              <w:jc w:val="right"/>
            </w:pPr>
            <w:r>
              <w:t xml:space="preserve">1</w:t>
            </w:r>
          </w:p>
        </w:tc>
        <w:tc>
          <w:tcPr>
            <w:tcW w:type="dxa" w:w="279"/>
          </w:tcPr>
          <w:p>
            <w:pPr>
              <w:pStyle w:val="Compact"/>
              <w:jc w:val="center"/>
            </w:pPr>
            <w:r>
              <w:t xml:space="preserve">−</w:t>
            </w:r>
          </w:p>
        </w:tc>
        <w:tc>
          <w:tcPr>
            <w:tcW w:type="dxa" w:w="4116"/>
          </w:tcPr>
          <w:p>
            <w:pPr>
              <w:pStyle w:val="Compact"/>
            </w:pPr>
            <w:r>
              <w:t xml:space="preserve">−0.24 [−0.84, +0.73] centroid geodesic distance</w:t>
            </w:r>
          </w:p>
        </w:tc>
        <w:tc>
          <w:tcPr>
            <w:tcW w:type="dxa" w:w="1116"/>
          </w:tcPr>
          <w:p>
            <w:pPr>
              <w:pStyle w:val="Compact"/>
              <w:jc w:val="center"/>
            </w:pPr>
            <w:r>
              <w:t xml:space="preserve">yes</w:t>
            </w:r>
          </w:p>
        </w:tc>
        <w:tc>
          <w:tcPr>
            <w:tcW w:type="dxa" w:w="1256"/>
          </w:tcPr>
          <w:p>
            <w:pPr>
              <w:pStyle w:val="Compact"/>
            </w:pPr>
            <w:r>
              <w:t xml:space="preserve">no</w:t>
            </w:r>
          </w:p>
        </w:tc>
      </w:tr>
    </w:tbl>
    <w:p>
      <w:pPr>
        <w:pStyle w:val="BodyText"/>
      </w:pPr>
      <w:r>
        <w:rPr>
          <w:b/>
          <w:bCs/>
        </w:rPr>
        <w:t xml:space="preserve">Only two diagnostics have intervals excluding zero, and both are conditional</w:t>
      </w:r>
      <w:r>
        <w:t xml:space="preserve">: the sign-agreement</w:t>
      </w:r>
      <w:r>
        <w:t xml:space="preserve"> </w:t>
      </w:r>
      <w:r>
        <w:t xml:space="preserve">fraction over interval-supported features at ρ = +0.84 [+0.58, +0.88], and its cosine variant at</w:t>
      </w:r>
      <w:r>
        <w:t xml:space="preserve"> </w:t>
      </w:r>
      <w:r>
        <w:t xml:space="preserve">+0.81. No marginal measure was shown to order the matrix, including area-of-applicability</w:t>
      </w:r>
      <w:r>
        <w:t xml:space="preserve"> </w:t>
      </w:r>
      <w:r>
        <w:t xml:space="preserve">dissimilarity, climatic distance and geographic distance, and neither were the niche-overlap and</w:t>
      </w:r>
      <w:r>
        <w:t xml:space="preserve"> </w:t>
      </w:r>
      <w:r>
        <w:t xml:space="preserve">regime families. The learned domain classifier is at ceiling, separating source from target at</w:t>
      </w:r>
      <w:r>
        <w:t xml:space="preserve"> </w:t>
      </w:r>
      <w:r>
        <w:t xml:space="preserve">AUC ≥ 0.96 for every pair, so it always succeeds and carries no ordering information. Geographic</w:t>
      </w:r>
      <w:r>
        <w:t xml:space="preserve"> </w:t>
      </w:r>
      <w:r>
        <w:t xml:space="preserve">separation is a single diagnostic here, centroid distance over the twelve directions for which the</w:t>
      </w:r>
      <w:r>
        <w:t xml:space="preserve"> </w:t>
      </w:r>
      <w:r>
        <w:t xml:space="preserve">pipeline author’s export defines it, at ρ = −0.24 [−0.84, +0.73]: in the expected direction and</w:t>
      </w:r>
      <w:r>
        <w:t xml:space="preserve"> </w:t>
      </w:r>
      <w:r>
        <w:t xml:space="preserve">spanning zero.</w:t>
      </w:r>
    </w:p>
    <w:p>
      <w:pPr>
        <w:pStyle w:val="BodyText"/>
      </w:pPr>
      <w:r>
        <w:t xml:space="preserve">Four limits are stated with the result.</w:t>
      </w:r>
      <w:r>
        <w:t xml:space="preserve"> </w:t>
      </w:r>
      <w:r>
        <w:rPr>
          <w:b/>
          <w:bCs/>
        </w:rPr>
        <w:t xml:space="preserve">Size</w:t>
      </w:r>
      <w:r>
        <w:t xml:space="preserve">: the index’s tie structure caps the achievable</w:t>
      </w:r>
      <w:r>
        <w:t xml:space="preserve"> </w:t>
      </w:r>
      <w:r>
        <w:t xml:space="preserve">Spearman at +0.861, so the observed +0.840 sits on that ceiling, and its exact one-sided permutation</w:t>
      </w:r>
      <w:r>
        <w:t xml:space="preserve"> </w:t>
      </w:r>
      <w:r>
        <w:t xml:space="preserve">p of 0.0060 — 240 of the 8! = 40,320 relabellings of the</w:t>
      </w:r>
      <w:r>
        <w:t xml:space="preserve"> </w:t>
      </w:r>
      <w:r>
        <w:rPr>
          <w:b/>
          <w:bCs/>
        </w:rPr>
        <w:t xml:space="preserve">eight</w:t>
      </w:r>
      <w:r>
        <w:t xml:space="preserve"> </w:t>
      </w:r>
      <w:r>
        <w:t xml:space="preserve">pairs on which the index is</w:t>
      </w:r>
      <w:r>
        <w:t xml:space="preserve"> </w:t>
      </w:r>
      <w:r>
        <w:t xml:space="preserve">defined — is the smallest that structure can produce, against a Bonferroni threshold of</w:t>
      </w:r>
      <w:r>
        <w:t xml:space="preserve"> </w:t>
      </w:r>
      <w:r>
        <w:t xml:space="preserve">0.05/19 = 0.0026.</w:t>
      </w:r>
      <w:r>
        <w:t xml:space="preserve"> </w:t>
      </w:r>
      <w:r>
        <w:rPr>
          <w:b/>
          <w:bCs/>
        </w:rPr>
        <w:t xml:space="preserve">No outcome of this diagnostic could have cleared family-wise correction.</w:t>
      </w:r>
      <w:r>
        <w:t xml:space="preserve"> </w:t>
      </w:r>
      <w:r>
        <w:rPr>
          <w:b/>
          <w:bCs/>
        </w:rPr>
        <w:t xml:space="preserve">Labels</w:t>
      </w:r>
      <w:r>
        <w:t xml:space="preserve">: signed associations need burned labels in both regions, so the family that appears to</w:t>
      </w:r>
      <w:r>
        <w:t xml:space="preserve"> </w:t>
      </w:r>
      <w:r>
        <w:t xml:space="preserve">work is not available before deployment while the family that fails is.</w:t>
      </w:r>
      <w:r>
        <w:t xml:space="preserve"> </w:t>
      </w:r>
      <w:r>
        <w:rPr>
          <w:b/>
          <w:bCs/>
        </w:rPr>
        <w:t xml:space="preserve">Selection</w:t>
      </w:r>
      <w:r>
        <w:t xml:space="preserve">, the sharpest:</w:t>
      </w:r>
      <w:r>
        <w:t xml:space="preserve"> </w:t>
      </w:r>
      <w:r>
        <w:t xml:space="preserve">the two rows that clear zero are the</w:t>
      </w:r>
      <w:r>
        <w:t xml:space="preserve"> </w:t>
      </w:r>
      <w:r>
        <w:rPr>
          <w:i/>
          <w:iCs/>
        </w:rPr>
        <w:t xml:space="preserve">supported-feature</w:t>
      </w:r>
      <w:r>
        <w:t xml:space="preserve"> </w:t>
      </w:r>
      <w:r>
        <w:t xml:space="preserve">variants, whose subset is chosen by whether</w:t>
      </w:r>
      <w:r>
        <w:t xml:space="preserve"> </w:t>
      </w:r>
      <w:r>
        <w:t xml:space="preserve">two regions’ bootstrap intervals happen to be disjoint — a data-dependent selection on the same data,</w:t>
      </w:r>
      <w:r>
        <w:t xml:space="preserve"> </w:t>
      </w:r>
      <w:r>
        <w:t xml:space="preserve">with no correction; their unselected counterparts over all nine features are ρ = +0.50 [−0.17, +0.83]</w:t>
      </w:r>
      <w:r>
        <w:t xml:space="preserve"> </w:t>
      </w:r>
      <w:r>
        <w:t xml:space="preserve">and +0.18 [−0.40, +0.72], both spanning zero, so</w:t>
      </w:r>
      <w:r>
        <w:t xml:space="preserve"> </w:t>
      </w:r>
      <w:r>
        <w:rPr>
          <w:b/>
          <w:bCs/>
        </w:rPr>
        <w:t xml:space="preserve">the result lives in the selection step</w:t>
      </w:r>
      <w:r>
        <w:t xml:space="preserve">.</w:t>
      </w:r>
      <w:r>
        <w:t xml:space="preserve"> </w:t>
      </w:r>
      <w:r>
        <w:rPr>
          <w:b/>
          <w:bCs/>
        </w:rPr>
        <w:t xml:space="preserve">Frame</w:t>
      </w:r>
      <w:r>
        <w:t xml:space="preserve">, established in Section 4.4, removes it entirely. Recomputing every row on the common</w:t>
      </w:r>
      <w:r>
        <w:t xml:space="preserve"> </w:t>
      </w:r>
      <w:r>
        <w:t xml:space="preserve">twelve directions reproduces the published values to 4.8 × 10⁻⁵ and leaves the ordering unchanged, so</w:t>
      </w:r>
      <w:r>
        <w:t xml:space="preserve"> </w:t>
      </w:r>
      <w:r>
        <w:t xml:space="preserve">it is not an artefact of unequal samples (Section S2). Everything here is what the original protocol</w:t>
      </w:r>
      <w:r>
        <w:t xml:space="preserve"> </w:t>
      </w:r>
      <w:r>
        <w:t xml:space="preserve">yields; the conclusion that survives is that</w:t>
      </w:r>
      <w:r>
        <w:t xml:space="preserve"> </w:t>
      </w:r>
      <w:r>
        <w:rPr>
          <w:b/>
          <w:bCs/>
        </w:rPr>
        <w:t xml:space="preserve">no diagnostic tested here was shown to order transfer</w:t>
      </w:r>
      <w:r>
        <w:rPr>
          <w:b/>
          <w:bCs/>
        </w:rPr>
        <w:t xml:space="preserve"> </w:t>
      </w:r>
      <w:r>
        <w:rPr>
          <w:b/>
          <w:bCs/>
        </w:rPr>
        <w:t xml:space="preserve">once the frames are comparable</w:t>
      </w:r>
      <w:r>
        <w:t xml:space="preserve">.</w:t>
      </w:r>
    </w:p>
    <w:p>
      <w:pPr>
        <w:pStyle w:val="BodyText"/>
      </w:pPr>
      <w:r>
        <w:rPr>
          <w:b/>
          <w:bCs/>
        </w:rPr>
        <w:t xml:space="preserve">From 04_results.md.</w:t>
      </w:r>
      <w:r>
        <w:t xml:space="preserve"> </w:t>
      </w:r>
      <w:r>
        <w:t xml:space="preserve">; and the contrast pair shows the most burned-niche overlap sitting with the weakest</w:t>
      </w:r>
      <w:r>
        <w:t xml:space="preserve"> </w:t>
      </w:r>
      <w:r>
        <w:t xml:space="preserve">transfer (Fig. 8)</w:t>
      </w:r>
    </w:p>
    <w:p>
      <w:pPr>
        <w:pStyle w:val="BodyText"/>
      </w:pPr>
      <w:r>
        <w:rPr>
          <w:b/>
          <w:bCs/>
        </w:rPr>
        <w:t xml:space="preserve">From 05_discussion.md.</w:t>
      </w:r>
      <w:r>
        <w:t xml:space="preserve"> </w:t>
      </w:r>
      <w:r>
        <w:t xml:space="preserve">## S4.4 Why the diagnostics fail, and what the conditional one is not (former Section 5.3)</w:t>
      </w:r>
    </w:p>
    <w:p>
      <w:pPr>
        <w:pStyle w:val="BodyText"/>
      </w:pPr>
      <w:r>
        <w:t xml:space="preserve">A diagnostic built on distance in predictor space asks whether the target’s predictor values look</w:t>
      </w:r>
      <w:r>
        <w:t xml:space="preserve"> </w:t>
      </w:r>
      <w:r>
        <w:t xml:space="preserve">like the training data’s, which is not the question that matters when the failure is conditional: a</w:t>
      </w:r>
      <w:r>
        <w:t xml:space="preserve"> </w:t>
      </w:r>
      <w:r>
        <w:t xml:space="preserve">target region can sit well inside the training envelope while the relationship between those</w:t>
      </w:r>
      <w:r>
        <w:t xml:space="preserve"> </w:t>
      </w:r>
      <w:r>
        <w:t xml:space="preserve">predictors and burning points the other way. Manavgat to Muğla is exactly that case,</w:t>
      </w:r>
      <w:r>
        <w:t xml:space="preserve"> </w:t>
      </w:r>
      <w:r>
        <w:t xml:space="preserve">with 0.875 of target cells inside the full-frame area of applicability and transfer among the weakest</w:t>
      </w:r>
      <w:r>
        <w:t xml:space="preserve"> </w:t>
      </w:r>
      <w:r>
        <w:t xml:space="preserve">in the matrix</w:t>
      </w:r>
      <w:r>
        <w:t xml:space="preserve"> </w:t>
      </w:r>
      <w:r>
        <w:rPr>
          <w:b/>
          <w:bCs/>
        </w:rPr>
        <w:t xml:space="preserve">on either frame</w:t>
      </w:r>
      <w:r>
        <w:t xml:space="preserve">, while the least similar pair transfers better (Section S1.16).</w:t>
      </w:r>
      <w:r>
        <w:t xml:space="preserve"> </w:t>
      </w:r>
      <w:r>
        <w:t xml:space="preserve">High overlap does not buy transfer.</w:t>
      </w:r>
      <w:r>
        <w:t xml:space="preserve"> </w:t>
      </w:r>
      <w:r>
        <w:rPr>
          <w:b/>
          <w:bCs/>
        </w:rPr>
        <w:t xml:space="preserve">The qualifier is not decorative</w:t>
      </w:r>
      <w:r>
        <w:t xml:space="preserve">: at the 5 km blocking this</w:t>
      </w:r>
      <w:r>
        <w:t xml:space="preserve"> </w:t>
      </w:r>
      <w:r>
        <w:t xml:space="preserve">paper otherwise defends neither contrasted direction carries a verdict, so this is a statement about</w:t>
      </w:r>
      <w:r>
        <w:t xml:space="preserve"> </w:t>
      </w:r>
      <w:r>
        <w:t xml:space="preserve">point estimates. The domain classifier is at ceiling for every pair, so separability carries no</w:t>
      </w:r>
      <w:r>
        <w:t xml:space="preserve"> </w:t>
      </w:r>
      <w:r>
        <w:t xml:space="preserve">ordering information either.</w:t>
      </w:r>
    </w:p>
    <w:p>
      <w:pPr>
        <w:pStyle w:val="BodyText"/>
      </w:pPr>
      <w:r>
        <w:t xml:space="preserve">The two conditional variants that did clear zero are not a remedy. Section S4 states four limits</w:t>
      </w:r>
      <w:r>
        <w:t xml:space="preserve"> </w:t>
      </w:r>
      <w:r>
        <w:t xml:space="preserve">with them: a tie-structure ceiling and a family-wise threshold</w:t>
      </w:r>
      <w:r>
        <w:t xml:space="preserve"> </w:t>
      </w:r>
      <w:r>
        <w:rPr>
          <w:b/>
          <w:bCs/>
        </w:rPr>
        <w:t xml:space="preserve">no outcome could have cleared</w:t>
      </w:r>
      <w:r>
        <w:t xml:space="preserve">, a</w:t>
      </w:r>
      <w:r>
        <w:t xml:space="preserve"> </w:t>
      </w:r>
      <w:r>
        <w:t xml:space="preserve">label requirement that makes it a mechanism diagnosis rather than a screen, a feature subset selected</w:t>
      </w:r>
      <w:r>
        <w:t xml:space="preserve"> </w:t>
      </w:r>
      <w:r>
        <w:t xml:space="preserve">on the same data, and the frame, which removes the result altogether — the index is built from signed</w:t>
      </w:r>
      <w:r>
        <w:t xml:space="preserve"> </w:t>
      </w:r>
      <w:r>
        <w:t xml:space="preserve">associations Section 4.4 shows to be frame artefacts. So the practical conclusion is not</w:t>
      </w:r>
      <w:r>
        <w:t xml:space="preserve"> </w:t>
      </w:r>
      <w:r>
        <w:t xml:space="preserve">“use this index</w:t>
      </w:r>
      <w:r>
        <w:t xml:space="preserve"> </w:t>
      </w:r>
      <w:r>
        <w:t xml:space="preserve">instead”</w:t>
      </w:r>
      <w:r>
        <w:t xml:space="preserve">, nor even</w:t>
      </w:r>
      <w:r>
        <w:t xml:space="preserve"> </w:t>
      </w:r>
      <w:r>
        <w:t xml:space="preserve">“it works but needs labels”</w:t>
      </w:r>
      <w:r>
        <w:t xml:space="preserve">:</w:t>
      </w:r>
      <w:r>
        <w:t xml:space="preserve"> </w:t>
      </w:r>
      <w:r>
        <w:rPr>
          <w:b/>
          <w:bCs/>
        </w:rPr>
        <w:t xml:space="preserve">none of the twenty candidates was shown to order</w:t>
      </w:r>
      <w:r>
        <w:rPr>
          <w:b/>
          <w:bCs/>
        </w:rPr>
        <w:t xml:space="preserve"> </w:t>
      </w:r>
      <w:r>
        <w:rPr>
          <w:b/>
          <w:bCs/>
        </w:rPr>
        <w:t xml:space="preserve">transfer</w:t>
      </w:r>
      <w:r>
        <w:t xml:space="preserve">, and the two that appeared to were reading how the rectangles were drawn — nulls on ten</w:t>
      </w:r>
      <w:r>
        <w:t xml:space="preserve"> </w:t>
      </w:r>
      <w:r>
        <w:t xml:space="preserve">effective pairs, not shown to order transfer rather than shown incapable of it.</w:t>
      </w:r>
    </w:p>
    <w:p>
      <w:pPr>
        <w:pStyle w:val="BodyText"/>
      </w:pPr>
      <w:r>
        <w:rPr>
          <w:b/>
          <w:bCs/>
        </w:rPr>
        <w:t xml:space="preserve">The two diagnostic tables.</w:t>
      </w:r>
      <w:r>
        <w:t xml:space="preserve"> </w:t>
      </w:r>
      <w:r>
        <w:t xml:space="preserve">Table S17 and Table S18 are in Section S2.</w:t>
      </w:r>
    </w:p>
    <w:bookmarkStart w:id="71" w:name="Xece06d7b3bede04a2c285e453de45b9d1708774"/>
    <w:p>
      <w:pPr>
        <w:pStyle w:val="Heading2"/>
      </w:pPr>
      <w:r>
        <w:t xml:space="preserve">S4.5 The signed univariate associations the reversal claim rests on (former note to Table S9)</w:t>
      </w:r>
    </w:p>
    <w:p>
      <w:pPr>
        <w:pStyle w:val="FirstParagraph"/>
      </w:pPr>
      <w:r>
        <w:t xml:space="preserve">Section S1.14 drops two predictors because their signed association with burning reverses between</w:t>
      </w:r>
      <w:r>
        <w:t xml:space="preserve"> </w:t>
      </w:r>
      <w:r>
        <w:t xml:space="preserve">regions with bootstrap support on the frames as drawn. Section 4.4 shows that both supported</w:t>
      </w:r>
      <w:r>
        <w:t xml:space="preserve"> </w:t>
      </w:r>
      <w:r>
        <w:t xml:space="preserve">elevation reversals disappear once the frames are equalised, so this table is the evidence for the</w:t>
      </w:r>
      <w:r>
        <w:t xml:space="preserve"> </w:t>
      </w:r>
      <w:r>
        <w:t xml:space="preserve">feature-removal arm and for the narrowed mechanism claim inside Contribution 1, not for a general reversal</w:t>
      </w:r>
      <w:r>
        <w:t xml:space="preserve"> </w:t>
      </w:r>
      <w:r>
        <w:t xml:space="preserve">mechanism. It was computed for the frozen analysis and is reproduced here because the claim</w:t>
      </w:r>
      <w:r>
        <w:t xml:space="preserve"> </w:t>
      </w:r>
      <w:r>
        <w:t xml:space="preserve">is otherwise asserted rather than shown.</w:t>
      </w:r>
    </w:p>
    <w:bookmarkEnd w:id="71"/>
    <w:bookmarkStart w:id="72" w:name="s4.6-the-contrast-pair-figure"/>
    <w:p>
      <w:pPr>
        <w:pStyle w:val="Heading2"/>
      </w:pPr>
      <w:r>
        <w:t xml:space="preserve">S4.6 The contrast-pair figure</w:t>
      </w:r>
    </w:p>
    <w:p>
      <w:pPr>
        <w:pStyle w:val="FirstParagraph"/>
      </w:pPr>
      <w:r>
        <w:rPr>
          <w:b/>
          <w:bCs/>
        </w:rPr>
        <w:t xml:space="preserve">Superseded (frozen label).</w:t>
      </w:r>
      <w:r>
        <w:t xml:space="preserve"> </w:t>
      </w:r>
      <w:r>
        <w:t xml:space="preserve">The figure is now Fig. 8 of the main text, rebuilt on the corrected</w:t>
      </w:r>
      <w:r>
        <w:t xml:space="preserve"> </w:t>
      </w:r>
      <w:r>
        <w:t xml:space="preserve">label; its caption is in</w:t>
      </w:r>
      <w:r>
        <w:t xml:space="preserve"> </w:t>
      </w:r>
      <w:r>
        <w:rPr>
          <w:rStyle w:val="VerbatimChar"/>
        </w:rPr>
        <w:t xml:space="preserve">paper/figure_captions.tex</w:t>
      </w:r>
      <w:r>
        <w:t xml:space="preserve">. The caption below is the frozen-label one,</w:t>
      </w:r>
      <w:r>
        <w:t xml:space="preserve"> </w:t>
      </w:r>
      <w:r>
        <w:t xml:space="preserve">kept as a dated record. This figure illustrated the diagnostics result and goes with it. Its source is</w:t>
      </w:r>
      <w:r>
        <w:t xml:space="preserve"> </w:t>
      </w:r>
      <w:r>
        <w:rPr>
          <w:rStyle w:val="VerbatimChar"/>
        </w:rPr>
        <w:t xml:space="preserve">paper/figures/fig8_contrast_pairs.py</w:t>
      </w:r>
      <w:r>
        <w:t xml:space="preserve"> </w:t>
      </w:r>
      <w:r>
        <w:t xml:space="preserve">and the vector output is</w:t>
      </w:r>
      <w:r>
        <w:t xml:space="preserve"> </w:t>
      </w:r>
      <w:r>
        <w:rPr>
          <w:rStyle w:val="VerbatimChar"/>
        </w:rPr>
        <w:t xml:space="preserve">paper/figures/fig8_contrast_pairs.pdf</w:t>
      </w:r>
      <w:r>
        <w:t xml:space="preserve">. The caption as it stood:</w:t>
      </w:r>
    </w:p>
    <w:p>
      <w:pPr>
        <w:pStyle w:val="SourceCode"/>
      </w:pPr>
      <w:r>
        <w:rPr>
          <w:rStyle w:val="KeywordTok"/>
        </w:rPr>
        <w:t xml:space="preserve">\begin</w:t>
      </w:r>
      <w:r>
        <w:rPr>
          <w:rStyle w:val="NormalTok"/>
        </w:rPr>
        <w:t xml:space="preserve">{</w:t>
      </w:r>
      <w:r>
        <w:rPr>
          <w:rStyle w:val="ExtensionTok"/>
        </w:rPr>
        <w:t xml:space="preserve">figure</w:t>
      </w:r>
      <w:r>
        <w:rPr>
          <w:rStyle w:val="NormalTok"/>
        </w:rPr>
        <w:t xml:space="preserve">}[htbp]</w:t>
      </w:r>
      <w:r>
        <w:br/>
      </w:r>
      <w:r>
        <w:rPr>
          <w:rStyle w:val="NormalTok"/>
        </w:rPr>
        <w:t xml:space="preserve">  </w:t>
      </w:r>
      <w:r>
        <w:rPr>
          <w:rStyle w:val="FunctionTok"/>
        </w:rPr>
        <w:t xml:space="preserve">\centering</w:t>
      </w:r>
      <w:r>
        <w:br/>
      </w:r>
      <w:r>
        <w:rPr>
          <w:rStyle w:val="NormalTok"/>
        </w:rPr>
        <w:t xml:space="preserve">  </w:t>
      </w:r>
      <w:r>
        <w:rPr>
          <w:rStyle w:val="FunctionTok"/>
        </w:rPr>
        <w:t xml:space="preserve">\makebox</w:t>
      </w:r>
      <w:r>
        <w:rPr>
          <w:rStyle w:val="NormalTok"/>
        </w:rPr>
        <w:t xml:space="preserve">[</w:t>
      </w:r>
      <w:r>
        <w:rPr>
          <w:rStyle w:val="FunctionTok"/>
        </w:rPr>
        <w:t xml:space="preserve">\linewidth</w:t>
      </w:r>
      <w:r>
        <w:rPr>
          <w:rStyle w:val="NormalTok"/>
        </w:rPr>
        <w:t xml:space="preserve">][c]{</w:t>
      </w:r>
      <w:r>
        <w:rPr>
          <w:rStyle w:val="BuiltInTok"/>
        </w:rPr>
        <w:t xml:space="preserve">\includegraphics</w:t>
      </w:r>
      <w:r>
        <w:rPr>
          <w:rStyle w:val="NormalTok"/>
        </w:rPr>
        <w:t xml:space="preserve">[width=140mm]{</w:t>
      </w:r>
      <w:r>
        <w:rPr>
          <w:rStyle w:val="ExtensionTok"/>
        </w:rPr>
        <w:t xml:space="preserve">figures/fig8_contrast_pairs.pdf</w:t>
      </w:r>
      <w:r>
        <w:rPr>
          <w:rStyle w:val="NormalTok"/>
        </w:rPr>
        <w:t xml:space="preserve">}}</w:t>
      </w:r>
      <w:r>
        <w:br/>
      </w:r>
      <w:r>
        <w:rPr>
          <w:rStyle w:val="NormalTok"/>
        </w:rPr>
        <w:t xml:space="preserve">  </w:t>
      </w:r>
      <w:r>
        <w:rPr>
          <w:rStyle w:val="FunctionTok"/>
        </w:rPr>
        <w:t xml:space="preserve">\caption</w:t>
      </w:r>
      <w:r>
        <w:rPr>
          <w:rStyle w:val="NormalTok"/>
        </w:rPr>
        <w:t xml:space="preserve">{</w:t>
      </w:r>
      <w:r>
        <w:rPr>
          <w:rStyle w:val="FunctionTok"/>
        </w:rPr>
        <w:t xml:space="preserve">\textbf</w:t>
      </w:r>
      <w:r>
        <w:rPr>
          <w:rStyle w:val="NormalTok"/>
        </w:rPr>
        <w:t xml:space="preserve">{Burned-niche overlap does not determine transfer: the</w:t>
      </w:r>
      <w:r>
        <w:br/>
      </w:r>
      <w:r>
        <w:rPr>
          <w:rStyle w:val="NormalTok"/>
        </w:rPr>
        <w:t xml:space="preserve">  contrast pair.} Per-feature signed univariate AUC, the probability that a</w:t>
      </w:r>
      <w:r>
        <w:br/>
      </w:r>
      <w:r>
        <w:rPr>
          <w:rStyle w:val="NormalTok"/>
        </w:rPr>
        <w:t xml:space="preserve">  predictor takes a higher value on a burned cell than on an unburned one,</w:t>
      </w:r>
      <w:r>
        <w:br/>
      </w:r>
      <w:r>
        <w:rPr>
          <w:rStyle w:val="NormalTok"/>
        </w:rPr>
        <w:t xml:space="preserve">  for the two most informative region pairs, natural-vegetation primary</w:t>
      </w:r>
      <w:r>
        <w:br/>
      </w:r>
      <w:r>
        <w:rPr>
          <w:rStyle w:val="NormalTok"/>
        </w:rPr>
        <w:t xml:space="preserve">  population. Arrows run from chance (0.5) to the observed value, so their</w:t>
      </w:r>
      <w:r>
        <w:br/>
      </w:r>
      <w:r>
        <w:rPr>
          <w:rStyle w:val="NormalTok"/>
        </w:rPr>
        <w:t xml:space="preserve">  direction is the sign of the association and their length its strength;</w:t>
      </w:r>
      <w:r>
        <w:br/>
      </w:r>
      <w:r>
        <w:rPr>
          <w:rStyle w:val="NormalTok"/>
        </w:rPr>
        <w:t xml:space="preserve">  whiskers are 95</w:t>
      </w:r>
      <w:r>
        <w:rPr>
          <w:rStyle w:val="FunctionTok"/>
        </w:rPr>
        <w:t xml:space="preserve">\%</w:t>
      </w:r>
      <w:r>
        <w:rPr>
          <w:rStyle w:val="NormalTok"/>
        </w:rPr>
        <w:t xml:space="preserve"> spatial-block (</w:t>
      </w:r>
      <w:r>
        <w:rPr>
          <w:rStyle w:val="SpecialStringTok"/>
        </w:rPr>
        <w:t xml:space="preserve">$</w:t>
      </w:r>
      <w:r>
        <w:rPr>
          <w:rStyle w:val="SpecialCharTok"/>
        </w:rPr>
        <w:t xml:space="preserve">\approx</w:t>
      </w:r>
      <w:r>
        <w:rPr>
          <w:rStyle w:val="SpecialStringTok"/>
        </w:rPr>
        <w:t xml:space="preserve">$</w:t>
      </w:r>
      <w:r>
        <w:rPr>
          <w:rStyle w:val="NormalTok"/>
        </w:rPr>
        <w:t xml:space="preserve">5</w:t>
      </w:r>
      <w:r>
        <w:rPr>
          <w:rStyle w:val="FunctionTok"/>
        </w:rPr>
        <w:t xml:space="preserve">\,</w:t>
      </w:r>
      <w:r>
        <w:rPr>
          <w:rStyle w:val="NormalTok"/>
        </w:rPr>
        <w:t xml:space="preserve">km) bootstrap intervals.</w:t>
      </w:r>
      <w:r>
        <w:br/>
      </w:r>
      <w:r>
        <w:rPr>
          <w:rStyle w:val="NormalTok"/>
        </w:rPr>
        <w:t xml:space="preserve">  Within each pair the two regions are distinguished by colour, by line style</w:t>
      </w:r>
      <w:r>
        <w:br/>
      </w:r>
      <w:r>
        <w:rPr>
          <w:rStyle w:val="NormalTok"/>
        </w:rPr>
        <w:t xml:space="preserve">  (solid for the first region named, dashed for the second) and by vertical</w:t>
      </w:r>
      <w:r>
        <w:br/>
      </w:r>
      <w:r>
        <w:rPr>
          <w:rStyle w:val="NormalTok"/>
        </w:rPr>
        <w:t xml:space="preserve">  offset; line style is included because the two hues differ by only 2.30:1 in</w:t>
      </w:r>
      <w:r>
        <w:br/>
      </w:r>
      <w:r>
        <w:rPr>
          <w:rStyle w:val="NormalTok"/>
        </w:rPr>
        <w:t xml:space="preserve">  relative luminance and would nearly merge in greyscale.</w:t>
      </w:r>
      <w:r>
        <w:br/>
      </w:r>
      <w:r>
        <w:rPr>
          <w:rStyle w:val="NormalTok"/>
        </w:rPr>
        <w:t xml:space="preserve">  </w:t>
      </w:r>
      <w:r>
        <w:rPr>
          <w:rStyle w:val="FunctionTok"/>
        </w:rPr>
        <w:t xml:space="preserve">\textbf</w:t>
      </w:r>
      <w:r>
        <w:rPr>
          <w:rStyle w:val="NormalTok"/>
        </w:rPr>
        <w:t xml:space="preserve">{A filled arrowhead means that region's 95</w:t>
      </w:r>
      <w:r>
        <w:rPr>
          <w:rStyle w:val="FunctionTok"/>
        </w:rPr>
        <w:t xml:space="preserve">\%</w:t>
      </w:r>
      <w:r>
        <w:rPr>
          <w:rStyle w:val="NormalTok"/>
        </w:rPr>
        <w:t xml:space="preserve"> interval excludes 0.5, so</w:t>
      </w:r>
      <w:r>
        <w:br/>
      </w:r>
      <w:r>
        <w:rPr>
          <w:rStyle w:val="NormalTok"/>
        </w:rPr>
        <w:t xml:space="preserve">  the direction is statistically supported; an open arrowhead means the</w:t>
      </w:r>
      <w:r>
        <w:br/>
      </w:r>
      <w:r>
        <w:rPr>
          <w:rStyle w:val="NormalTok"/>
        </w:rPr>
        <w:t xml:space="preserve">  interval contains 0.5 and the direction is not supported.} Rows shaded grey</w:t>
      </w:r>
      <w:r>
        <w:br/>
      </w:r>
      <w:r>
        <w:rPr>
          <w:rStyle w:val="NormalTok"/>
        </w:rPr>
        <w:t xml:space="preserve">  are features whose sign disagrees between the two regions. Grey side bars are</w:t>
      </w:r>
      <w:r>
        <w:br/>
      </w:r>
      <w:r>
        <w:rPr>
          <w:rStyle w:val="NormalTok"/>
        </w:rPr>
        <w:t xml:space="preserve">  the per-feature Schoener's </w:t>
      </w:r>
      <w:r>
        <w:rPr>
          <w:rStyle w:val="SpecialStringTok"/>
        </w:rPr>
        <w:t xml:space="preserve">$D$</w:t>
      </w:r>
      <w:r>
        <w:rPr>
          <w:rStyle w:val="NormalTok"/>
        </w:rPr>
        <w:t xml:space="preserve"> overlap.</w:t>
      </w:r>
      <w:r>
        <w:br/>
      </w:r>
      <w:r>
        <w:rPr>
          <w:rStyle w:val="NormalTok"/>
        </w:rPr>
        <w:t xml:space="preserve">  </w:t>
      </w:r>
      <w:r>
        <w:rPr>
          <w:rStyle w:val="FunctionTok"/>
        </w:rPr>
        <w:t xml:space="preserve">\textbf</w:t>
      </w:r>
      <w:r>
        <w:rPr>
          <w:rStyle w:val="NormalTok"/>
        </w:rPr>
        <w:t xml:space="preserve">{(a)} Manavgat--Mu</w:t>
      </w:r>
      <w:r>
        <w:rPr>
          <w:rStyle w:val="FunctionTok"/>
        </w:rPr>
        <w:t xml:space="preserve">\u</w:t>
      </w:r>
      <w:r>
        <w:rPr>
          <w:rStyle w:val="NormalTok"/>
        </w:rPr>
        <w:t xml:space="preserve">{g}la, the pair with the </w:t>
      </w:r>
      <w:r>
        <w:rPr>
          <w:rStyle w:val="FunctionTok"/>
        </w:rPr>
        <w:t xml:space="preserve">\emph</w:t>
      </w:r>
      <w:r>
        <w:rPr>
          <w:rStyle w:val="NormalTok"/>
        </w:rPr>
        <w:t xml:space="preserve">{highest} burned-niche</w:t>
      </w:r>
      <w:r>
        <w:br/>
      </w:r>
      <w:r>
        <w:rPr>
          <w:rStyle w:val="NormalTok"/>
        </w:rPr>
        <w:t xml:space="preserve">  overlap (</w:t>
      </w:r>
      <w:r>
        <w:rPr>
          <w:rStyle w:val="SpecialStringTok"/>
        </w:rPr>
        <w:t xml:space="preserve">$</w:t>
      </w:r>
      <w:r>
        <w:rPr>
          <w:rStyle w:val="SpecialCharTok"/>
        </w:rPr>
        <w:t xml:space="preserve">\bar</w:t>
      </w:r>
      <w:r>
        <w:rPr>
          <w:rStyle w:val="SpecialStringTok"/>
        </w:rPr>
        <w:t xml:space="preserve">{D}=0.83$</w:t>
      </w:r>
      <w:r>
        <w:rPr>
          <w:rStyle w:val="NormalTok"/>
        </w:rPr>
        <w:t xml:space="preserve">), transfers below chance in both directions</w:t>
      </w:r>
      <w:r>
        <w:br/>
      </w:r>
      <w:r>
        <w:rPr>
          <w:rStyle w:val="NormalTok"/>
        </w:rPr>
        <w:t xml:space="preserve">  on the frames as drawn (0.470 and 0.401); under the equalised frame of</w:t>
      </w:r>
      <w:r>
        <w:br/>
      </w:r>
      <w:r>
        <w:rPr>
          <w:rStyle w:val="NormalTok"/>
        </w:rPr>
        <w:t xml:space="preserve">  Section~</w:t>
      </w:r>
      <w:r>
        <w:rPr>
          <w:rStyle w:val="KeywordTok"/>
        </w:rPr>
        <w:t xml:space="preserve">\ref</w:t>
      </w:r>
      <w:r>
        <w:rPr>
          <w:rStyle w:val="NormalTok"/>
        </w:rPr>
        <w:t xml:space="preserve">{</w:t>
      </w:r>
      <w:r>
        <w:rPr>
          <w:rStyle w:val="ExtensionTok"/>
        </w:rPr>
        <w:t xml:space="preserve">sec:4.4</w:t>
      </w:r>
      <w:r>
        <w:rPr>
          <w:rStyle w:val="NormalTok"/>
        </w:rPr>
        <w:t xml:space="preserve">} it is 0.551 and 0.510, above chance but still among the</w:t>
      </w:r>
      <w:r>
        <w:br/>
      </w:r>
      <w:r>
        <w:rPr>
          <w:rStyle w:val="NormalTok"/>
        </w:rPr>
        <w:t xml:space="preserve">  weakest in the matrix. </w:t>
      </w:r>
      <w:r>
        <w:rPr>
          <w:rStyle w:val="FunctionTok"/>
        </w:rPr>
        <w:t xml:space="preserve">\textbf</w:t>
      </w:r>
      <w:r>
        <w:rPr>
          <w:rStyle w:val="NormalTok"/>
        </w:rPr>
        <w:t xml:space="preserve">{(b)} Bej</w:t>
      </w:r>
      <w:r>
        <w:rPr>
          <w:rStyle w:val="FunctionTok"/>
        </w:rPr>
        <w:t xml:space="preserve">\'</w:t>
      </w:r>
      <w:r>
        <w:rPr>
          <w:rStyle w:val="NormalTok"/>
        </w:rPr>
        <w:t xml:space="preserve">is--Montiferru, the pair with the</w:t>
      </w:r>
      <w:r>
        <w:br/>
      </w:r>
      <w:r>
        <w:rPr>
          <w:rStyle w:val="NormalTok"/>
        </w:rPr>
        <w:t xml:space="preserve">  </w:t>
      </w:r>
      <w:r>
        <w:rPr>
          <w:rStyle w:val="FunctionTok"/>
        </w:rPr>
        <w:t xml:space="preserve">\emph</w:t>
      </w:r>
      <w:r>
        <w:rPr>
          <w:rStyle w:val="NormalTok"/>
        </w:rPr>
        <w:t xml:space="preserve">{lowest} overlap (</w:t>
      </w:r>
      <w:r>
        <w:rPr>
          <w:rStyle w:val="SpecialStringTok"/>
        </w:rPr>
        <w:t xml:space="preserve">$</w:t>
      </w:r>
      <w:r>
        <w:rPr>
          <w:rStyle w:val="SpecialCharTok"/>
        </w:rPr>
        <w:t xml:space="preserve">\bar</w:t>
      </w:r>
      <w:r>
        <w:rPr>
          <w:rStyle w:val="SpecialStringTok"/>
        </w:rPr>
        <w:t xml:space="preserve">{D}=0.48$</w:t>
      </w:r>
      <w:r>
        <w:rPr>
          <w:rStyle w:val="NormalTok"/>
        </w:rPr>
        <w:t xml:space="preserve">), transfers above chance in both</w:t>
      </w:r>
      <w:r>
        <w:br/>
      </w:r>
      <w:r>
        <w:rPr>
          <w:rStyle w:val="NormalTok"/>
        </w:rPr>
        <w:t xml:space="preserve">  directions (0.594 as drawn, 0.669 equalised, and 0.548 against 0.624). High</w:t>
      </w:r>
      <w:r>
        <w:br/>
      </w:r>
      <w:r>
        <w:rPr>
          <w:rStyle w:val="NormalTok"/>
        </w:rPr>
        <w:t xml:space="preserve">  niche overlap is therefore not sufficient for transfer, which is an ordinal</w:t>
      </w:r>
      <w:r>
        <w:br/>
      </w:r>
      <w:r>
        <w:rPr>
          <w:rStyle w:val="NormalTok"/>
        </w:rPr>
        <w:t xml:space="preserve">  claim on either frame. The arrowhead fill also exposes the coverage limit of the</w:t>
      </w:r>
      <w:r>
        <w:br/>
      </w:r>
      <w:r>
        <w:rPr>
          <w:rStyle w:val="NormalTok"/>
        </w:rPr>
        <w:t xml:space="preserve">  supported-agreement index, which is defined only on features whose direction</w:t>
      </w:r>
      <w:r>
        <w:br/>
      </w:r>
      <w:r>
        <w:rPr>
          <w:rStyle w:val="NormalTok"/>
        </w:rPr>
        <w:t xml:space="preserve">  is supported in </w:t>
      </w:r>
      <w:r>
        <w:rPr>
          <w:rStyle w:val="FunctionTok"/>
        </w:rPr>
        <w:t xml:space="preserve">\emph</w:t>
      </w:r>
      <w:r>
        <w:rPr>
          <w:rStyle w:val="NormalTok"/>
        </w:rPr>
        <w:t xml:space="preserve">{both} regions: there are two such features in (a)</w:t>
      </w:r>
      <w:r>
        <w:br/>
      </w:r>
      <w:r>
        <w:rPr>
          <w:rStyle w:val="NormalTok"/>
        </w:rPr>
        <w:t xml:space="preserve">  (NDVI and elevation) and </w:t>
      </w:r>
      <w:r>
        <w:rPr>
          <w:rStyle w:val="FunctionTok"/>
        </w:rPr>
        <w:t xml:space="preserve">\textbf</w:t>
      </w:r>
      <w:r>
        <w:rPr>
          <w:rStyle w:val="NormalTok"/>
        </w:rPr>
        <w:t xml:space="preserve">{none in (b)}, where the two regions'</w:t>
      </w:r>
      <w:r>
        <w:br/>
      </w:r>
      <w:r>
        <w:rPr>
          <w:rStyle w:val="NormalTok"/>
        </w:rPr>
        <w:t xml:space="preserve">  supported sets are disjoint and Montiferru's intervals are wide. Pair (b)</w:t>
      </w:r>
      <w:r>
        <w:br/>
      </w:r>
      <w:r>
        <w:rPr>
          <w:rStyle w:val="NormalTok"/>
        </w:rPr>
        <w:t xml:space="preserve">  therefore drops out of the supported-index sample entirely. The index is</w:t>
      </w:r>
      <w:r>
        <w:br/>
      </w:r>
      <w:r>
        <w:rPr>
          <w:rStyle w:val="NormalTok"/>
        </w:rPr>
        <w:t xml:space="preserve">  undefined exactly on the pair that most challenges the overlap explanation,</w:t>
      </w:r>
      <w:r>
        <w:br/>
      </w:r>
      <w:r>
        <w:rPr>
          <w:rStyle w:val="NormalTok"/>
        </w:rPr>
        <w:t xml:space="preserve">  which is a limitation of the index and not evidence for it.}</w:t>
      </w:r>
      <w:r>
        <w:br/>
      </w:r>
      <w:r>
        <w:rPr>
          <w:rStyle w:val="NormalTok"/>
        </w:rPr>
        <w:t xml:space="preserve">  </w:t>
      </w:r>
      <w:r>
        <w:rPr>
          <w:rStyle w:val="KeywordTok"/>
        </w:rPr>
        <w:t xml:space="preserve">\label</w:t>
      </w:r>
      <w:r>
        <w:rPr>
          <w:rStyle w:val="NormalTok"/>
        </w:rPr>
        <w:t xml:space="preserve">{</w:t>
      </w:r>
      <w:r>
        <w:rPr>
          <w:rStyle w:val="ExtensionTok"/>
        </w:rPr>
        <w:t xml:space="preserve">fig:contrast-pairs</w:t>
      </w:r>
      <w:r>
        <w:rPr>
          <w:rStyle w:val="NormalTok"/>
        </w:rPr>
        <w:t xml:space="preserve">}</w:t>
      </w:r>
      <w:r>
        <w:br/>
      </w:r>
      <w:r>
        <w:rPr>
          <w:rStyle w:val="KeywordTok"/>
        </w:rPr>
        <w:t xml:space="preserve">\end</w:t>
      </w:r>
      <w:r>
        <w:rPr>
          <w:rStyle w:val="NormalTok"/>
        </w:rPr>
        <w:t xml:space="preserve">{</w:t>
      </w:r>
      <w:r>
        <w:rPr>
          <w:rStyle w:val="ExtensionTok"/>
        </w:rPr>
        <w:t xml:space="preserve">figure</w:t>
      </w:r>
      <w:r>
        <w:rPr>
          <w:rStyle w:val="NormalTok"/>
        </w:rPr>
        <w:t xml:space="preserve">}</w:t>
      </w:r>
    </w:p>
    <w:bookmarkEnd w:id="72"/>
    <w:bookmarkEnd w:id="73"/>
    <w:bookmarkStart w:id="79" w:name="X0a4568aaa8a81ea1fe6887d77b9ac8679f0efa7"/>
    <w:p>
      <w:pPr>
        <w:pStyle w:val="Heading1"/>
      </w:pPr>
      <w:r>
        <w:t xml:space="preserve">S5 Target-label recovery curve: what a small labelled budget buys</w:t>
      </w:r>
    </w:p>
    <w:bookmarkStart w:id="74" w:name="s5.1-purpose-and-status"/>
    <w:p>
      <w:pPr>
        <w:pStyle w:val="Heading2"/>
      </w:pPr>
      <w:r>
        <w:t xml:space="preserve">S5.1 Purpose and status</w:t>
      </w:r>
    </w:p>
    <w:p>
      <w:pPr>
        <w:pStyle w:val="FirstParagraph"/>
      </w:pPr>
      <w:r>
        <w:t xml:space="preserve">The main text establishes that label-free alignment does not close the residual transfer gap, and</w:t>
      </w:r>
      <w:r>
        <w:t xml:space="preserve"> </w:t>
      </w:r>
      <w:r>
        <w:t xml:space="preserve">that the part of that gap not attributable to contiguous spatial holdout is conditional. CORAL and per-region standardisation</w:t>
      </w:r>
      <w:r>
        <w:t xml:space="preserve"> </w:t>
      </w:r>
      <w:r>
        <w:t xml:space="preserve">recover a minority of the gap at best, and degrade most of the directions that transfer above chance</w:t>
      </w:r>
      <w:r>
        <w:t xml:space="preserve"> </w:t>
      </w:r>
      <w:r>
        <w:t xml:space="preserve">without them (§4.5, Section S1.14, §5.5). Within the six directions covered here, the direction that</w:t>
      </w:r>
      <w:r>
        <w:t xml:space="preserve"> </w:t>
      </w:r>
      <w:r>
        <w:t xml:space="preserve">transfers above chance raw is Bejís to Muğla, and it is the direction that both interventions help</w:t>
      </w:r>
      <w:r>
        <w:t xml:space="preserve"> </w:t>
      </w:r>
      <w:r>
        <w:t xml:space="preserve">least. The natural constructive question is therefore what a</w:t>
      </w:r>
      <w:r>
        <w:t xml:space="preserve"> </w:t>
      </w:r>
      <w:r>
        <w:rPr>
          <w:i/>
          <w:iCs/>
        </w:rPr>
        <w:t xml:space="preserve">small number of target labels</w:t>
      </w:r>
      <w:r>
        <w:t xml:space="preserve"> </w:t>
      </w:r>
      <w:r>
        <w:t xml:space="preserve">buys,</w:t>
      </w:r>
      <w:r>
        <w:t xml:space="preserve"> </w:t>
      </w:r>
      <w:r>
        <w:t xml:space="preserve">since that is the resource label-free machinery cannot substitute for.</w:t>
      </w:r>
    </w:p>
    <w:p>
      <w:pPr>
        <w:pStyle w:val="BodyText"/>
      </w:pPr>
      <w:r>
        <w:t xml:space="preserve">The headline of this analysis is in the main text at Section S1.19. Its ceilings and denominators are</w:t>
      </w:r>
      <w:r>
        <w:t xml:space="preserve"> </w:t>
      </w:r>
      <w:r>
        <w:t xml:space="preserve">computed on the frames as drawn, which §4.4 shows are not comparable across regions; the recovery</w:t>
      </w:r>
      <w:r>
        <w:t xml:space="preserve"> </w:t>
      </w:r>
      <w:r>
        <w:t xml:space="preserve">fractions should be read as within-frame quantities. The full design, the per-budget table</w:t>
      </w:r>
      <w:r>
        <w:t xml:space="preserve"> </w:t>
      </w:r>
      <w:r>
        <w:t xml:space="preserve">and the limits are here, for two reasons. It covers three of the five regions, so it cannot carry a</w:t>
      </w:r>
      <w:r>
        <w:t xml:space="preserve"> </w:t>
      </w:r>
      <w:r>
        <w:t xml:space="preserve">claim at the paper’s stated scope; and it requires labelled target cells, so it is not an</w:t>
      </w:r>
      <w:r>
        <w:t xml:space="preserve"> </w:t>
      </w:r>
      <w:r>
        <w:t xml:space="preserve">alternative transfer protocol but a quantification of the price of the failure the main text</w:t>
      </w:r>
      <w:r>
        <w:t xml:space="preserve"> </w:t>
      </w:r>
      <w:r>
        <w:t xml:space="preserve">documents. It is a supplementary sensitivity result, not a proposed method.</w:t>
      </w:r>
    </w:p>
    <w:bookmarkEnd w:id="74"/>
    <w:bookmarkStart w:id="75" w:name="s5.2-design"/>
    <w:p>
      <w:pPr>
        <w:pStyle w:val="Heading2"/>
      </w:pPr>
      <w:r>
        <w:t xml:space="preserve">S5.2 Design</w:t>
      </w:r>
    </w:p>
    <w:p>
      <w:pPr>
        <w:pStyle w:val="FirstParagraph"/>
      </w:pPr>
      <w:r>
        <w:rPr>
          <w:b/>
          <w:bCs/>
        </w:rPr>
        <w:t xml:space="preserve">Regions and directions.</w:t>
      </w:r>
      <w:r>
        <w:t xml:space="preserve"> </w:t>
      </w:r>
      <w:r>
        <w:t xml:space="preserve">Three experiments are used in all six ordered directions: Manavgat 2021,</w:t>
      </w:r>
      <w:r>
        <w:t xml:space="preserve"> </w:t>
      </w:r>
      <w:r>
        <w:t xml:space="preserve">Bejís 2022 and Muğla 2021. Evia is excluded by the frozen configuration on two recorded grounds</w:t>
      </w:r>
      <w:r>
        <w:t xml:space="preserve"> </w:t>
      </w:r>
      <w:r>
        <w:t xml:space="preserve">(</w:t>
      </w:r>
      <w:r>
        <w:rPr>
          <w:rStyle w:val="VerbatimChar"/>
        </w:rPr>
        <w:t xml:space="preserve">evia_2021</w:t>
      </w:r>
      <w:r>
        <w:t xml:space="preserve">: out of scope for this analysis;</w:t>
      </w:r>
      <w:r>
        <w:t xml:space="preserve"> </w:t>
      </w:r>
      <w:r>
        <w:rPr>
          <w:rStyle w:val="VerbatimChar"/>
        </w:rPr>
        <w:t xml:space="preserve">evia_2021_extended</w:t>
      </w:r>
      <w:r>
        <w:t xml:space="preserve">: a high-prevalence,</w:t>
      </w:r>
      <w:r>
        <w:t xml:space="preserve"> </w:t>
      </w:r>
      <w:r>
        <w:t xml:space="preserve">different-regime sensitivity control rather than an equal-prevalence primary transfer AOI), and</w:t>
      </w:r>
      <w:r>
        <w:t xml:space="preserve"> </w:t>
      </w:r>
      <w:r>
        <w:t xml:space="preserve">Montiferru does not appear in it. Population, feature sets, forbidden-column set and classifier are</w:t>
      </w:r>
      <w:r>
        <w:t xml:space="preserve"> </w:t>
      </w:r>
      <w:r>
        <w:t xml:space="preserve">the manuscript’s primary choices throughout: natural vegetation (</w:t>
      </w:r>
      <w:r>
        <w:rPr>
          <w:rStyle w:val="VerbatimChar"/>
        </w:rPr>
        <w:t xml:space="preserve">burnable_tree_shrub_grass</w:t>
      </w:r>
      <w:r>
        <w:t xml:space="preserve"> </w:t>
      </w:r>
      <w:r>
        <w:t xml:space="preserve">∧</w:t>
      </w:r>
      <w:r>
        <w:t xml:space="preserve"> </w:t>
      </w:r>
      <w:r>
        <w:rPr>
          <w:rStyle w:val="VerbatimChar"/>
        </w:rPr>
        <w:t xml:space="preserve">valid_for_modeling</w:t>
      </w:r>
      <w:r>
        <w:t xml:space="preserve">), the ten-feature thermal set as the primary family with the four-feature</w:t>
      </w:r>
      <w:r>
        <w:t xml:space="preserve"> </w:t>
      </w:r>
      <w:r>
        <w:t xml:space="preserve">baseline set as secondary, and the canonical random forest (300 trees,</w:t>
      </w:r>
      <w:r>
        <w:t xml:space="preserve"> </w:t>
      </w:r>
      <w:r>
        <w:rPr>
          <w:rStyle w:val="VerbatimChar"/>
        </w:rPr>
        <w:t xml:space="preserve">min_samples_leaf = 3</w:t>
      </w:r>
      <w:r>
        <w:t xml:space="preserve">,</w:t>
      </w:r>
      <w:r>
        <w:t xml:space="preserve"> </w:t>
      </w:r>
      <w:r>
        <w:rPr>
          <w:rStyle w:val="VerbatimChar"/>
        </w:rPr>
        <w:t xml:space="preserve">class_weight = "balanced"</w:t>
      </w:r>
      <w:r>
        <w:t xml:space="preserve">,</w:t>
      </w:r>
      <w:r>
        <w:t xml:space="preserve"> </w:t>
      </w:r>
      <w:r>
        <w:rPr>
          <w:rStyle w:val="VerbatimChar"/>
        </w:rPr>
        <w:t xml:space="preserve">random_state = 42</w:t>
      </w:r>
      <w:r>
        <w:t xml:space="preserve">).</w:t>
      </w:r>
    </w:p>
    <w:p>
      <w:pPr>
        <w:pStyle w:val="BodyText"/>
      </w:pPr>
      <w:r>
        <w:rPr>
          <w:b/>
          <w:bCs/>
        </w:rPr>
        <w:t xml:space="preserve">Labelled budget.</w:t>
      </w:r>
      <w:r>
        <w:t xml:space="preserve"> </w:t>
      </w:r>
      <w:r>
        <w:t xml:space="preserve">The unit of labelling effort is a 10-cell (≈ 5 km) spatial block, assigned</w:t>
      </w:r>
      <w:r>
        <w:t xml:space="preserve"> </w:t>
      </w:r>
      <w:r>
        <w:t xml:space="preserve">before population filtering, identical to the large-block machinery of §3.7. The configuration</w:t>
      </w:r>
      <w:r>
        <w:t xml:space="preserve"> </w:t>
      </w:r>
      <w:r>
        <w:t xml:space="preserve">records why the canonical 2-cell block is not used here: at ≈ 1 km a block holds a median of about</w:t>
      </w:r>
      <w:r>
        <w:t xml:space="preserve"> </w:t>
      </w:r>
      <w:r>
        <w:t xml:space="preserve">four cells, which is neither a plausible unit of survey effort nor separable from the evaluation</w:t>
      </w:r>
      <w:r>
        <w:t xml:space="preserve"> </w:t>
      </w:r>
      <w:r>
        <w:t xml:space="preserve">blocks adjacent to it. Budgets are 0, 1, 2, 4, 8, 16 and 32 blocks. Budget 0 is the raw transfer</w:t>
      </w:r>
      <w:r>
        <w:t xml:space="preserve"> </w:t>
      </w:r>
      <w:r>
        <w:t xml:space="preserve">endpoint, which is the source-only model with no target labels. The ceiling is the target-only model</w:t>
      </w:r>
      <w:r>
        <w:t xml:space="preserve"> </w:t>
      </w:r>
      <w:r>
        <w:t xml:space="preserve">evaluated under the same folds.</w:t>
      </w:r>
    </w:p>
    <w:p>
      <w:pPr>
        <w:pStyle w:val="BodyText"/>
      </w:pPr>
      <w:r>
        <w:rPr>
          <w:b/>
          <w:bCs/>
        </w:rPr>
        <w:t xml:space="preserve">Selection and evaluation.</w:t>
      </w:r>
      <w:r>
        <w:t xml:space="preserve"> </w:t>
      </w:r>
      <w:r>
        <w:t xml:space="preserve">Blocks are drawn under a fixed tier order (blocks containing both</w:t>
      </w:r>
      <w:r>
        <w:t xml:space="preserve"> </w:t>
      </w:r>
      <w:r>
        <w:t xml:space="preserve">classes, then burned-only, then unburned-only), shuffled within tier by a seed derived as</w:t>
      </w:r>
      <w:r>
        <w:t xml:space="preserve"> </w:t>
      </w:r>
      <w:r>
        <w:rPr>
          <w:rStyle w:val="VerbatimChar"/>
        </w:rPr>
        <w:t xml:space="preserve">blake2b(schema|source|target|outer_fold|repeat)</w:t>
      </w:r>
      <w:r>
        <w:t xml:space="preserve">. The seed is independent of the budget, of the</w:t>
      </w:r>
      <w:r>
        <w:t xml:space="preserve"> </w:t>
      </w:r>
      <w:r>
        <w:t xml:space="preserve">model family and of any result, so no branch of the selection can react to an outcome. Budgets are</w:t>
      </w:r>
      <w:r>
        <w:t xml:space="preserve"> </w:t>
      </w:r>
      <w:r>
        <w:t xml:space="preserve">nested: the 32-block set contains the 16-block set. Evaluation is 5-fold</w:t>
      </w:r>
      <w:r>
        <w:t xml:space="preserve"> </w:t>
      </w:r>
      <w:r>
        <w:rPr>
          <w:rStyle w:val="VerbatimChar"/>
        </w:rPr>
        <w:t xml:space="preserve">StratifiedGroupKFold</w:t>
      </w:r>
      <w:r>
        <w:t xml:space="preserve"> </w:t>
      </w:r>
      <w:r>
        <w:t xml:space="preserve">grouped on the target’s large blocks, in strict mode. Each budget is repeated 10 times with</w:t>
      </w:r>
      <w:r>
        <w:t xml:space="preserve"> </w:t>
      </w:r>
      <w:r>
        <w:t xml:space="preserve">different block draws (the raw and ceiling endpoints once each, being deterministic), for 3,642</w:t>
      </w:r>
      <w:r>
        <w:t xml:space="preserve"> </w:t>
      </w:r>
      <w:r>
        <w:t xml:space="preserve">unique fits, matching the configuration’s own expected count.</w:t>
      </w:r>
    </w:p>
    <w:p>
      <w:pPr>
        <w:pStyle w:val="BodyText"/>
      </w:pPr>
      <w:r>
        <w:rPr>
          <w:b/>
          <w:bCs/>
        </w:rPr>
        <w:t xml:space="preserve">Uncertainty.</w:t>
      </w:r>
      <w:r>
        <w:t xml:space="preserve"> </w:t>
      </w:r>
      <w:r>
        <w:t xml:space="preserve">The interval reported is a</w:t>
      </w:r>
      <w:r>
        <w:t xml:space="preserve"> </w:t>
      </w:r>
      <w:r>
        <w:rPr>
          <w:b/>
          <w:bCs/>
        </w:rPr>
        <w:t xml:space="preserve">selection interval</w:t>
      </w:r>
      <w:r>
        <w:t xml:space="preserve">: the 2.5th and 97.5th percentiles</w:t>
      </w:r>
      <w:r>
        <w:t xml:space="preserve"> </w:t>
      </w:r>
      <w:r>
        <w:t xml:space="preserve">across the 10 block-selection repeats. It expresses sensitivity to</w:t>
      </w:r>
      <w:r>
        <w:t xml:space="preserve"> </w:t>
      </w:r>
      <w:r>
        <w:rPr>
          <w:i/>
          <w:iCs/>
        </w:rPr>
        <w:t xml:space="preserve">which</w:t>
      </w:r>
      <w:r>
        <w:t xml:space="preserve"> </w:t>
      </w:r>
      <w:r>
        <w:t xml:space="preserve">blocks were labelled and</w:t>
      </w:r>
      <w:r>
        <w:t xml:space="preserve"> </w:t>
      </w:r>
      <w:r>
        <w:t xml:space="preserve">nothing else. It is not a bootstrap, it is not a confidence interval, and no</w:t>
      </w:r>
      <w:r>
        <w:t xml:space="preserve"> </w:t>
      </w:r>
      <w:r>
        <w:rPr>
          <w:i/>
          <w:iCs/>
        </w:rPr>
        <w:t xml:space="preserve">p</w:t>
      </w:r>
      <w:r>
        <w:t xml:space="preserve">-values are</w:t>
      </w:r>
      <w:r>
        <w:t xml:space="preserve"> </w:t>
      </w:r>
      <w:r>
        <w:t xml:space="preserve">produced; the diagnostic enforces this distinction with a forbidden-terminology check. There is</w:t>
      </w:r>
      <w:r>
        <w:t xml:space="preserve"> </w:t>
      </w:r>
      <w:r>
        <w:t xml:space="preserve">consequently no comparable interval on the raw endpoint, which is a single deterministic fit.</w:t>
      </w:r>
    </w:p>
    <w:p>
      <w:pPr>
        <w:pStyle w:val="BodyText"/>
      </w:pPr>
      <w:r>
        <w:rPr>
          <w:b/>
          <w:bCs/>
        </w:rPr>
        <w:t xml:space="preserve">Recovery fraction.</w:t>
      </w:r>
      <w:r>
        <w:t xml:space="preserve"> </w:t>
      </w:r>
      <w:r>
        <w:t xml:space="preserve">Defined as (few-shot − raw) / (ceiling − raw), neither clipped nor</w:t>
      </w:r>
      <w:r>
        <w:t xml:space="preserve"> </w:t>
      </w:r>
      <w:r>
        <w:t xml:space="preserve">absolute-valued, so a budget that leaves the model worse than raw transfer reports a negative</w:t>
      </w:r>
      <w:r>
        <w:t xml:space="preserve"> </w:t>
      </w:r>
      <w:r>
        <w:t xml:space="preserve">fraction rather than zero.</w:t>
      </w:r>
    </w:p>
    <w:bookmarkEnd w:id="75"/>
    <w:bookmarkStart w:id="76" w:name="s5.3-result"/>
    <w:p>
      <w:pPr>
        <w:pStyle w:val="Heading2"/>
      </w:pPr>
      <w:r>
        <w:t xml:space="preserve">S5.3 Result</w:t>
      </w:r>
    </w:p>
    <w:p>
      <w:pPr>
        <w:pStyle w:val="FirstParagraph"/>
      </w:pPr>
      <w:r>
        <w:rPr>
          <w:b/>
          <w:bCs/>
        </w:rPr>
        <w:t xml:space="preserve">Table S22. Few-shot recovery of target ROC-AUC, thermal model, natural-vegetation population.</w:t>
      </w:r>
      <w:r>
        <w:t xml:space="preserve"> </w:t>
      </w:r>
      <w:r>
        <w:t xml:space="preserve">Raw</w:t>
      </w:r>
      <w:r>
        <w:t xml:space="preserve"> </w:t>
      </w:r>
      <w:r>
        <w:t xml:space="preserve">= source-only transfer (budget 0); ceiling = target-only model at the same 10-cell blocking. Values</w:t>
      </w:r>
      <w:r>
        <w:t xml:space="preserve"> </w:t>
      </w:r>
      <w:r>
        <w:t xml:space="preserve">are the mean over 10 block-selection repeats. Read from</w:t>
      </w:r>
      <w:r>
        <w:t xml:space="preserve"> </w:t>
      </w:r>
      <w:r>
        <w:rPr>
          <w:rStyle w:val="VerbatimChar"/>
        </w:rPr>
        <w:t xml:space="preserve">recovery_curve.csv</w:t>
      </w:r>
      <w:r>
        <w:t xml:space="preserve">.</w:t>
      </w:r>
    </w:p>
    <w:tbl>
      <w:tblPr>
        <w:tblStyle w:val="Table"/>
        <w:tblW w:type="auto" w:w="0"/>
        <w:tblLook w:firstRow="1" w:lastRow="0" w:firstColumn="0" w:lastColumn="0" w:noHBand="0" w:noVBand="0" w:val="0020"/>
      </w:tblPr>
      <w:tblGrid>
        <w:gridCol w:w="1935"/>
        <w:gridCol w:w="605"/>
        <w:gridCol w:w="605"/>
        <w:gridCol w:w="605"/>
        <w:gridCol w:w="605"/>
        <w:gridCol w:w="605"/>
        <w:gridCol w:w="726"/>
        <w:gridCol w:w="726"/>
        <w:gridCol w:w="847"/>
        <w:gridCol w:w="1814"/>
      </w:tblGrid>
      <w:tr>
        <w:trPr>
          <w:tblHeader w:val="on"/>
        </w:trPr>
        <w:tc>
          <w:tcPr>
            <w:tcW w:type="dxa" w:w="1935"/>
          </w:tcPr>
          <w:p>
            <w:pPr>
              <w:pStyle w:val="Compact"/>
            </w:pPr>
            <w:r>
              <w:t xml:space="preserve">Direction</w:t>
            </w:r>
          </w:p>
        </w:tc>
        <w:tc>
          <w:tcPr>
            <w:tcW w:type="dxa" w:w="605"/>
          </w:tcPr>
          <w:p>
            <w:pPr>
              <w:pStyle w:val="Compact"/>
            </w:pPr>
            <w:r>
              <w:t xml:space="preserve">Raw</w:t>
            </w:r>
          </w:p>
        </w:tc>
        <w:tc>
          <w:tcPr>
            <w:tcW w:type="dxa" w:w="605"/>
          </w:tcPr>
          <w:p>
            <w:pPr>
              <w:pStyle w:val="Compact"/>
            </w:pPr>
            <w:r>
              <w:t xml:space="preserve">1 blk</w:t>
            </w:r>
          </w:p>
        </w:tc>
        <w:tc>
          <w:tcPr>
            <w:tcW w:type="dxa" w:w="605"/>
          </w:tcPr>
          <w:p>
            <w:pPr>
              <w:pStyle w:val="Compact"/>
            </w:pPr>
            <w:r>
              <w:t xml:space="preserve">2 blk</w:t>
            </w:r>
          </w:p>
        </w:tc>
        <w:tc>
          <w:tcPr>
            <w:tcW w:type="dxa" w:w="605"/>
          </w:tcPr>
          <w:p>
            <w:pPr>
              <w:pStyle w:val="Compact"/>
            </w:pPr>
            <w:r>
              <w:t xml:space="preserve">4 blk</w:t>
            </w:r>
          </w:p>
        </w:tc>
        <w:tc>
          <w:tcPr>
            <w:tcW w:type="dxa" w:w="605"/>
          </w:tcPr>
          <w:p>
            <w:pPr>
              <w:pStyle w:val="Compact"/>
            </w:pPr>
            <w:r>
              <w:t xml:space="preserve">8 blk</w:t>
            </w:r>
          </w:p>
        </w:tc>
        <w:tc>
          <w:tcPr>
            <w:tcW w:type="dxa" w:w="726"/>
          </w:tcPr>
          <w:p>
            <w:pPr>
              <w:pStyle w:val="Compact"/>
            </w:pPr>
            <w:r>
              <w:t xml:space="preserve">16 blk</w:t>
            </w:r>
          </w:p>
        </w:tc>
        <w:tc>
          <w:tcPr>
            <w:tcW w:type="dxa" w:w="726"/>
          </w:tcPr>
          <w:p>
            <w:pPr>
              <w:pStyle w:val="Compact"/>
            </w:pPr>
            <w:r>
              <w:t xml:space="preserve">32 blk</w:t>
            </w:r>
          </w:p>
        </w:tc>
        <w:tc>
          <w:tcPr>
            <w:tcW w:type="dxa" w:w="847"/>
          </w:tcPr>
          <w:p>
            <w:pPr>
              <w:pStyle w:val="Compact"/>
            </w:pPr>
            <w:r>
              <w:t xml:space="preserve">Ceiling</w:t>
            </w:r>
          </w:p>
        </w:tc>
        <w:tc>
          <w:tcPr>
            <w:tcW w:type="dxa" w:w="1814"/>
          </w:tcPr>
          <w:p>
            <w:pPr>
              <w:pStyle w:val="Compact"/>
            </w:pPr>
            <w:r>
              <w:t xml:space="preserve">Recovered at 32</w:t>
            </w:r>
          </w:p>
        </w:tc>
      </w:tr>
      <w:tr>
        <w:tc>
          <w:tcPr>
            <w:tcW w:type="dxa" w:w="1935"/>
          </w:tcPr>
          <w:p>
            <w:pPr>
              <w:pStyle w:val="Compact"/>
            </w:pPr>
            <w:r>
              <w:t xml:space="preserve">Manavgat → Bejís</w:t>
            </w:r>
          </w:p>
        </w:tc>
        <w:tc>
          <w:tcPr>
            <w:tcW w:type="dxa" w:w="605"/>
          </w:tcPr>
          <w:p>
            <w:pPr>
              <w:pStyle w:val="Compact"/>
            </w:pPr>
            <w:r>
              <w:t xml:space="preserve">0.326</w:t>
            </w:r>
          </w:p>
        </w:tc>
        <w:tc>
          <w:tcPr>
            <w:tcW w:type="dxa" w:w="605"/>
          </w:tcPr>
          <w:p>
            <w:pPr>
              <w:pStyle w:val="Compact"/>
            </w:pPr>
            <w:r>
              <w:t xml:space="preserve">0.475</w:t>
            </w:r>
          </w:p>
        </w:tc>
        <w:tc>
          <w:tcPr>
            <w:tcW w:type="dxa" w:w="605"/>
          </w:tcPr>
          <w:p>
            <w:pPr>
              <w:pStyle w:val="Compact"/>
            </w:pPr>
            <w:r>
              <w:t xml:space="preserve">0.500</w:t>
            </w:r>
          </w:p>
        </w:tc>
        <w:tc>
          <w:tcPr>
            <w:tcW w:type="dxa" w:w="605"/>
          </w:tcPr>
          <w:p>
            <w:pPr>
              <w:pStyle w:val="Compact"/>
            </w:pPr>
            <w:r>
              <w:t xml:space="preserve">0.607</w:t>
            </w:r>
          </w:p>
        </w:tc>
        <w:tc>
          <w:tcPr>
            <w:tcW w:type="dxa" w:w="605"/>
          </w:tcPr>
          <w:p>
            <w:pPr>
              <w:pStyle w:val="Compact"/>
            </w:pPr>
            <w:r>
              <w:t xml:space="preserve">0.659</w:t>
            </w:r>
          </w:p>
        </w:tc>
        <w:tc>
          <w:tcPr>
            <w:tcW w:type="dxa" w:w="726"/>
          </w:tcPr>
          <w:p>
            <w:pPr>
              <w:pStyle w:val="Compact"/>
            </w:pPr>
            <w:r>
              <w:t xml:space="preserve">0.724</w:t>
            </w:r>
          </w:p>
        </w:tc>
        <w:tc>
          <w:tcPr>
            <w:tcW w:type="dxa" w:w="726"/>
          </w:tcPr>
          <w:p>
            <w:pPr>
              <w:pStyle w:val="Compact"/>
            </w:pPr>
            <w:r>
              <w:t xml:space="preserve">0.772</w:t>
            </w:r>
          </w:p>
        </w:tc>
        <w:tc>
          <w:tcPr>
            <w:tcW w:type="dxa" w:w="847"/>
          </w:tcPr>
          <w:p>
            <w:pPr>
              <w:pStyle w:val="Compact"/>
            </w:pPr>
            <w:r>
              <w:t xml:space="preserve">0.824</w:t>
            </w:r>
          </w:p>
        </w:tc>
        <w:tc>
          <w:tcPr>
            <w:tcW w:type="dxa" w:w="1814"/>
          </w:tcPr>
          <w:p>
            <w:pPr>
              <w:pStyle w:val="Compact"/>
            </w:pPr>
            <w:r>
              <w:t xml:space="preserve">89 %</w:t>
            </w:r>
          </w:p>
        </w:tc>
      </w:tr>
      <w:tr>
        <w:tc>
          <w:tcPr>
            <w:tcW w:type="dxa" w:w="1935"/>
          </w:tcPr>
          <w:p>
            <w:pPr>
              <w:pStyle w:val="Compact"/>
            </w:pPr>
            <w:r>
              <w:t xml:space="preserve">Muğla → Bejís</w:t>
            </w:r>
          </w:p>
        </w:tc>
        <w:tc>
          <w:tcPr>
            <w:tcW w:type="dxa" w:w="605"/>
          </w:tcPr>
          <w:p>
            <w:pPr>
              <w:pStyle w:val="Compact"/>
            </w:pPr>
            <w:r>
              <w:t xml:space="preserve">0.583</w:t>
            </w:r>
          </w:p>
        </w:tc>
        <w:tc>
          <w:tcPr>
            <w:tcW w:type="dxa" w:w="605"/>
          </w:tcPr>
          <w:p>
            <w:pPr>
              <w:pStyle w:val="Compact"/>
            </w:pPr>
            <w:r>
              <w:t xml:space="preserve">0.578</w:t>
            </w:r>
          </w:p>
        </w:tc>
        <w:tc>
          <w:tcPr>
            <w:tcW w:type="dxa" w:w="605"/>
          </w:tcPr>
          <w:p>
            <w:pPr>
              <w:pStyle w:val="Compact"/>
            </w:pPr>
            <w:r>
              <w:t xml:space="preserve">0.603</w:t>
            </w:r>
          </w:p>
        </w:tc>
        <w:tc>
          <w:tcPr>
            <w:tcW w:type="dxa" w:w="605"/>
          </w:tcPr>
          <w:p>
            <w:pPr>
              <w:pStyle w:val="Compact"/>
            </w:pPr>
            <w:r>
              <w:t xml:space="preserve">0.625</w:t>
            </w:r>
          </w:p>
        </w:tc>
        <w:tc>
          <w:tcPr>
            <w:tcW w:type="dxa" w:w="605"/>
          </w:tcPr>
          <w:p>
            <w:pPr>
              <w:pStyle w:val="Compact"/>
            </w:pPr>
            <w:r>
              <w:t xml:space="preserve">0.666</w:t>
            </w:r>
          </w:p>
        </w:tc>
        <w:tc>
          <w:tcPr>
            <w:tcW w:type="dxa" w:w="726"/>
          </w:tcPr>
          <w:p>
            <w:pPr>
              <w:pStyle w:val="Compact"/>
            </w:pPr>
            <w:r>
              <w:t xml:space="preserve">0.743</w:t>
            </w:r>
          </w:p>
        </w:tc>
        <w:tc>
          <w:tcPr>
            <w:tcW w:type="dxa" w:w="726"/>
          </w:tcPr>
          <w:p>
            <w:pPr>
              <w:pStyle w:val="Compact"/>
            </w:pPr>
            <w:r>
              <w:t xml:space="preserve">0.789</w:t>
            </w:r>
          </w:p>
        </w:tc>
        <w:tc>
          <w:tcPr>
            <w:tcW w:type="dxa" w:w="847"/>
          </w:tcPr>
          <w:p>
            <w:pPr>
              <w:pStyle w:val="Compact"/>
            </w:pPr>
            <w:r>
              <w:t xml:space="preserve">0.824</w:t>
            </w:r>
          </w:p>
        </w:tc>
        <w:tc>
          <w:tcPr>
            <w:tcW w:type="dxa" w:w="1814"/>
          </w:tcPr>
          <w:p>
            <w:pPr>
              <w:pStyle w:val="Compact"/>
            </w:pPr>
            <w:r>
              <w:t xml:space="preserve">85 %</w:t>
            </w:r>
          </w:p>
        </w:tc>
      </w:tr>
      <w:tr>
        <w:tc>
          <w:tcPr>
            <w:tcW w:type="dxa" w:w="1935"/>
          </w:tcPr>
          <w:p>
            <w:pPr>
              <w:pStyle w:val="Compact"/>
            </w:pPr>
            <w:r>
              <w:t xml:space="preserve">Bejís → Manavgat</w:t>
            </w:r>
          </w:p>
        </w:tc>
        <w:tc>
          <w:tcPr>
            <w:tcW w:type="dxa" w:w="605"/>
          </w:tcPr>
          <w:p>
            <w:pPr>
              <w:pStyle w:val="Compact"/>
            </w:pPr>
            <w:r>
              <w:t xml:space="preserve">0.444</w:t>
            </w:r>
          </w:p>
        </w:tc>
        <w:tc>
          <w:tcPr>
            <w:tcW w:type="dxa" w:w="605"/>
          </w:tcPr>
          <w:p>
            <w:pPr>
              <w:pStyle w:val="Compact"/>
            </w:pPr>
            <w:r>
              <w:t xml:space="preserve">0.454</w:t>
            </w:r>
          </w:p>
        </w:tc>
        <w:tc>
          <w:tcPr>
            <w:tcW w:type="dxa" w:w="605"/>
          </w:tcPr>
          <w:p>
            <w:pPr>
              <w:pStyle w:val="Compact"/>
            </w:pPr>
            <w:r>
              <w:t xml:space="preserve">0.435</w:t>
            </w:r>
          </w:p>
        </w:tc>
        <w:tc>
          <w:tcPr>
            <w:tcW w:type="dxa" w:w="605"/>
          </w:tcPr>
          <w:p>
            <w:pPr>
              <w:pStyle w:val="Compact"/>
            </w:pPr>
            <w:r>
              <w:t xml:space="preserve">0.504</w:t>
            </w:r>
          </w:p>
        </w:tc>
        <w:tc>
          <w:tcPr>
            <w:tcW w:type="dxa" w:w="605"/>
          </w:tcPr>
          <w:p>
            <w:pPr>
              <w:pStyle w:val="Compact"/>
            </w:pPr>
            <w:r>
              <w:t xml:space="preserve">0.575</w:t>
            </w:r>
          </w:p>
        </w:tc>
        <w:tc>
          <w:tcPr>
            <w:tcW w:type="dxa" w:w="726"/>
          </w:tcPr>
          <w:p>
            <w:pPr>
              <w:pStyle w:val="Compact"/>
            </w:pPr>
            <w:r>
              <w:t xml:space="preserve">0.637</w:t>
            </w:r>
          </w:p>
        </w:tc>
        <w:tc>
          <w:tcPr>
            <w:tcW w:type="dxa" w:w="726"/>
          </w:tcPr>
          <w:p>
            <w:pPr>
              <w:pStyle w:val="Compact"/>
            </w:pPr>
            <w:r>
              <w:t xml:space="preserve">0.743</w:t>
            </w:r>
          </w:p>
        </w:tc>
        <w:tc>
          <w:tcPr>
            <w:tcW w:type="dxa" w:w="847"/>
          </w:tcPr>
          <w:p>
            <w:pPr>
              <w:pStyle w:val="Compact"/>
            </w:pPr>
            <w:r>
              <w:t xml:space="preserve">0.797</w:t>
            </w:r>
          </w:p>
        </w:tc>
        <w:tc>
          <w:tcPr>
            <w:tcW w:type="dxa" w:w="1814"/>
          </w:tcPr>
          <w:p>
            <w:pPr>
              <w:pStyle w:val="Compact"/>
            </w:pPr>
            <w:r>
              <w:t xml:space="preserve">85 %</w:t>
            </w:r>
          </w:p>
        </w:tc>
      </w:tr>
      <w:tr>
        <w:tc>
          <w:tcPr>
            <w:tcW w:type="dxa" w:w="1935"/>
          </w:tcPr>
          <w:p>
            <w:pPr>
              <w:pStyle w:val="Compact"/>
            </w:pPr>
            <w:r>
              <w:t xml:space="preserve">Muğla → Manavgat</w:t>
            </w:r>
          </w:p>
        </w:tc>
        <w:tc>
          <w:tcPr>
            <w:tcW w:type="dxa" w:w="605"/>
          </w:tcPr>
          <w:p>
            <w:pPr>
              <w:pStyle w:val="Compact"/>
            </w:pPr>
            <w:r>
              <w:t xml:space="preserve">0.401</w:t>
            </w:r>
          </w:p>
        </w:tc>
        <w:tc>
          <w:tcPr>
            <w:tcW w:type="dxa" w:w="605"/>
          </w:tcPr>
          <w:p>
            <w:pPr>
              <w:pStyle w:val="Compact"/>
            </w:pPr>
            <w:r>
              <w:t xml:space="preserve">0.413</w:t>
            </w:r>
          </w:p>
        </w:tc>
        <w:tc>
          <w:tcPr>
            <w:tcW w:type="dxa" w:w="605"/>
          </w:tcPr>
          <w:p>
            <w:pPr>
              <w:pStyle w:val="Compact"/>
            </w:pPr>
            <w:r>
              <w:t xml:space="preserve">0.420</w:t>
            </w:r>
          </w:p>
        </w:tc>
        <w:tc>
          <w:tcPr>
            <w:tcW w:type="dxa" w:w="605"/>
          </w:tcPr>
          <w:p>
            <w:pPr>
              <w:pStyle w:val="Compact"/>
            </w:pPr>
            <w:r>
              <w:t xml:space="preserve">0.447</w:t>
            </w:r>
          </w:p>
        </w:tc>
        <w:tc>
          <w:tcPr>
            <w:tcW w:type="dxa" w:w="605"/>
          </w:tcPr>
          <w:p>
            <w:pPr>
              <w:pStyle w:val="Compact"/>
            </w:pPr>
            <w:r>
              <w:t xml:space="preserve">0.471</w:t>
            </w:r>
          </w:p>
        </w:tc>
        <w:tc>
          <w:tcPr>
            <w:tcW w:type="dxa" w:w="726"/>
          </w:tcPr>
          <w:p>
            <w:pPr>
              <w:pStyle w:val="Compact"/>
            </w:pPr>
            <w:r>
              <w:t xml:space="preserve">0.517</w:t>
            </w:r>
          </w:p>
        </w:tc>
        <w:tc>
          <w:tcPr>
            <w:tcW w:type="dxa" w:w="726"/>
          </w:tcPr>
          <w:p>
            <w:pPr>
              <w:pStyle w:val="Compact"/>
            </w:pPr>
            <w:r>
              <w:t xml:space="preserve">0.626</w:t>
            </w:r>
          </w:p>
        </w:tc>
        <w:tc>
          <w:tcPr>
            <w:tcW w:type="dxa" w:w="847"/>
          </w:tcPr>
          <w:p>
            <w:pPr>
              <w:pStyle w:val="Compact"/>
            </w:pPr>
            <w:r>
              <w:t xml:space="preserve">0.797</w:t>
            </w:r>
          </w:p>
        </w:tc>
        <w:tc>
          <w:tcPr>
            <w:tcW w:type="dxa" w:w="1814"/>
          </w:tcPr>
          <w:p>
            <w:pPr>
              <w:pStyle w:val="Compact"/>
            </w:pPr>
            <w:r>
              <w:t xml:space="preserve">57 %</w:t>
            </w:r>
          </w:p>
        </w:tc>
      </w:tr>
      <w:tr>
        <w:tc>
          <w:tcPr>
            <w:tcW w:type="dxa" w:w="1935"/>
          </w:tcPr>
          <w:p>
            <w:pPr>
              <w:pStyle w:val="Compact"/>
            </w:pPr>
            <w:r>
              <w:t xml:space="preserve">Manavgat → Muğla</w:t>
            </w:r>
          </w:p>
        </w:tc>
        <w:tc>
          <w:tcPr>
            <w:tcW w:type="dxa" w:w="605"/>
          </w:tcPr>
          <w:p>
            <w:pPr>
              <w:pStyle w:val="Compact"/>
            </w:pPr>
            <w:r>
              <w:t xml:space="preserve">0.470</w:t>
            </w:r>
          </w:p>
        </w:tc>
        <w:tc>
          <w:tcPr>
            <w:tcW w:type="dxa" w:w="605"/>
          </w:tcPr>
          <w:p>
            <w:pPr>
              <w:pStyle w:val="Compact"/>
            </w:pPr>
            <w:r>
              <w:t xml:space="preserve">0.483</w:t>
            </w:r>
          </w:p>
        </w:tc>
        <w:tc>
          <w:tcPr>
            <w:tcW w:type="dxa" w:w="605"/>
          </w:tcPr>
          <w:p>
            <w:pPr>
              <w:pStyle w:val="Compact"/>
            </w:pPr>
            <w:r>
              <w:t xml:space="preserve">0.495</w:t>
            </w:r>
          </w:p>
        </w:tc>
        <w:tc>
          <w:tcPr>
            <w:tcW w:type="dxa" w:w="605"/>
          </w:tcPr>
          <w:p>
            <w:pPr>
              <w:pStyle w:val="Compact"/>
            </w:pPr>
            <w:r>
              <w:t xml:space="preserve">0.510</w:t>
            </w:r>
          </w:p>
        </w:tc>
        <w:tc>
          <w:tcPr>
            <w:tcW w:type="dxa" w:w="605"/>
          </w:tcPr>
          <w:p>
            <w:pPr>
              <w:pStyle w:val="Compact"/>
            </w:pPr>
            <w:r>
              <w:t xml:space="preserve">0.539</w:t>
            </w:r>
          </w:p>
        </w:tc>
        <w:tc>
          <w:tcPr>
            <w:tcW w:type="dxa" w:w="726"/>
          </w:tcPr>
          <w:p>
            <w:pPr>
              <w:pStyle w:val="Compact"/>
            </w:pPr>
            <w:r>
              <w:t xml:space="preserve">0.589</w:t>
            </w:r>
          </w:p>
        </w:tc>
        <w:tc>
          <w:tcPr>
            <w:tcW w:type="dxa" w:w="726"/>
          </w:tcPr>
          <w:p>
            <w:pPr>
              <w:pStyle w:val="Compact"/>
            </w:pPr>
            <w:r>
              <w:t xml:space="preserve">0.627</w:t>
            </w:r>
          </w:p>
        </w:tc>
        <w:tc>
          <w:tcPr>
            <w:tcW w:type="dxa" w:w="847"/>
          </w:tcPr>
          <w:p>
            <w:pPr>
              <w:pStyle w:val="Compact"/>
            </w:pPr>
            <w:r>
              <w:t xml:space="preserve">0.777</w:t>
            </w:r>
          </w:p>
        </w:tc>
        <w:tc>
          <w:tcPr>
            <w:tcW w:type="dxa" w:w="1814"/>
          </w:tcPr>
          <w:p>
            <w:pPr>
              <w:pStyle w:val="Compact"/>
            </w:pPr>
            <w:r>
              <w:t xml:space="preserve">51 %</w:t>
            </w:r>
          </w:p>
        </w:tc>
      </w:tr>
      <w:tr>
        <w:tc>
          <w:tcPr>
            <w:tcW w:type="dxa" w:w="1935"/>
          </w:tcPr>
          <w:p>
            <w:pPr>
              <w:pStyle w:val="Compact"/>
            </w:pPr>
            <w:r>
              <w:t xml:space="preserve">Bejís → Muğla</w:t>
            </w:r>
          </w:p>
        </w:tc>
        <w:tc>
          <w:tcPr>
            <w:tcW w:type="dxa" w:w="605"/>
          </w:tcPr>
          <w:p>
            <w:pPr>
              <w:pStyle w:val="Compact"/>
            </w:pPr>
            <w:r>
              <w:t xml:space="preserve">0.618</w:t>
            </w:r>
          </w:p>
        </w:tc>
        <w:tc>
          <w:tcPr>
            <w:tcW w:type="dxa" w:w="605"/>
          </w:tcPr>
          <w:p>
            <w:pPr>
              <w:pStyle w:val="Compact"/>
            </w:pPr>
            <w:r>
              <w:t xml:space="preserve">0.576</w:t>
            </w:r>
          </w:p>
        </w:tc>
        <w:tc>
          <w:tcPr>
            <w:tcW w:type="dxa" w:w="605"/>
          </w:tcPr>
          <w:p>
            <w:pPr>
              <w:pStyle w:val="Compact"/>
            </w:pPr>
            <w:r>
              <w:t xml:space="preserve">0.577</w:t>
            </w:r>
          </w:p>
        </w:tc>
        <w:tc>
          <w:tcPr>
            <w:tcW w:type="dxa" w:w="605"/>
          </w:tcPr>
          <w:p>
            <w:pPr>
              <w:pStyle w:val="Compact"/>
            </w:pPr>
            <w:r>
              <w:t xml:space="preserve">0.578</w:t>
            </w:r>
          </w:p>
        </w:tc>
        <w:tc>
          <w:tcPr>
            <w:tcW w:type="dxa" w:w="605"/>
          </w:tcPr>
          <w:p>
            <w:pPr>
              <w:pStyle w:val="Compact"/>
            </w:pPr>
            <w:r>
              <w:t xml:space="preserve">0.598</w:t>
            </w:r>
          </w:p>
        </w:tc>
        <w:tc>
          <w:tcPr>
            <w:tcW w:type="dxa" w:w="726"/>
          </w:tcPr>
          <w:p>
            <w:pPr>
              <w:pStyle w:val="Compact"/>
            </w:pPr>
            <w:r>
              <w:t xml:space="preserve">0.637</w:t>
            </w:r>
          </w:p>
        </w:tc>
        <w:tc>
          <w:tcPr>
            <w:tcW w:type="dxa" w:w="726"/>
          </w:tcPr>
          <w:p>
            <w:pPr>
              <w:pStyle w:val="Compact"/>
            </w:pPr>
            <w:r>
              <w:t xml:space="preserve">0.666</w:t>
            </w:r>
          </w:p>
        </w:tc>
        <w:tc>
          <w:tcPr>
            <w:tcW w:type="dxa" w:w="847"/>
          </w:tcPr>
          <w:p>
            <w:pPr>
              <w:pStyle w:val="Compact"/>
            </w:pPr>
            <w:r>
              <w:t xml:space="preserve">0.777</w:t>
            </w:r>
          </w:p>
        </w:tc>
        <w:tc>
          <w:tcPr>
            <w:tcW w:type="dxa" w:w="1814"/>
          </w:tcPr>
          <w:p>
            <w:pPr>
              <w:pStyle w:val="Compact"/>
            </w:pPr>
            <w:r>
              <w:t xml:space="preserve">30 %</w:t>
            </w:r>
          </w:p>
        </w:tc>
      </w:tr>
    </w:tbl>
    <w:p>
      <w:pPr>
        <w:pStyle w:val="BodyText"/>
      </w:pPr>
      <w:r>
        <w:t xml:space="preserve">Selection intervals are wide at the smallest budgets and narrow at the largest. For Bejís → Manavgat</w:t>
      </w:r>
      <w:r>
        <w:t xml:space="preserve"> </w:t>
      </w:r>
      <w:r>
        <w:t xml:space="preserve">they run [0.392, 0.484] at one block against [0.733, 0.748] at 32. See the caution in S5.4 on why</w:t>
      </w:r>
      <w:r>
        <w:t xml:space="preserve"> </w:t>
      </w:r>
      <w:r>
        <w:t xml:space="preserve">the upper-budget intervals are narrow.</w:t>
      </w:r>
    </w:p>
    <w:p>
      <w:pPr>
        <w:pStyle w:val="BodyText"/>
      </w:pPr>
      <w:r>
        <w:t xml:space="preserve">Three observations follow, and only the first is comfortable.</w:t>
      </w:r>
    </w:p>
    <w:p>
      <w:pPr>
        <w:pStyle w:val="BodyText"/>
      </w:pPr>
      <w:r>
        <w:rPr>
          <w:b/>
          <w:bCs/>
        </w:rPr>
        <w:t xml:space="preserve">The largest budget tested recovers most of the gap in three of six directions.</w:t>
      </w:r>
      <w:r>
        <w:t xml:space="preserve"> </w:t>
      </w:r>
      <w:r>
        <w:t xml:space="preserve">Thirty-two blocks</w:t>
      </w:r>
      <w:r>
        <w:t xml:space="preserve"> </w:t>
      </w:r>
      <w:r>
        <w:t xml:space="preserve">carry on average 2,700 to 3,000 labelled cells, roughly 7 to 20 % of the target’s natural-vegetation</w:t>
      </w:r>
      <w:r>
        <w:t xml:space="preserve"> </w:t>
      </w:r>
      <w:r>
        <w:t xml:space="preserve">population depending on the region. At that budget three directions stand at 85 to 89 % of their</w:t>
      </w:r>
      <w:r>
        <w:t xml:space="preserve"> </w:t>
      </w:r>
      <w:r>
        <w:t xml:space="preserve">target-only ceiling: Manavgat → Bejís and Bejís → Manavgat started below chance, Muğla → Bejís at</w:t>
      </w:r>
      <w:r>
        <w:t xml:space="preserve"> </w:t>
      </w:r>
      <w:r>
        <w:t xml:space="preserve">0.583, above it. The residual the main text documents is</w:t>
      </w:r>
      <w:r>
        <w:t xml:space="preserve"> </w:t>
      </w:r>
      <w:r>
        <w:t xml:space="preserve">therefore expensive but not structural: it is a shortage of target-conditional information, and</w:t>
      </w:r>
      <w:r>
        <w:t xml:space="preserve"> </w:t>
      </w:r>
      <w:r>
        <w:t xml:space="preserve">target labels supply exactly that. That budget should not be described as modest. Limit 4 below</w:t>
      </w:r>
      <w:r>
        <w:t xml:space="preserve"> </w:t>
      </w:r>
      <w:r>
        <w:t xml:space="preserve">gives the reason: for these AOIs the top budget already contains most of the target’s burned cells.</w:t>
      </w:r>
    </w:p>
    <w:p>
      <w:pPr>
        <w:pStyle w:val="BodyText"/>
      </w:pPr>
      <w:r>
        <w:rPr>
          <w:b/>
          <w:bCs/>
        </w:rPr>
        <w:t xml:space="preserve">The recovery is slow where the transfer is worst.</w:t>
      </w:r>
      <w:r>
        <w:t xml:space="preserve"> </w:t>
      </w:r>
      <w:r>
        <w:t xml:space="preserve">The two directions into Muğla and Manavgat</w:t>
      </w:r>
      <w:r>
        <w:t xml:space="preserve"> </w:t>
      </w:r>
      <w:r>
        <w:t xml:space="preserve">from Muğla reach only 51 to 57 % at the top budget. These are the directions whose raw transfer sits</w:t>
      </w:r>
      <w:r>
        <w:t xml:space="preserve"> </w:t>
      </w:r>
      <w:r>
        <w:t xml:space="preserve">furthest below the ceiling, and Muğla → Manavgat is still below 0.5 AUC after 8 labelled blocks. A</w:t>
      </w:r>
      <w:r>
        <w:t xml:space="preserve"> </w:t>
      </w:r>
      <w:r>
        <w:t xml:space="preserve">larger concept gap costs more labels, not the same labels.</w:t>
      </w:r>
    </w:p>
    <w:p>
      <w:pPr>
        <w:pStyle w:val="BodyText"/>
      </w:pPr>
      <w:r>
        <w:rPr>
          <w:b/>
          <w:bCs/>
        </w:rPr>
        <w:t xml:space="preserve">Small budgets actively hurt the one direction that already transfers.</w:t>
      </w:r>
      <w:r>
        <w:t xml:space="preserve"> </w:t>
      </w:r>
      <w:r>
        <w:t xml:space="preserve">Bejís → Muğla is the pair</w:t>
      </w:r>
      <w:r>
        <w:t xml:space="preserve"> </w:t>
      </w:r>
      <w:r>
        <w:t xml:space="preserve">that transfers above chance raw (0.618), and it is the pair few-shot recalibration helps least: the</w:t>
      </w:r>
      <w:r>
        <w:t xml:space="preserve"> </w:t>
      </w:r>
      <w:r>
        <w:t xml:space="preserve">curve is</w:t>
      </w:r>
      <w:r>
        <w:t xml:space="preserve"> </w:t>
      </w:r>
      <w:r>
        <w:rPr>
          <w:i/>
          <w:iCs/>
        </w:rPr>
        <w:t xml:space="preserve">negative</w:t>
      </w:r>
      <w:r>
        <w:t xml:space="preserve"> </w:t>
      </w:r>
      <w:r>
        <w:t xml:space="preserve">at 1, 2, 4 and 8 blocks (−0.043 to −0.021 AUC), only overtakes raw at 16, and</w:t>
      </w:r>
      <w:r>
        <w:t xml:space="preserve"> </w:t>
      </w:r>
      <w:r>
        <w:t xml:space="preserve">reaches 30 % at 32, the worst of the six. This is the same asymmetry the main text reports for</w:t>
      </w:r>
      <w:r>
        <w:t xml:space="preserve"> </w:t>
      </w:r>
      <w:r>
        <w:t xml:space="preserve">label-free adaptation (§4.5): where the source model already carries a usable conditional</w:t>
      </w:r>
      <w:r>
        <w:t xml:space="preserve"> </w:t>
      </w:r>
      <w:r>
        <w:t xml:space="preserve">relationship, a small target sample perturbs it before it can replace it. The mechanism differs,</w:t>
      </w:r>
      <w:r>
        <w:t xml:space="preserve"> </w:t>
      </w:r>
      <w:r>
        <w:t xml:space="preserve">since here the target labels are real information rather than a covariate rescaling. The direction</w:t>
      </w:r>
      <w:r>
        <w:t xml:space="preserve"> </w:t>
      </w:r>
      <w:r>
        <w:t xml:space="preserve">of the effect is nevertheless the same, and it is the one direction where the intervention is a</w:t>
      </w:r>
      <w:r>
        <w:t xml:space="preserve"> </w:t>
      </w:r>
      <w:r>
        <w:t xml:space="preserve">liability at every budget a field campaign would plausibly afford.</w:t>
      </w:r>
    </w:p>
    <w:bookmarkEnd w:id="76"/>
    <w:bookmarkStart w:id="77" w:name="s5.4-methodological-limits"/>
    <w:p>
      <w:pPr>
        <w:pStyle w:val="Heading2"/>
      </w:pPr>
      <w:r>
        <w:t xml:space="preserve">S5.4 Methodological limits</w:t>
      </w:r>
    </w:p>
    <w:p>
      <w:pPr>
        <w:pStyle w:val="FirstParagraph"/>
      </w:pPr>
      <w:r>
        <w:t xml:space="preserve">These are stated so the analysis is not read as more than it is.</w:t>
      </w:r>
    </w:p>
    <w:p>
      <w:pPr>
        <w:pStyle w:val="Compact"/>
        <w:numPr>
          <w:ilvl w:val="0"/>
          <w:numId w:val="1010"/>
        </w:numPr>
      </w:pPr>
      <w:r>
        <w:rPr>
          <w:b/>
          <w:bCs/>
        </w:rPr>
        <w:t xml:space="preserve">Three regions, six directions.</w:t>
      </w:r>
      <w:r>
        <w:t xml:space="preserve"> </w:t>
      </w:r>
      <w:r>
        <w:t xml:space="preserve">Evia and Montiferru are absent, so this covers six of the</w:t>
      </w:r>
      <w:r>
        <w:t xml:space="preserve"> </w:t>
      </w:r>
      <w:r>
        <w:t xml:space="preserve">twenty directed pairs in the main analysis and cannot speak to the five-region scope.</w:t>
      </w:r>
    </w:p>
    <w:p>
      <w:pPr>
        <w:pStyle w:val="Compact"/>
        <w:numPr>
          <w:ilvl w:val="0"/>
          <w:numId w:val="1010"/>
        </w:numPr>
      </w:pPr>
      <w:r>
        <w:rPr>
          <w:b/>
          <w:bCs/>
        </w:rPr>
        <w:t xml:space="preserve">It requires labelled target cells.</w:t>
      </w:r>
      <w:r>
        <w:t xml:space="preserve"> </w:t>
      </w:r>
      <w:r>
        <w:t xml:space="preserve">The budget axis is labels in the target region. Nothing</w:t>
      </w:r>
      <w:r>
        <w:t xml:space="preserve"> </w:t>
      </w:r>
      <w:r>
        <w:t xml:space="preserve">here is a label-free method and nothing here weakens the paper’s negative result about</w:t>
      </w:r>
      <w:r>
        <w:t xml:space="preserve"> </w:t>
      </w:r>
      <w:r>
        <w:t xml:space="preserve">label-free alignment. It prices that result.</w:t>
      </w:r>
    </w:p>
    <w:p>
      <w:pPr>
        <w:pStyle w:val="Compact"/>
        <w:numPr>
          <w:ilvl w:val="0"/>
          <w:numId w:val="1010"/>
        </w:numPr>
      </w:pPr>
      <w:r>
        <w:rPr>
          <w:b/>
          <w:bCs/>
        </w:rPr>
        <w:t xml:space="preserve">No joint analysis with the conditional index.</w:t>
      </w:r>
      <w:r>
        <w:t xml:space="preserve"> </w:t>
      </w:r>
      <w:r>
        <w:t xml:space="preserve">Whether the labelled budget needed to reach a</w:t>
      </w:r>
      <w:r>
        <w:t xml:space="preserve"> </w:t>
      </w:r>
      <w:r>
        <w:t xml:space="preserve">given recovery fraction is predicted by the conditional sign-agreement index of §3.11 was not</w:t>
      </w:r>
      <w:r>
        <w:t xml:space="preserve"> </w:t>
      </w:r>
      <w:r>
        <w:t xml:space="preserve">computed. With six directions it would in any case be a description rather than a test.</w:t>
      </w:r>
    </w:p>
    <w:p>
      <w:pPr>
        <w:pStyle w:val="Compact"/>
        <w:numPr>
          <w:ilvl w:val="0"/>
          <w:numId w:val="1010"/>
        </w:numPr>
      </w:pPr>
      <w:r>
        <w:rPr>
          <w:b/>
          <w:bCs/>
        </w:rPr>
        <w:t xml:space="preserve">The interval is a selection interval, and it narrows for a reason that is not precision.</w:t>
      </w:r>
      <w:r>
        <w:t xml:space="preserve"> </w:t>
      </w:r>
      <w:r>
        <w:t xml:space="preserve">Bejís holds only 15 blocks containing both classes and 19 containing any burned cell; Manavgat</w:t>
      </w:r>
      <w:r>
        <w:t xml:space="preserve"> </w:t>
      </w:r>
      <w:r>
        <w:t xml:space="preserve">26 and 28; Muğla 60 and 70. At 16 and 32 blocks the tiered draw has nearly exhausted the</w:t>
      </w:r>
      <w:r>
        <w:t xml:space="preserve"> </w:t>
      </w:r>
      <w:r>
        <w:t xml:space="preserve">both-class blocks, so repeats select almost the same set. The mean labelled-positive count into</w:t>
      </w:r>
      <w:r>
        <w:t xml:space="preserve"> </w:t>
      </w:r>
      <w:r>
        <w:t xml:space="preserve">Bejís is identically 860.0 at 16 blocks and 880.0 at 32 across both source regions. The narrow</w:t>
      </w:r>
      <w:r>
        <w:t xml:space="preserve"> </w:t>
      </w:r>
      <w:r>
        <w:t xml:space="preserve">upper-budget intervals therefore reflect a saturated selection pool, not a well-estimated</w:t>
      </w:r>
      <w:r>
        <w:t xml:space="preserve"> </w:t>
      </w:r>
      <w:r>
        <w:t xml:space="preserve">quantity, and the top budget is not a small budget for these AOIs: 880 of Bejís’s 1,100 burned</w:t>
      </w:r>
      <w:r>
        <w:t xml:space="preserve"> </w:t>
      </w:r>
      <w:r>
        <w:t xml:space="preserve">cells are inside it.</w:t>
      </w:r>
    </w:p>
    <w:p>
      <w:pPr>
        <w:pStyle w:val="Compact"/>
        <w:numPr>
          <w:ilvl w:val="0"/>
          <w:numId w:val="1010"/>
        </w:numPr>
      </w:pPr>
      <w:r>
        <w:rPr>
          <w:b/>
          <w:bCs/>
        </w:rPr>
        <w:t xml:space="preserve">The ceiling is the 10-cell-block target-only value</w:t>
      </w:r>
      <w:r>
        <w:t xml:space="preserve">, not the ≈ 1 km within-region headline reported</w:t>
      </w:r>
      <w:r>
        <w:t xml:space="preserve"> </w:t>
      </w:r>
      <w:r>
        <w:t xml:space="preserve">in the main paper, and is correspondingly lower (0.777 to 0.824 against 0.859 to 0.918). Recovery fractions are</w:t>
      </w:r>
      <w:r>
        <w:t xml:space="preserve"> </w:t>
      </w:r>
      <w:r>
        <w:t xml:space="preserve">only interpretable against this matched-blocking ceiling.</w:t>
      </w:r>
    </w:p>
    <w:p>
      <w:pPr>
        <w:pStyle w:val="Compact"/>
        <w:numPr>
          <w:ilvl w:val="0"/>
          <w:numId w:val="1010"/>
        </w:numPr>
      </w:pPr>
      <w:r>
        <w:rPr>
          <w:b/>
          <w:bCs/>
        </w:rPr>
        <w:t xml:space="preserve">Ceiling reproduction verified for all three targets.</w:t>
      </w:r>
      <w:r>
        <w:t xml:space="preserve"> </w:t>
      </w:r>
      <w:r>
        <w:t xml:space="preserve">Manavgat, Bejís and Muğla all reproduce</w:t>
      </w:r>
      <w:r>
        <w:t xml:space="preserve"> </w:t>
      </w:r>
      <w:r>
        <w:t xml:space="preserve">the frozen large-block artefacts exactly, at an absolute difference of 0.0 against a 10⁻⁹</w:t>
      </w:r>
      <w:r>
        <w:t xml:space="preserve"> </w:t>
      </w:r>
      <w:r>
        <w:t xml:space="preserve">tolerance in both families. An earlier draft of this supplement recorded Muğla as unverified,</w:t>
      </w:r>
      <w:r>
        <w:t xml:space="preserve"> </w:t>
      </w:r>
      <w:r>
        <w:t xml:space="preserve">because at that time no frozen block-10 artefact had been located for it; one is now referenced</w:t>
      </w:r>
      <w:r>
        <w:t xml:space="preserve"> </w:t>
      </w:r>
      <w:r>
        <w:t xml:space="preserve">in the export and the corresponding validator check passes.</w:t>
      </w:r>
    </w:p>
    <w:p>
      <w:pPr>
        <w:pStyle w:val="Compact"/>
        <w:numPr>
          <w:ilvl w:val="0"/>
          <w:numId w:val="1010"/>
        </w:numPr>
      </w:pPr>
      <w:r>
        <w:rPr>
          <w:b/>
          <w:bCs/>
        </w:rPr>
        <w:t xml:space="preserve">Provenance.</w:t>
      </w:r>
      <w:r>
        <w:t xml:space="preserve"> </w:t>
      </w:r>
      <w:r>
        <w:t xml:space="preserve">The export of record was regenerated on 2026-08-14 at commit</w:t>
      </w:r>
      <w:r>
        <w:t xml:space="preserve"> </w:t>
      </w:r>
      <w:r>
        <w:rPr>
          <w:rStyle w:val="VerbatimChar"/>
        </w:rPr>
        <w:t xml:space="preserve">6d7a6a71</w:t>
      </w:r>
      <w:r>
        <w:t xml:space="preserve"> </w:t>
      </w:r>
      <w:r>
        <w:t xml:space="preserve">under</w:t>
      </w:r>
      <w:r>
        <w:t xml:space="preserve"> </w:t>
      </w:r>
      <w:r>
        <w:t xml:space="preserve">scikit-learn 1.9.0, pandas 3.0.2 and NumPy 2.4.4 — the same scikit-learn version to which every</w:t>
      </w:r>
      <w:r>
        <w:t xml:space="preserve"> </w:t>
      </w:r>
      <w:r>
        <w:t xml:space="preserve">other number in this paper is fixed. Its validator reports</w:t>
      </w:r>
      <w:r>
        <w:t xml:space="preserve"> </w:t>
      </w:r>
      <w:r>
        <w:rPr>
          <w:b/>
          <w:bCs/>
        </w:rPr>
        <w:t xml:space="preserve">67 PASS, 0 FAIL and 0 SKIPPED</w:t>
      </w:r>
      <w:r>
        <w:t xml:space="preserve">.</w:t>
      </w:r>
      <w:r>
        <w:t xml:space="preserve"> </w:t>
      </w:r>
      <w:r>
        <w:t xml:space="preserve">Two files in the export directory,</w:t>
      </w:r>
      <w:r>
        <w:t xml:space="preserve"> </w:t>
      </w:r>
      <w:r>
        <w:rPr>
          <w:rStyle w:val="VerbatimChar"/>
        </w:rPr>
        <w:t xml:space="preserve">repeat_metrics.csv</w:t>
      </w:r>
      <w:r>
        <w:t xml:space="preserve"> </w:t>
      </w:r>
      <w:r>
        <w:t xml:space="preserve">and</w:t>
      </w:r>
      <w:r>
        <w:t xml:space="preserve"> </w:t>
      </w:r>
      <w:r>
        <w:rPr>
          <w:rStyle w:val="VerbatimChar"/>
        </w:rPr>
        <w:t xml:space="preserve">oof_predictions.parquet</w:t>
      </w:r>
      <w:r>
        <w:t xml:space="preserve">, retain</w:t>
      </w:r>
      <w:r>
        <w:t xml:space="preserve"> </w:t>
      </w:r>
      <w:r>
        <w:t xml:space="preserve">their 2026-08-03 timestamps and were not regenerated; every value quoted in Table S22 was checked</w:t>
      </w:r>
      <w:r>
        <w:t xml:space="preserve"> </w:t>
      </w:r>
      <w:r>
        <w:t xml:space="preserve">against the regenerated export.</w:t>
      </w:r>
    </w:p>
    <w:bookmarkEnd w:id="77"/>
    <w:bookmarkStart w:id="78" w:name="s5.5-figure"/>
    <w:p>
      <w:pPr>
        <w:pStyle w:val="Heading2"/>
      </w:pPr>
      <w:r>
        <w:t xml:space="preserve">S5.5 Figure</w:t>
      </w:r>
    </w:p>
    <w:p>
      <w:pPr>
        <w:pStyle w:val="FirstParagraph"/>
      </w:pPr>
      <w:r>
        <w:t xml:space="preserve">A recovery curve is the natural presentation, and it is prepared from</w:t>
      </w:r>
      <w:r>
        <w:t xml:space="preserve"> </w:t>
      </w:r>
      <w:r>
        <w:rPr>
          <w:rStyle w:val="VerbatimChar"/>
        </w:rPr>
        <w:t xml:space="preserve">recovery_curve.csv</w:t>
      </w:r>
      <w:r>
        <w:t xml:space="preserve"> </w:t>
      </w:r>
      <w:r>
        <w:t xml:space="preserve">(thermal</w:t>
      </w:r>
      <w:r>
        <w:t xml:space="preserve"> </w:t>
      </w:r>
      <w:r>
        <w:t xml:space="preserve">family,</w:t>
      </w:r>
      <w:r>
        <w:t xml:space="preserve"> </w:t>
      </w:r>
      <w:r>
        <w:rPr>
          <w:rStyle w:val="VerbatimChar"/>
        </w:rPr>
        <w:t xml:space="preserve">metric = roc_auc</w:t>
      </w:r>
      <w:r>
        <w:t xml:space="preserve">). Budget goes on a log-2 axis and target ROC-AUC on the ordinate. Each</w:t>
      </w:r>
      <w:r>
        <w:t xml:space="preserve"> </w:t>
      </w:r>
      <w:r>
        <w:t xml:space="preserve">direction is one line, the selection interval is drawn as a band, and each direction’s ceiling is a</w:t>
      </w:r>
      <w:r>
        <w:t xml:space="preserve"> </w:t>
      </w:r>
      <w:r>
        <w:t xml:space="preserve">horizontal reference. Numbers are as in Table S22.</w:t>
      </w:r>
    </w:p>
    <w:bookmarkEnd w:id="78"/>
    <w:bookmarkEnd w:id="79"/>
    <w:bookmarkStart w:id="82" w:name="s6-code"/>
    <w:p>
      <w:pPr>
        <w:pStyle w:val="Heading1"/>
      </w:pPr>
      <w:r>
        <w:t xml:space="preserve">S6 Code</w:t>
      </w:r>
    </w:p>
    <w:p>
      <w:pPr>
        <w:pStyle w:val="FirstParagraph"/>
      </w:pPr>
      <w:r>
        <w:t xml:space="preserve">The analysis code is public at</w:t>
      </w:r>
      <w:r>
        <w:t xml:space="preserve"> </w:t>
      </w:r>
      <w:hyperlink r:id="rId80">
        <w:r>
          <w:rPr>
            <w:rStyle w:val="Hyperlink"/>
          </w:rPr>
          <w:t xml:space="preserve">https://github.com/dryuemco/thermal-twin</w:t>
        </w:r>
      </w:hyperlink>
      <w:r>
        <w:t xml:space="preserve"> </w:t>
      </w:r>
      <w:r>
        <w:t xml:space="preserve">under the MIT licence;</w:t>
      </w:r>
      <w:r>
        <w:t xml:space="preserve"> </w:t>
      </w:r>
      <w:r>
        <w:t xml:space="preserve">this section is a guide to it, and the repository’s README gives the same information. The</w:t>
      </w:r>
      <w:r>
        <w:t xml:space="preserve"> </w:t>
      </w:r>
      <w:r>
        <w:t xml:space="preserve">satellite processing pipeline is a separate public repository,</w:t>
      </w:r>
      <w:r>
        <w:t xml:space="preserve"> </w:t>
      </w:r>
      <w:hyperlink r:id="rId81">
        <w:r>
          <w:rPr>
            <w:rStyle w:val="Hyperlink"/>
          </w:rPr>
          <w:t xml:space="preserve">https://github.com/emrehann17/satellite-thermal-digital-twin</w:t>
        </w:r>
      </w:hyperlink>
      <w:r>
        <w:t xml:space="preserve"> </w:t>
      </w:r>
      <w:r>
        <w:t xml:space="preserve">(MIT licence), whose commit of</w:t>
      </w:r>
      <w:r>
        <w:t xml:space="preserve"> </w:t>
      </w:r>
      <w:r>
        <w:t xml:space="preserve">record for every number reported here is</w:t>
      </w:r>
      <w:r>
        <w:t xml:space="preserve"> </w:t>
      </w:r>
      <w:r>
        <w:rPr>
          <w:rStyle w:val="VerbatimChar"/>
        </w:rPr>
        <w:t xml:space="preserve">6381f4c</w:t>
      </w:r>
      <w:r>
        <w:t xml:space="preserve">.</w:t>
      </w:r>
    </w:p>
    <w:tbl>
      <w:tblPr>
        <w:tblStyle w:val="Table"/>
        <w:tblW w:type="auto" w:w="0"/>
        <w:tblLook w:firstRow="1" w:lastRow="0" w:firstColumn="0" w:lastColumn="0" w:noHBand="0" w:noVBand="0" w:val="0020"/>
      </w:tblPr>
      <w:tblGrid>
        <w:gridCol w:w="1229"/>
        <w:gridCol w:w="7841"/>
      </w:tblGrid>
      <w:tr>
        <w:trPr>
          <w:tblHeader w:val="on"/>
        </w:trPr>
        <w:tc>
          <w:tcPr>
            <w:tcW w:type="dxa" w:w="1229"/>
          </w:tcPr>
          <w:p>
            <w:pPr>
              <w:pStyle w:val="Compact"/>
            </w:pPr>
            <w:r>
              <w:t xml:space="preserve">Path</w:t>
            </w:r>
          </w:p>
        </w:tc>
        <w:tc>
          <w:tcPr>
            <w:tcW w:type="dxa" w:w="7841"/>
          </w:tcPr>
          <w:p>
            <w:pPr>
              <w:pStyle w:val="Compact"/>
            </w:pPr>
            <w:r>
              <w:t xml:space="preserve">Role</w:t>
            </w:r>
          </w:p>
        </w:tc>
      </w:tr>
      <w:tr>
        <w:tc>
          <w:tcPr>
            <w:tcW w:type="dxa" w:w="1229"/>
          </w:tcPr>
          <w:p>
            <w:pPr>
              <w:pStyle w:val="Compact"/>
            </w:pPr>
            <w:r>
              <w:rPr>
                <w:rStyle w:val="VerbatimChar"/>
              </w:rPr>
              <w:t xml:space="preserve">paper/code/</w:t>
            </w:r>
          </w:p>
        </w:tc>
        <w:tc>
          <w:tcPr>
            <w:tcW w:type="dxa" w:w="7841"/>
          </w:tcPr>
          <w:p>
            <w:pPr>
              <w:pStyle w:val="Compact"/>
            </w:pPr>
            <w:r>
              <w:t xml:space="preserve">Analysis and verification scripts.</w:t>
            </w:r>
            <w:r>
              <w:t xml:space="preserve"> </w:t>
            </w:r>
            <w:r>
              <w:rPr>
                <w:rStyle w:val="VerbatimChar"/>
              </w:rPr>
              <w:t xml:space="preserve">_canonical.py</w:t>
            </w:r>
            <w:r>
              <w:t xml:space="preserve"> </w:t>
            </w:r>
            <w:r>
              <w:t xml:space="preserve">loads every modelling dataset, verifies its SHA-256 and asserts the leakage exclusions of Section 3.13 at every fit.</w:t>
            </w:r>
          </w:p>
        </w:tc>
      </w:tr>
      <w:tr>
        <w:tc>
          <w:tcPr>
            <w:tcW w:type="dxa" w:w="1229"/>
          </w:tcPr>
          <w:p>
            <w:pPr>
              <w:pStyle w:val="Compact"/>
            </w:pPr>
            <w:r>
              <w:rPr>
                <w:rStyle w:val="VerbatimChar"/>
              </w:rPr>
              <w:t xml:space="preserve">paper/code/appendix_tables.py</w:t>
            </w:r>
          </w:p>
        </w:tc>
        <w:tc>
          <w:tcPr>
            <w:tcW w:type="dxa" w:w="7841"/>
          </w:tcPr>
          <w:p>
            <w:pPr>
              <w:pStyle w:val="Compact"/>
            </w:pPr>
            <w:r>
              <w:t xml:space="preserve">Rebuilds Tables S2–S7 and S9–S18 row by row from source files whose SHA-256 values are pinned in</w:t>
            </w:r>
            <w:r>
              <w:t xml:space="preserve"> </w:t>
            </w:r>
            <w:r>
              <w:rPr>
                <w:rStyle w:val="VerbatimChar"/>
              </w:rPr>
              <w:t xml:space="preserve">paper/labelfix_rerun/round5/tables/SOURCES.sha256</w:t>
            </w:r>
            <w:r>
              <w:t xml:space="preserve">, and compares them with this document.</w:t>
            </w:r>
          </w:p>
        </w:tc>
      </w:tr>
      <w:tr>
        <w:tc>
          <w:tcPr>
            <w:tcW w:type="dxa" w:w="1229"/>
          </w:tcPr>
          <w:p>
            <w:pPr>
              <w:pStyle w:val="Compact"/>
            </w:pPr>
            <w:r>
              <w:rPr>
                <w:rStyle w:val="VerbatimChar"/>
              </w:rPr>
              <w:t xml:space="preserve">paper/figures/</w:t>
            </w:r>
          </w:p>
        </w:tc>
        <w:tc>
          <w:tcPr>
            <w:tcW w:type="dxa" w:w="7841"/>
          </w:tcPr>
          <w:p>
            <w:pPr>
              <w:pStyle w:val="Compact"/>
            </w:pPr>
            <w:r>
              <w:t xml:space="preserve">One script per figure and for the graphical abstract. Each asserts every plotted value against the frozen outputs and the manuscript text, and checks its layout.</w:t>
            </w:r>
          </w:p>
        </w:tc>
      </w:tr>
      <w:tr>
        <w:tc>
          <w:tcPr>
            <w:tcW w:type="dxa" w:w="1229"/>
          </w:tcPr>
          <w:p>
            <w:pPr>
              <w:pStyle w:val="Compact"/>
            </w:pPr>
            <w:r>
              <w:rPr>
                <w:rStyle w:val="VerbatimChar"/>
              </w:rPr>
              <w:t xml:space="preserve">paper/figures/check_all.py</w:t>
            </w:r>
          </w:p>
        </w:tc>
        <w:tc>
          <w:tcPr>
            <w:tcW w:type="dxa" w:w="7841"/>
          </w:tcPr>
          <w:p>
            <w:pPr>
              <w:pStyle w:val="Compact"/>
            </w:pPr>
            <w:r>
              <w:t xml:space="preserve">Runs all figure scripts and</w:t>
            </w:r>
            <w:r>
              <w:t xml:space="preserve"> </w:t>
            </w:r>
            <w:r>
              <w:rPr>
                <w:rStyle w:val="VerbatimChar"/>
              </w:rPr>
              <w:t xml:space="preserve">appendix_tables.py</w:t>
            </w:r>
            <w:r>
              <w:t xml:space="preserve">, restores the committed outputs byte for byte, and exits 0 when everything passes.</w:t>
            </w:r>
          </w:p>
        </w:tc>
      </w:tr>
      <w:tr>
        <w:tc>
          <w:tcPr>
            <w:tcW w:type="dxa" w:w="1229"/>
          </w:tcPr>
          <w:p>
            <w:pPr>
              <w:pStyle w:val="Compact"/>
            </w:pPr>
            <w:r>
              <w:rPr>
                <w:rStyle w:val="VerbatimChar"/>
              </w:rPr>
              <w:t xml:space="preserve">paper/tex/</w:t>
            </w:r>
          </w:p>
        </w:tc>
        <w:tc>
          <w:tcPr>
            <w:tcW w:type="dxa" w:w="7841"/>
          </w:tcPr>
          <w:p>
            <w:pPr>
              <w:pStyle w:val="Compact"/>
            </w:pPr>
            <w:r>
              <w:t xml:space="preserve">Builds the manuscript and this document from their Markdown sources and checks the port: every number survives, and every cross-reference, citation and Supplementary reference resolves.</w:t>
            </w:r>
          </w:p>
        </w:tc>
      </w:tr>
      <w:tr>
        <w:tc>
          <w:tcPr>
            <w:tcW w:type="dxa" w:w="1229"/>
          </w:tcPr>
          <w:p>
            <w:pPr>
              <w:pStyle w:val="Compact"/>
            </w:pPr>
            <w:r>
              <w:rPr>
                <w:rStyle w:val="VerbatimChar"/>
              </w:rPr>
              <w:t xml:space="preserve">paper/labelfix_rerun/</w:t>
            </w:r>
          </w:p>
        </w:tc>
        <w:tc>
          <w:tcPr>
            <w:tcW w:type="dxa" w:w="7841"/>
          </w:tcPr>
          <w:p>
            <w:pPr>
              <w:pStyle w:val="Compact"/>
            </w:pPr>
            <w:r>
              <w:t xml:space="preserve">Internal working notes and outputs of the label-correction re-run, from which every corrected number is read.</w:t>
            </w:r>
          </w:p>
        </w:tc>
      </w:tr>
    </w:tbl>
    <w:p>
      <w:pPr>
        <w:pStyle w:val="BodyText"/>
      </w:pPr>
      <w:r>
        <w:t xml:space="preserve">All commands run from the repository root. The environment is Python 3.12.10 with NumPy 2.4.4,</w:t>
      </w:r>
      <w:r>
        <w:t xml:space="preserve"> </w:t>
      </w:r>
      <w:r>
        <w:t xml:space="preserve">pandas 3.0.2 and scikit-learn 1.9.0, pinned in</w:t>
      </w:r>
      <w:r>
        <w:t xml:space="preserve"> </w:t>
      </w:r>
      <w:r>
        <w:rPr>
          <w:rStyle w:val="VerbatimChar"/>
        </w:rPr>
        <w:t xml:space="preserve">ENVIRONMENT.md</w:t>
      </w:r>
      <w:r>
        <w:t xml:space="preserve">; scikit-learn versions differ by</w:t>
      </w:r>
      <w:r>
        <w:t xml:space="preserve"> </w:t>
      </w:r>
      <w:r>
        <w:t xml:space="preserve">about ±0.02 to 0.03 AUC across regions (Section S3.5(vi)). Fig. 1 additionally needs cartopy;</w:t>
      </w:r>
      <w:r>
        <w:t xml:space="preserve"> </w:t>
      </w:r>
      <w:r>
        <w:t xml:space="preserve">without it</w:t>
      </w:r>
      <w:r>
        <w:t xml:space="preserve"> </w:t>
      </w:r>
      <w:r>
        <w:rPr>
          <w:rStyle w:val="VerbatimChar"/>
        </w:rPr>
        <w:t xml:space="preserve">check_all.py</w:t>
      </w:r>
      <w:r>
        <w:t xml:space="preserve"> </w:t>
      </w:r>
      <w:r>
        <w:t xml:space="preserve">reports that figure as skipped.</w:t>
      </w:r>
    </w:p>
    <w:bookmarkEnd w:id="82"/>
    <w:bookmarkStart w:id="83" w:name="s7-data"/>
    <w:p>
      <w:pPr>
        <w:pStyle w:val="Heading1"/>
      </w:pPr>
      <w:r>
        <w:t xml:space="preserve">S7 Data</w:t>
      </w:r>
    </w:p>
    <w:p>
      <w:pPr>
        <w:pStyle w:val="FirstParagraph"/>
      </w:pPr>
      <w:r>
        <w:t xml:space="preserve">All satellite inputs are public and were retrieved through Google Earth Engine: burned-area labels</w:t>
      </w:r>
      <w:r>
        <w:t xml:space="preserve"> </w:t>
      </w:r>
      <w:r>
        <w:t xml:space="preserve">from MODIS MCD64A1 Collection 6.1, land cover from ESA WorldCover, and the thermal, optical and</w:t>
      </w:r>
      <w:r>
        <w:t xml:space="preserve"> </w:t>
      </w:r>
      <w:r>
        <w:t xml:space="preserve">terrain inputs of Section 3.4. No proprietary or restricted data were used.</w:t>
      </w:r>
    </w:p>
    <w:p>
      <w:pPr>
        <w:pStyle w:val="BodyText"/>
      </w:pPr>
      <w:r>
        <w:t xml:space="preserve">The five modelling datasets the analyses read are in the analysis repository, one per region, as</w:t>
      </w:r>
      <w:r>
        <w:t xml:space="preserve"> </w:t>
      </w:r>
      <w:r>
        <w:rPr>
          <w:rStyle w:val="VerbatimChar"/>
        </w:rPr>
        <w:t xml:space="preserve">paper/data/&lt;region&gt;/step8a_500m_modeling_dataset.parquet</w:t>
      </w:r>
      <w:r>
        <w:t xml:space="preserve">, each verified on load against the</w:t>
      </w:r>
      <w:r>
        <w:t xml:space="preserve"> </w:t>
      </w:r>
      <w:r>
        <w:t xml:space="preserve">SHA-256 recorded by the pipeline. For Manavgat this is the table on the corrected burned-area label,</w:t>
      </w:r>
      <w:r>
        <w:t xml:space="preserve"> </w:t>
      </w:r>
      <w:r>
        <w:t xml:space="preserve">the official re-freeze (SHA-256</w:t>
      </w:r>
      <w:r>
        <w:t xml:space="preserve"> </w:t>
      </w:r>
      <w:r>
        <w:rPr>
          <w:rStyle w:val="VerbatimChar"/>
        </w:rPr>
        <w:t xml:space="preserve">5a5e876c…</w:t>
      </w:r>
      <w:r>
        <w:t xml:space="preserve">; Section S3.1.2); the original-label table (SHA-256</w:t>
      </w:r>
      <w:r>
        <w:t xml:space="preserve"> </w:t>
      </w:r>
      <w:r>
        <w:rPr>
          <w:rStyle w:val="VerbatimChar"/>
        </w:rPr>
        <w:t xml:space="preserve">054a1961…</w:t>
      </w:r>
      <w:r>
        <w:t xml:space="preserve">) is not in the repository and is regenerated by the pipeline. The frozen numeric outputs</w:t>
      </w:r>
      <w:r>
        <w:t xml:space="preserve"> </w:t>
      </w:r>
      <w:r>
        <w:t xml:space="preserve">every table and figure is built from are in the same repository, identified by the paths and hashes</w:t>
      </w:r>
      <w:r>
        <w:t xml:space="preserve"> </w:t>
      </w:r>
      <w:r>
        <w:t xml:space="preserve">named in the table captions and in</w:t>
      </w:r>
      <w:r>
        <w:t xml:space="preserve"> </w:t>
      </w:r>
      <w:r>
        <w:rPr>
          <w:rStyle w:val="VerbatimChar"/>
        </w:rPr>
        <w:t xml:space="preserve">SOURCES.sha256</w:t>
      </w:r>
      <w:r>
        <w:t xml:space="preserve">. No digital object identifier has been minted.</w:t>
      </w:r>
    </w:p>
    <w:bookmarkEnd w:id="83"/>
    <w:bookmarkStart w:id="135" w:name="references"/>
    <w:p>
      <w:pPr>
        <w:pStyle w:val="Heading1"/>
      </w:pPr>
      <w:r>
        <w:t xml:space="preserve">References</w:t>
      </w:r>
    </w:p>
    <w:bookmarkStart w:id="134" w:name="refs"/>
    <w:bookmarkStart w:id="85" w:name="ref-Barve2011"/>
    <w:p>
      <w:pPr>
        <w:pStyle w:val="Bibliography"/>
      </w:pPr>
      <w:r>
        <w:t xml:space="preserve">Barve, N., Barve, V., Jiménez-Valverde, A., Lira-Noriega, A., Maher, S.P., Peterson, A.T., Soberón, J., Villalobos, F., 2011. The crucial role of the accessible area in ecological niche modeling and species distribution modeling. Ecological Modelling 222, 1810–1819.</w:t>
      </w:r>
      <w:r>
        <w:t xml:space="preserve"> </w:t>
      </w:r>
      <w:hyperlink r:id="rId84">
        <w:r>
          <w:rPr>
            <w:rStyle w:val="Hyperlink"/>
          </w:rPr>
          <w:t xml:space="preserve">https://doi.org/10.1016/j.ecolmodel.2011.02.011</w:t>
        </w:r>
      </w:hyperlink>
    </w:p>
    <w:bookmarkEnd w:id="85"/>
    <w:bookmarkStart w:id="87" w:name="ref-Boschetti2019"/>
    <w:p>
      <w:pPr>
        <w:pStyle w:val="Bibliography"/>
      </w:pPr>
      <w:r>
        <w:t xml:space="preserve">Boschetti, L., Roy, D.P., Giglio, L., Huang, H., Zubkova, M., Humber, M.L., 2019. Global validation of the</w:t>
      </w:r>
      <w:r>
        <w:t xml:space="preserve"> </w:t>
      </w:r>
      <w:r>
        <w:t xml:space="preserve">Collection</w:t>
      </w:r>
      <w:r>
        <w:t xml:space="preserve"> </w:t>
      </w:r>
      <w:r>
        <w:t xml:space="preserve">6</w:t>
      </w:r>
      <w:r>
        <w:t xml:space="preserve"> </w:t>
      </w:r>
      <w:r>
        <w:t xml:space="preserve">MODIS</w:t>
      </w:r>
      <w:r>
        <w:t xml:space="preserve"> </w:t>
      </w:r>
      <w:r>
        <w:t xml:space="preserve">burned area product. Remote Sensing of Environment 235, 111490.</w:t>
      </w:r>
      <w:r>
        <w:t xml:space="preserve"> </w:t>
      </w:r>
      <w:hyperlink r:id="rId86">
        <w:r>
          <w:rPr>
            <w:rStyle w:val="Hyperlink"/>
          </w:rPr>
          <w:t xml:space="preserve">https://doi.org/10.1016/j.rse.2019.111490</w:t>
        </w:r>
      </w:hyperlink>
    </w:p>
    <w:bookmarkEnd w:id="87"/>
    <w:bookmarkStart w:id="89" w:name="ref-deBruin2022"/>
    <w:p>
      <w:pPr>
        <w:pStyle w:val="Bibliography"/>
      </w:pPr>
      <w:r>
        <w:t xml:space="preserve">Bruin, S. de, Brus, D.J., Heuvelink, G.B.M., Ebbenhorst Tengbergen, T. van, Wadoux, A.M.J.-C., 2022. Dealing with clustered samples for assessing map accuracy by cross-validation. Ecological Informatics 69, 101665.</w:t>
      </w:r>
      <w:r>
        <w:t xml:space="preserve"> </w:t>
      </w:r>
      <w:hyperlink r:id="rId88">
        <w:r>
          <w:rPr>
            <w:rStyle w:val="Hyperlink"/>
          </w:rPr>
          <w:t xml:space="preserve">https://doi.org/10.1016/j.ecoinf.2022.101665</w:t>
        </w:r>
      </w:hyperlink>
    </w:p>
    <w:bookmarkEnd w:id="89"/>
    <w:bookmarkStart w:id="91" w:name="ref-Dimarco2026"/>
    <w:p>
      <w:pPr>
        <w:pStyle w:val="Bibliography"/>
      </w:pPr>
      <w:r>
        <w:t xml:space="preserve">Dimarco, N.A., Faraji, I., Wahbi, M., Maatouk, M., Boulaassal, H., Yazidi Aalaoui, O., El Kharki, O., 2026. Generalizing human-driven wildfire ignition models across</w:t>
      </w:r>
      <w:r>
        <w:t xml:space="preserve"> </w:t>
      </w:r>
      <w:r>
        <w:t xml:space="preserve">Mediterranean</w:t>
      </w:r>
      <w:r>
        <w:t xml:space="preserve"> </w:t>
      </w:r>
      <w:r>
        <w:t xml:space="preserve">regions using harmonized remote-sensing and machine-learning data. Geomatics 6, 13.</w:t>
      </w:r>
      <w:r>
        <w:t xml:space="preserve"> </w:t>
      </w:r>
      <w:hyperlink r:id="rId90">
        <w:r>
          <w:rPr>
            <w:rStyle w:val="Hyperlink"/>
          </w:rPr>
          <w:t xml:space="preserve">https://doi.org/10.3390/geomatics6010013</w:t>
        </w:r>
      </w:hyperlink>
    </w:p>
    <w:bookmarkEnd w:id="91"/>
    <w:bookmarkStart w:id="93" w:name="ref-Giglio2018"/>
    <w:p>
      <w:pPr>
        <w:pStyle w:val="Bibliography"/>
      </w:pPr>
      <w:r>
        <w:t xml:space="preserve">Giglio, L., Boschetti, L., Roy, D.P., Humber, M.L., Justice, C.O., 2018. The</w:t>
      </w:r>
      <w:r>
        <w:t xml:space="preserve"> </w:t>
      </w:r>
      <w:r>
        <w:t xml:space="preserve">Collection</w:t>
      </w:r>
      <w:r>
        <w:t xml:space="preserve"> </w:t>
      </w:r>
      <w:r>
        <w:t xml:space="preserve">6</w:t>
      </w:r>
      <w:r>
        <w:t xml:space="preserve"> </w:t>
      </w:r>
      <w:r>
        <w:t xml:space="preserve">MODIS</w:t>
      </w:r>
      <w:r>
        <w:t xml:space="preserve"> </w:t>
      </w:r>
      <w:r>
        <w:t xml:space="preserve">burned area mapping algorithm and product. Remote Sensing of Environment 217, 72–85.</w:t>
      </w:r>
      <w:r>
        <w:t xml:space="preserve"> </w:t>
      </w:r>
      <w:hyperlink r:id="rId92">
        <w:r>
          <w:rPr>
            <w:rStyle w:val="Hyperlink"/>
          </w:rPr>
          <w:t xml:space="preserve">https://doi.org/10.1016/j.rse.2018.08.005</w:t>
        </w:r>
      </w:hyperlink>
    </w:p>
    <w:bookmarkEnd w:id="93"/>
    <w:bookmarkStart w:id="95" w:name="ref-Gorelick2017"/>
    <w:p>
      <w:pPr>
        <w:pStyle w:val="Bibliography"/>
      </w:pPr>
      <w:r>
        <w:t xml:space="preserve">Gorelick, N., Hancher, M., Dixon, M., Ilyushchenko, S., Thau, D., Moore, R., 2017.</w:t>
      </w:r>
      <w:r>
        <w:t xml:space="preserve"> </w:t>
      </w:r>
      <w:r>
        <w:t xml:space="preserve">Google</w:t>
      </w:r>
      <w:r>
        <w:t xml:space="preserve"> </w:t>
      </w:r>
      <w:r>
        <w:t xml:space="preserve">Earth</w:t>
      </w:r>
      <w:r>
        <w:t xml:space="preserve"> </w:t>
      </w:r>
      <w:r>
        <w:t xml:space="preserve">Engine</w:t>
      </w:r>
      <w:r>
        <w:t xml:space="preserve">: Planetary-scale geospatial analysis for everyone. Remote Sensing of Environment 202, 18–27.</w:t>
      </w:r>
      <w:r>
        <w:t xml:space="preserve"> </w:t>
      </w:r>
      <w:hyperlink r:id="rId94">
        <w:r>
          <w:rPr>
            <w:rStyle w:val="Hyperlink"/>
          </w:rPr>
          <w:t xml:space="preserve">https://doi.org/10.1016/j.rse.2017.06.031</w:t>
        </w:r>
      </w:hyperlink>
    </w:p>
    <w:bookmarkEnd w:id="95"/>
    <w:bookmarkStart w:id="97" w:name="ref-Liu2025"/>
    <w:p>
      <w:pPr>
        <w:pStyle w:val="Bibliography"/>
      </w:pPr>
      <w:r>
        <w:t xml:space="preserve">Liu, C., Mostafavi, A., 2025.</w:t>
      </w:r>
      <w:r>
        <w:t xml:space="preserve"> </w:t>
      </w:r>
      <w:r>
        <w:t xml:space="preserve">WildfireGenome</w:t>
      </w:r>
      <w:r>
        <w:t xml:space="preserve">: Interpretable machine learning reveals local drivers of wildfire risk and their cross-county variation.</w:t>
      </w:r>
      <w:r>
        <w:t xml:space="preserve"> </w:t>
      </w:r>
      <w:hyperlink r:id="rId96">
        <w:r>
          <w:rPr>
            <w:rStyle w:val="Hyperlink"/>
          </w:rPr>
          <w:t xml:space="preserve">https://doi.org/10.48550/arXiv.2511.11589</w:t>
        </w:r>
      </w:hyperlink>
    </w:p>
    <w:bookmarkEnd w:id="97"/>
    <w:bookmarkStart w:id="99" w:name="ref-Ludwig2023"/>
    <w:p>
      <w:pPr>
        <w:pStyle w:val="Bibliography"/>
      </w:pPr>
      <w:r>
        <w:t xml:space="preserve">Ludwig, M., Moreno-Martinez, A., Hölzel, N., Pebesma, E., Meyer, H., 2023. Assessing and improving the transferability of current global spatial prediction models. Global Ecology and Biogeography 32, 356–368.</w:t>
      </w:r>
      <w:r>
        <w:t xml:space="preserve"> </w:t>
      </w:r>
      <w:hyperlink r:id="rId98">
        <w:r>
          <w:rPr>
            <w:rStyle w:val="Hyperlink"/>
          </w:rPr>
          <w:t xml:space="preserve">https://doi.org/10.1111/geb.13635</w:t>
        </w:r>
      </w:hyperlink>
    </w:p>
    <w:bookmarkEnd w:id="99"/>
    <w:bookmarkStart w:id="101" w:name="ref-Marino2024"/>
    <w:p>
      <w:pPr>
        <w:pStyle w:val="Bibliography"/>
      </w:pPr>
      <w:r>
        <w:t xml:space="preserve">Marino, E., Yáñez, L., Guijarro, M., Madrigal, J., Senra, F., Rodríguez, S., Tomé, J.L., 2024. Transferability of empirical models derived from satellite imagery for live fuel moisture content estimation and fire risk prediction. Fire 7, 276.</w:t>
      </w:r>
      <w:r>
        <w:t xml:space="preserve"> </w:t>
      </w:r>
      <w:hyperlink r:id="rId100">
        <w:r>
          <w:rPr>
            <w:rStyle w:val="Hyperlink"/>
          </w:rPr>
          <w:t xml:space="preserve">https://doi.org/10.3390/fire7080276</w:t>
        </w:r>
      </w:hyperlink>
    </w:p>
    <w:bookmarkEnd w:id="101"/>
    <w:bookmarkStart w:id="103" w:name="ref-Meyer2022"/>
    <w:p>
      <w:pPr>
        <w:pStyle w:val="Bibliography"/>
      </w:pPr>
      <w:r>
        <w:t xml:space="preserve">Meyer, H., Pebesma, E., 2022. Machine learning-based global maps of ecological variables and the challenge of assessing them. Nature Communications 13, 2208.</w:t>
      </w:r>
      <w:r>
        <w:t xml:space="preserve"> </w:t>
      </w:r>
      <w:hyperlink r:id="rId102">
        <w:r>
          <w:rPr>
            <w:rStyle w:val="Hyperlink"/>
          </w:rPr>
          <w:t xml:space="preserve">https://doi.org/10.1038/s41467-022-29838-9</w:t>
        </w:r>
      </w:hyperlink>
    </w:p>
    <w:bookmarkEnd w:id="103"/>
    <w:bookmarkStart w:id="105" w:name="ref-Meyer2021"/>
    <w:p>
      <w:pPr>
        <w:pStyle w:val="Bibliography"/>
      </w:pPr>
      <w:r>
        <w:t xml:space="preserve">Meyer, H., Pebesma, E., 2021. Predicting into unknown space?</w:t>
      </w:r>
      <w:r>
        <w:t xml:space="preserve"> </w:t>
      </w:r>
      <w:r>
        <w:t xml:space="preserve">Estimating</w:t>
      </w:r>
      <w:r>
        <w:t xml:space="preserve"> </w:t>
      </w:r>
      <w:r>
        <w:t xml:space="preserve">the area of applicability of spatial prediction models. Methods in Ecology and Evolution 12, 1620–1633.</w:t>
      </w:r>
      <w:r>
        <w:t xml:space="preserve"> </w:t>
      </w:r>
      <w:hyperlink r:id="rId104">
        <w:r>
          <w:rPr>
            <w:rStyle w:val="Hyperlink"/>
          </w:rPr>
          <w:t xml:space="preserve">https://doi.org/10.1111/2041-210X.13650</w:t>
        </w:r>
      </w:hyperlink>
    </w:p>
    <w:bookmarkEnd w:id="105"/>
    <w:bookmarkStart w:id="107" w:name="ref-Meyer2018"/>
    <w:p>
      <w:pPr>
        <w:pStyle w:val="Bibliography"/>
      </w:pPr>
      <w:r>
        <w:t xml:space="preserve">Meyer, H., Reudenbach, C., Hengl, T., Katurji, M., Nauss, T., 2018. Improving performance of spatio-temporal machine learning models using forward feature selection and target-oriented validation. Environmental Modelling &amp; Software 101, 1–9.</w:t>
      </w:r>
      <w:r>
        <w:t xml:space="preserve"> </w:t>
      </w:r>
      <w:hyperlink r:id="rId106">
        <w:r>
          <w:rPr>
            <w:rStyle w:val="Hyperlink"/>
          </w:rPr>
          <w:t xml:space="preserve">https://doi.org/10.1016/j.envsoft.2017.12.001</w:t>
        </w:r>
      </w:hyperlink>
    </w:p>
    <w:bookmarkEnd w:id="107"/>
    <w:bookmarkStart w:id="109" w:name="ref-Mila2022"/>
    <w:p>
      <w:pPr>
        <w:pStyle w:val="Bibliography"/>
      </w:pPr>
      <w:r>
        <w:t xml:space="preserve">Milà, C., Mateu, J., Pebesma, E., Meyer, H., 2022. Nearest neighbour distance matching</w:t>
      </w:r>
      <w:r>
        <w:t xml:space="preserve"> </w:t>
      </w:r>
      <w:r>
        <w:t xml:space="preserve">Leave-One-Out</w:t>
      </w:r>
      <w:r>
        <w:t xml:space="preserve"> </w:t>
      </w:r>
      <w:r>
        <w:t xml:space="preserve">Cross-Validation</w:t>
      </w:r>
      <w:r>
        <w:t xml:space="preserve"> </w:t>
      </w:r>
      <w:r>
        <w:t xml:space="preserve">for map validation. Methods in Ecology and Evolution 13, 1304–1316.</w:t>
      </w:r>
      <w:r>
        <w:t xml:space="preserve"> </w:t>
      </w:r>
      <w:hyperlink r:id="rId108">
        <w:r>
          <w:rPr>
            <w:rStyle w:val="Hyperlink"/>
          </w:rPr>
          <w:t xml:space="preserve">https://doi.org/10.1111/2041-210X.13851</w:t>
        </w:r>
      </w:hyperlink>
    </w:p>
    <w:bookmarkEnd w:id="109"/>
    <w:bookmarkStart w:id="111" w:name="ref-Ploton2020"/>
    <w:p>
      <w:pPr>
        <w:pStyle w:val="Bibliography"/>
      </w:pPr>
      <w:r>
        <w:t xml:space="preserve">Ploton, P., Mortier, F., Réjou-Méchain, M., Barbier, N., Picard, N., Rossi, V., Dormann, C., Cornu, G., Viennois, G., Bayol, N., Lyapustin, A., Gourlet-Fleury, S., Pélissier, R., 2020. Spatial validation reveals poor predictive performance of large-scale ecological mapping models. Nature Communications 11, 4540.</w:t>
      </w:r>
      <w:r>
        <w:t xml:space="preserve"> </w:t>
      </w:r>
      <w:hyperlink r:id="rId110">
        <w:r>
          <w:rPr>
            <w:rStyle w:val="Hyperlink"/>
          </w:rPr>
          <w:t xml:space="preserve">https://doi.org/10.1038/s41467-020-18321-y</w:t>
        </w:r>
      </w:hyperlink>
    </w:p>
    <w:bookmarkEnd w:id="111"/>
    <w:bookmarkStart w:id="113" w:name="ref-Roberts2017"/>
    <w:p>
      <w:pPr>
        <w:pStyle w:val="Bibliography"/>
      </w:pPr>
      <w:r>
        <w:t xml:space="preserve">Roberts, D.R., Bahn, V., Ciuti, S., Boyce, M.S., Elith, J., Guillera-Arroita, G., Hauenstein, S., Lahoz-Monfort, J.J., Schröder, B., Thuiller, W., Warton, D.I., Wintle, B.A., Hartig, F., Dormann, C.F., 2017. Cross-validation strategies for data with temporal, spatial, hierarchical, or phylogenetic structure. Ecography 40, 913–929.</w:t>
      </w:r>
      <w:r>
        <w:t xml:space="preserve"> </w:t>
      </w:r>
      <w:hyperlink r:id="rId112">
        <w:r>
          <w:rPr>
            <w:rStyle w:val="Hyperlink"/>
          </w:rPr>
          <w:t xml:space="preserve">https://doi.org/10.1111/ecog.02881</w:t>
        </w:r>
      </w:hyperlink>
    </w:p>
    <w:bookmarkEnd w:id="113"/>
    <w:bookmarkStart w:id="115" w:name="ref-Rousseau2022"/>
    <w:p>
      <w:pPr>
        <w:pStyle w:val="Bibliography"/>
      </w:pPr>
      <w:r>
        <w:t xml:space="preserve">Rousseau, J.S., Betts, M.G., 2022. Factors influencing transferability in species distribution models. Ecography 2022, e06060.</w:t>
      </w:r>
      <w:r>
        <w:t xml:space="preserve"> </w:t>
      </w:r>
      <w:hyperlink r:id="rId114">
        <w:r>
          <w:rPr>
            <w:rStyle w:val="Hyperlink"/>
          </w:rPr>
          <w:t xml:space="preserve">https://doi.org/10.1111/ecog.06060</w:t>
        </w:r>
      </w:hyperlink>
    </w:p>
    <w:bookmarkEnd w:id="115"/>
    <w:bookmarkStart w:id="117" w:name="ref-Sandholt2002"/>
    <w:p>
      <w:pPr>
        <w:pStyle w:val="Bibliography"/>
      </w:pPr>
      <w:r>
        <w:t xml:space="preserve">Sandholt, I., Rasmussen, K., Andersen, J., 2002. A simple interpretation of the surface temperature/vegetation index space for assessment of surface moisture status. Remote Sensing of Environment 79, 213–224.</w:t>
      </w:r>
      <w:r>
        <w:t xml:space="preserve"> </w:t>
      </w:r>
      <w:hyperlink r:id="rId116">
        <w:r>
          <w:rPr>
            <w:rStyle w:val="Hyperlink"/>
          </w:rPr>
          <w:t xml:space="preserve">https://doi.org/10.1016/S0034-4257(01)00274-7</w:t>
        </w:r>
      </w:hyperlink>
    </w:p>
    <w:bookmarkEnd w:id="117"/>
    <w:bookmarkStart w:id="119" w:name="ref-Schoener1968"/>
    <w:p>
      <w:pPr>
        <w:pStyle w:val="Bibliography"/>
      </w:pPr>
      <w:r>
        <w:t xml:space="preserve">Schoener, T.W., 1968. The</w:t>
      </w:r>
      <w:r>
        <w:t xml:space="preserve"> </w:t>
      </w:r>
      <w:r>
        <w:t xml:space="preserve">Anolis</w:t>
      </w:r>
      <w:r>
        <w:t xml:space="preserve"> </w:t>
      </w:r>
      <w:r>
        <w:t xml:space="preserve">lizards of</w:t>
      </w:r>
      <w:r>
        <w:t xml:space="preserve"> </w:t>
      </w:r>
      <w:r>
        <w:t xml:space="preserve">Bimini</w:t>
      </w:r>
      <w:r>
        <w:t xml:space="preserve">: Resource partitioning in a complex fauna. Ecology 49, 704–726.</w:t>
      </w:r>
      <w:r>
        <w:t xml:space="preserve"> </w:t>
      </w:r>
      <w:hyperlink r:id="rId118">
        <w:r>
          <w:rPr>
            <w:rStyle w:val="Hyperlink"/>
          </w:rPr>
          <w:t xml:space="preserve">https://doi.org/10.2307/1935534</w:t>
        </w:r>
      </w:hyperlink>
    </w:p>
    <w:bookmarkEnd w:id="119"/>
    <w:bookmarkStart w:id="121" w:name="ref-Sun2016"/>
    <w:p>
      <w:pPr>
        <w:pStyle w:val="Bibliography"/>
      </w:pPr>
      <w:r>
        <w:t xml:space="preserve">Sun, B., Feng, J., Saenko, K., 2016. Return of frustratingly easy domain adaptation, in: Proceedings of the Thirtieth</w:t>
      </w:r>
      <w:r>
        <w:t xml:space="preserve"> </w:t>
      </w:r>
      <w:r>
        <w:t xml:space="preserve">AAAI</w:t>
      </w:r>
      <w:r>
        <w:t xml:space="preserve"> </w:t>
      </w:r>
      <w:r>
        <w:t xml:space="preserve">Conference on Artificial Intelligence (</w:t>
      </w:r>
      <w:r>
        <w:t xml:space="preserve">AAAI</w:t>
      </w:r>
      <w:r>
        <w:t xml:space="preserve">-16). AAAI Press, Phoenix, Arizona, USA, pp. 2058–2065.</w:t>
      </w:r>
      <w:r>
        <w:t xml:space="preserve"> </w:t>
      </w:r>
      <w:hyperlink r:id="rId120">
        <w:r>
          <w:rPr>
            <w:rStyle w:val="Hyperlink"/>
          </w:rPr>
          <w:t xml:space="preserve">https://doi.org/10.1609/aaai.v30i1.10306</w:t>
        </w:r>
      </w:hyperlink>
    </w:p>
    <w:bookmarkEnd w:id="121"/>
    <w:bookmarkStart w:id="123" w:name="ref-Valavi2019"/>
    <w:p>
      <w:pPr>
        <w:pStyle w:val="Bibliography"/>
      </w:pPr>
      <w:r>
        <w:t xml:space="preserve">Valavi, R., Elith, J., Lahoz-Monfort, J.J., Guillera-Arroita, G., 2019.</w:t>
      </w:r>
      <w:r>
        <w:t xml:space="preserve"> </w:t>
      </w:r>
      <w:r>
        <w:t xml:space="preserve">blockCV</w:t>
      </w:r>
      <w:r>
        <w:t xml:space="preserve">: An</w:t>
      </w:r>
      <w:r>
        <w:t xml:space="preserve"> </w:t>
      </w:r>
      <w:r>
        <w:t xml:space="preserve">R</w:t>
      </w:r>
      <w:r>
        <w:t xml:space="preserve"> </w:t>
      </w:r>
      <w:r>
        <w:t xml:space="preserve">package for generating spatially or environmentally separated folds for k-fold cross-validation of species distribution models. Methods in Ecology and Evolution 10, 225–232.</w:t>
      </w:r>
      <w:r>
        <w:t xml:space="preserve"> </w:t>
      </w:r>
      <w:hyperlink r:id="rId122">
        <w:r>
          <w:rPr>
            <w:rStyle w:val="Hyperlink"/>
          </w:rPr>
          <w:t xml:space="preserve">https://doi.org/10.1111/2041-210X.13107</w:t>
        </w:r>
      </w:hyperlink>
    </w:p>
    <w:bookmarkEnd w:id="123"/>
    <w:bookmarkStart w:id="125" w:name="ref-Vesk2021"/>
    <w:p>
      <w:pPr>
        <w:pStyle w:val="Bibliography"/>
      </w:pPr>
      <w:r>
        <w:t xml:space="preserve">Vesk, P.A., Morris, W.K., Neal, W.C., Mokany, K., Pollock, L.J., 2021. Transferability of trait-based species distribution models. Ecography 44, 134–147.</w:t>
      </w:r>
      <w:r>
        <w:t xml:space="preserve"> </w:t>
      </w:r>
      <w:hyperlink r:id="rId124">
        <w:r>
          <w:rPr>
            <w:rStyle w:val="Hyperlink"/>
          </w:rPr>
          <w:t xml:space="preserve">https://doi.org/10.1111/ecog.05179</w:t>
        </w:r>
      </w:hyperlink>
    </w:p>
    <w:bookmarkEnd w:id="125"/>
    <w:bookmarkStart w:id="127" w:name="ref-Wadoux2021"/>
    <w:p>
      <w:pPr>
        <w:pStyle w:val="Bibliography"/>
      </w:pPr>
      <w:r>
        <w:t xml:space="preserve">Wadoux, A.M.J.-C., Heuvelink, G.B.M., Bruin, S. de, Brus, D.J., 2021. Spatial cross-validation is not the right way to evaluate map accuracy. Ecological Modelling 457, 109692.</w:t>
      </w:r>
      <w:r>
        <w:t xml:space="preserve"> </w:t>
      </w:r>
      <w:hyperlink r:id="rId126">
        <w:r>
          <w:rPr>
            <w:rStyle w:val="Hyperlink"/>
          </w:rPr>
          <w:t xml:space="preserve">https://doi.org/10.1016/j.ecolmodel.2021.109692</w:t>
        </w:r>
      </w:hyperlink>
    </w:p>
    <w:bookmarkEnd w:id="127"/>
    <w:bookmarkStart w:id="129" w:name="ref-Warren2008"/>
    <w:p>
      <w:pPr>
        <w:pStyle w:val="Bibliography"/>
      </w:pPr>
      <w:r>
        <w:t xml:space="preserve">Warren, D.L., Glor, R.E., Turelli, M., 2008. Environmental niche equivalency versus conservatism: Quantitative approaches to niche evolution. Evolution 62, 2868–2883.</w:t>
      </w:r>
      <w:r>
        <w:t xml:space="preserve"> </w:t>
      </w:r>
      <w:hyperlink r:id="rId128">
        <w:r>
          <w:rPr>
            <w:rStyle w:val="Hyperlink"/>
          </w:rPr>
          <w:t xml:space="preserve">https://doi.org/10.1111/j.1558-5646.2008.00482.x</w:t>
        </w:r>
      </w:hyperlink>
    </w:p>
    <w:bookmarkEnd w:id="129"/>
    <w:bookmarkStart w:id="131" w:name="ref-Yates2018"/>
    <w:p>
      <w:pPr>
        <w:pStyle w:val="Bibliography"/>
      </w:pPr>
      <w:r>
        <w:t xml:space="preserve">Yates, K.L., Bouchet, P.J., Caley, M.J., Mengersen, K., Randin, C.F., Parnell, S., Fielding, A.H., Bamford, A.J., Ban, S., Barbosa, A.M., Dormann, C.F., Elith, J., Embling, C.B., Ervin, G.N., Fisher, R., Gould, S., Graf, R.F., Gregr, E.J., Halpin, P.N., Heikkinen, R.K., Heinänen, S., Jones, A.R., Krishnakumar, P.K., Lauria, V., Lozano-Montes, H., Mannocci, L., Mellin, C., Mesgaran, M.B., Moreno-Amat, E., Mormede, S., Novaczek, E., Oppel, S., Ortuño Crespo, G., Peterson, A.T., Rapacciuolo, G., Roberts, J.J., Ross, R.E., Scales, K.L., Schoeman, D., Snelgrove, P., Sundblad, G., Thuiller, W., Torres, L.G., Verbruggen, H., Wang, L., Wenger, S., Whittingham, M.J., Zharikov, Y., Zurell, D., Sequeira, A.M.M., 2018. Outstanding challenges in the transferability of ecological models. Trends in Ecology &amp; Evolution 33, 790–802.</w:t>
      </w:r>
      <w:r>
        <w:t xml:space="preserve"> </w:t>
      </w:r>
      <w:hyperlink r:id="rId130">
        <w:r>
          <w:rPr>
            <w:rStyle w:val="Hyperlink"/>
          </w:rPr>
          <w:t xml:space="preserve">https://doi.org/10.1016/j.tree.2018.08.001</w:t>
        </w:r>
      </w:hyperlink>
    </w:p>
    <w:bookmarkEnd w:id="131"/>
    <w:bookmarkStart w:id="133" w:name="ref-Zanaga2022"/>
    <w:p>
      <w:pPr>
        <w:pStyle w:val="Bibliography"/>
      </w:pPr>
      <w:r>
        <w:t xml:space="preserve">Zanaga, D., Van De Kerchove, R., Daems, D., De Keersmaecker, W., Brockmann, C., Kirches, G., Wevers, J., Cartus, O., Santoro, M., Fritz, S., Lesiv, M., Herold, M., Tsendbazar, N.-E., Xu, P., Ramoino, F., Arino, O., 2022.</w:t>
      </w:r>
      <w:r>
        <w:t xml:space="preserve"> </w:t>
      </w:r>
      <w:r>
        <w:t xml:space="preserve">ESA</w:t>
      </w:r>
      <w:r>
        <w:t xml:space="preserve"> </w:t>
      </w:r>
      <w:r>
        <w:t xml:space="preserve">WorldCover</w:t>
      </w:r>
      <w:r>
        <w:t xml:space="preserve"> </w:t>
      </w:r>
      <w:r>
        <w:t xml:space="preserve">10 m 2021 v200.</w:t>
      </w:r>
      <w:r>
        <w:t xml:space="preserve"> </w:t>
      </w:r>
      <w:hyperlink r:id="rId132">
        <w:r>
          <w:rPr>
            <w:rStyle w:val="Hyperlink"/>
          </w:rPr>
          <w:t xml:space="preserve">https://doi.org/10.5281/zenodo.7254221</w:t>
        </w:r>
      </w:hyperlink>
    </w:p>
    <w:bookmarkEnd w:id="133"/>
    <w:bookmarkEnd w:id="134"/>
    <w:bookmarkEnd w:id="135"/>
    <w:sectPr>
      <w:footerReference r:id="rId9" w:type="default"/>
      <w:footnotePr>
        <w:numRestart w:val="eachSect"/>
      </w:footnotePr>
      <w:pgSz w:h="16838" w:w="11906"/>
      <w:pgMar w:bottom="1417" w:left="1417" w:right="1417" w:top="1417"/>
      <w:lnNumType w:countBy="1"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pPr>
    <w:rPr>
      <w:rFonts w:ascii="Times New Roman" w:cs="Times New Roman" w:eastAsia="Times New Roman" w:hAnsi="Times New Roman"/>
      <w:sz w:val="24"/>
    </w:rPr>
  </w:style>
  <w:style w:styleId="BodyText" w:type="paragraph">
    <w:name w:val="Body Text"/>
    <w:basedOn w:val="Normal"/>
    <w:link w:val="BodyTextChar"/>
    <w:qFormat/>
    <w:pPr>
      <w:spacing w:after="180" w:before="180" w:line="480" w:lineRule="auto"/>
    </w:pPr>
    <w:rPr>
      <w:rFonts w:ascii="Times New Roman" w:cs="Times New Roman" w:eastAsia="Times New Roman" w:hAnsi="Times New Roman"/>
      <w:sz w:val="24"/>
    </w:rPr>
  </w:style>
  <w:style w:customStyle="1" w:styleId="FirstParagraph" w:type="paragraph">
    <w:name w:val="First Paragraph"/>
    <w:basedOn w:val="BodyText"/>
    <w:next w:val="BodyText"/>
    <w:qFormat/>
    <w:pPr>
      <w:spacing w:line="480" w:lineRule="auto"/>
    </w:pPr>
    <w:rPr>
      <w:rFonts w:ascii="Times New Roman" w:cs="Times New Roman" w:eastAsia="Times New Roman" w:hAnsi="Times New Roman"/>
      <w:sz w:val="24"/>
    </w:rPr>
  </w:style>
  <w:style w:customStyle="1" w:styleId="Compact" w:type="paragraph">
    <w:name w:val="Compact"/>
    <w:basedOn w:val="BodyText"/>
    <w:qFormat/>
    <w:pPr>
      <w:spacing w:after="36" w:before="36" w:line="480" w:lineRule="auto"/>
    </w:pPr>
    <w:rPr>
      <w:rFonts w:ascii="Times New Roman" w:cs="Times New Roman" w:eastAsia="Times New Roman" w:hAnsi="Times New Roman"/>
      <w:sz w:val="24"/>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asciiTheme="majorHAnsi" w:cs="Times New Roman" w:cstheme="majorBidi" w:eastAsia="Times New Roman" w:eastAsiaTheme="majorEastAsia" w:hAnsi="Times New Roman" w:hAnsiTheme="majorHAnsi"/>
      <w:b/>
      <w:sz w:val="32"/>
      <w:szCs w:val="56"/>
    </w:rPr>
  </w:style>
  <w:style w:customStyle="1" w:styleId="TitleChar" w:type="character">
    <w:name w:val="Title Char"/>
    <w:basedOn w:val="DefaultParagraphFont"/>
    <w:link w:val="Title"/>
    <w:uiPriority w:val="10"/>
    <w:rsid w:val="00A10FD9"/>
    <w:rPr>
      <w:rFonts w:ascii="Times New Roman" w:asciiTheme="majorHAnsi" w:cs="Times New Roman" w:cstheme="majorBidi" w:eastAsia="Times New Roman" w:eastAsiaTheme="majorEastAsia" w:hAnsi="Times New Roman"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Times New Roman" w:cs="Times New Roman" w:cstheme="majorBidi" w:eastAsia="Times New Roman" w:eastAsiaTheme="majorEastAsia" w:hAnsi="Times New Roman"/>
      <w:b/>
      <w:spacing w:val="15"/>
      <w:sz w:val="26"/>
      <w:szCs w:val="28"/>
    </w:rPr>
  </w:style>
  <w:style w:customStyle="1" w:styleId="SubtitleChar" w:type="character">
    <w:name w:val="Subtitle Char"/>
    <w:basedOn w:val="DefaultParagraphFont"/>
    <w:link w:val="Subtitle"/>
    <w:uiPriority w:val="11"/>
    <w:rsid w:val="00A10FD9"/>
    <w:rPr>
      <w:rFonts w:ascii="Times New Roman" w:cs="Times New Roman" w:cstheme="majorBidi" w:eastAsia="Times New Roman" w:eastAsiaTheme="majorEastAsia" w:hAnsi="Times New Roman"/>
      <w:color w:themeColor="text1" w:themeTint="A6" w:val="595959"/>
      <w:spacing w:val="15"/>
      <w:sz w:val="28"/>
      <w:szCs w:val="28"/>
    </w:rPr>
  </w:style>
  <w:style w:customStyle="1" w:styleId="Author" w:type="paragraph">
    <w:name w:val="Author"/>
    <w:basedOn w:val="Title"/>
    <w:next w:val="BodyText"/>
    <w:qFormat/>
    <w:pPr>
      <w:keepNext/>
      <w:keepLines/>
    </w:pPr>
    <w:rPr>
      <w:rFonts w:ascii="Times New Roman" w:cs="Times New Roman" w:eastAsia="Times New Roman" w:hAnsi="Times New Roman"/>
      <w:sz w:val="24"/>
      <w:szCs w:val="24"/>
    </w:rPr>
  </w:style>
  <w:style w:styleId="Date" w:type="paragraph">
    <w:name w:val="Date"/>
    <w:basedOn w:val="Title"/>
    <w:next w:val="BodyText"/>
    <w:qFormat/>
    <w:pPr>
      <w:keepNext/>
      <w:keepLines/>
    </w:pPr>
    <w:rPr>
      <w:rFonts w:ascii="Times New Roman" w:cs="Times New Roman" w:eastAsia="Times New Roman" w:hAnsi="Times New Roman"/>
      <w:sz w:val="24"/>
      <w:szCs w:val="24"/>
    </w:rPr>
  </w:style>
  <w:style w:customStyle="1" w:styleId="AbstractTitle" w:type="paragraph">
    <w:name w:val="Abstract Title"/>
    <w:basedOn w:val="Normal"/>
    <w:next w:val="Abstract"/>
    <w:qFormat/>
    <w:pPr>
      <w:keepNext/>
      <w:keepLines/>
      <w:spacing w:after="0" w:before="300"/>
      <w:jc w:val="center"/>
    </w:pPr>
    <w:rPr>
      <w:rFonts w:ascii="Times New Roman" w:cs="Times New Roman" w:eastAsia="Times New Roman" w:hAnsi="Times New Roman"/>
      <w:b/>
      <w:sz w:val="20"/>
      <w:szCs w:val="20"/>
    </w:rPr>
  </w:style>
  <w:style w:customStyle="1" w:styleId="Abstract" w:type="paragraph">
    <w:name w:val="Abstract"/>
    <w:basedOn w:val="Normal"/>
    <w:next w:val="BodyText"/>
    <w:qFormat/>
    <w:pPr>
      <w:keepNext/>
      <w:keepLines/>
      <w:spacing w:after="300" w:before="100" w:line="480" w:lineRule="auto"/>
    </w:pPr>
    <w:rPr>
      <w:rFonts w:ascii="Times New Roman" w:cs="Times New Roman" w:eastAsia="Times New Roman" w:hAnsi="Times New Roman"/>
      <w:sz w:val="24"/>
      <w:szCs w:val="20"/>
    </w:rPr>
  </w:style>
  <w:style w:styleId="Bibliography" w:type="paragraph">
    <w:name w:val="Bibliography"/>
    <w:basedOn w:val="Normal"/>
    <w:next w:val="Bibliography"/>
    <w:qFormat/>
    <w:pPr>
      <w:spacing w:line="480" w:lineRule="auto"/>
    </w:pPr>
    <w:rPr>
      <w:rFonts w:ascii="Times New Roman" w:cs="Times New Roman" w:eastAsia="Times New Roman" w:hAnsi="Times New Roman"/>
      <w:sz w:val="24"/>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asciiTheme="majorHAnsi" w:cs="Times New Roman" w:cstheme="majorBidi" w:eastAsia="Times New Roman" w:eastAsiaTheme="majorEastAsia" w:hAnsi="Times New Roman" w:hAnsiTheme="majorHAnsi"/>
      <w:b/>
      <w:sz w:val="28"/>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asciiTheme="majorHAnsi" w:cs="Times New Roman" w:cstheme="majorBidi" w:eastAsia="Times New Roman" w:eastAsiaTheme="majorEastAsia" w:hAnsi="Times New Roman" w:hAnsiTheme="majorHAnsi"/>
      <w:b/>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imes New Roman" w:cstheme="majorBidi" w:eastAsia="Times New Roman" w:eastAsiaTheme="majorEastAsia" w:hAnsi="Times New Roman"/>
      <w:b/>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imes New Roman" w:cstheme="majorBidi" w:eastAsia="Times New Roman" w:eastAsiaTheme="majorEastAsia" w:hAnsi="Times New Roman"/>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imes New Roman" w:cstheme="majorBidi" w:eastAsia="Times New Roman" w:eastAsiaTheme="majorEastAsia" w:hAnsi="Times New Roman"/>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cs="Times New Roman" w:cstheme="majorBidi" w:eastAsia="Times New Roman" w:eastAsiaTheme="majorEastAsia" w:hAnsi="Times New Roman"/>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imes New Roman" w:cstheme="majorBidi" w:eastAsia="Times New Roman" w:eastAsiaTheme="majorEastAsia" w:hAnsi="Times New Roman"/>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imes New Roman" w:cstheme="majorBidi" w:eastAsia="Times New Roman" w:eastAsiaTheme="majorEastAsia" w:hAnsi="Times New Roman"/>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imes New Roman" w:cstheme="majorBidi" w:eastAsia="Times New Roman" w:eastAsiaTheme="majorEastAsia" w:hAnsi="Times New Roman"/>
      <w:color w:themeColor="text1" w:themeTint="D8" w:val="272727"/>
    </w:rPr>
  </w:style>
  <w:style w:customStyle="1" w:styleId="Heading1Char" w:type="character">
    <w:name w:val="Heading 1 Char"/>
    <w:basedOn w:val="DefaultParagraphFont"/>
    <w:link w:val="Heading1"/>
    <w:uiPriority w:val="9"/>
    <w:rsid w:val="00A10FD9"/>
    <w:rPr>
      <w:rFonts w:ascii="Times New Roman" w:asciiTheme="majorHAnsi" w:cs="Times New Roman" w:cstheme="majorBidi" w:eastAsia="Times New Roman" w:eastAsiaTheme="majorEastAsia" w:hAnsi="Times New Roman"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imes New Roman" w:asciiTheme="majorHAnsi" w:cs="Times New Roman" w:cstheme="majorBidi" w:eastAsia="Times New Roman" w:eastAsiaTheme="majorEastAsia" w:hAnsi="Times New Roman"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Times New Roman" w:cs="Times New Roman" w:cstheme="majorBidi" w:eastAsia="Times New Roman" w:eastAsiaTheme="majorEastAsia" w:hAnsi="Times New Roman"/>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Times New Roman" w:cs="Times New Roman" w:cstheme="majorBidi" w:eastAsia="Times New Roman" w:eastAsiaTheme="majorEastAsia" w:hAnsi="Times New Roman"/>
      <w:i/>
      <w:iCs/>
      <w:color w:themeColor="accent1" w:themeShade="BF" w:val="0F4761"/>
    </w:rPr>
  </w:style>
  <w:style w:customStyle="1" w:styleId="Heading5Char" w:type="character">
    <w:name w:val="Heading 5 Char"/>
    <w:basedOn w:val="DefaultParagraphFont"/>
    <w:link w:val="Heading5"/>
    <w:uiPriority w:val="9"/>
    <w:semiHidden/>
    <w:rsid w:val="00A10FD9"/>
    <w:rPr>
      <w:rFonts w:ascii="Times New Roman" w:cs="Times New Roman" w:cstheme="majorBidi" w:eastAsia="Times New Roman" w:eastAsiaTheme="majorEastAsia" w:hAnsi="Times New Roman"/>
      <w:color w:themeColor="accent1" w:themeShade="BF" w:val="0F4761"/>
    </w:rPr>
  </w:style>
  <w:style w:customStyle="1" w:styleId="Heading6Char" w:type="character">
    <w:name w:val="Heading 6 Char"/>
    <w:basedOn w:val="DefaultParagraphFont"/>
    <w:link w:val="Heading6"/>
    <w:uiPriority w:val="9"/>
    <w:semiHidden/>
    <w:rsid w:val="00A10FD9"/>
    <w:rPr>
      <w:rFonts w:ascii="Times New Roman" w:cs="Times New Roman" w:cstheme="majorBidi" w:eastAsia="Times New Roman" w:eastAsiaTheme="majorEastAsia" w:hAnsi="Times New Roman"/>
      <w:i/>
      <w:iCs/>
      <w:color w:themeColor="text1" w:themeTint="A6" w:val="595959"/>
    </w:rPr>
  </w:style>
  <w:style w:customStyle="1" w:styleId="Heading7Char" w:type="character">
    <w:name w:val="Heading 7 Char"/>
    <w:basedOn w:val="DefaultParagraphFont"/>
    <w:link w:val="Heading7"/>
    <w:uiPriority w:val="9"/>
    <w:semiHidden/>
    <w:rsid w:val="00A10FD9"/>
    <w:rPr>
      <w:rFonts w:ascii="Times New Roman" w:cs="Times New Roman" w:cstheme="majorBidi" w:eastAsia="Times New Roman" w:eastAsiaTheme="majorEastAsia" w:hAnsi="Times New Roman"/>
      <w:color w:themeColor="text1" w:themeTint="A6" w:val="595959"/>
    </w:rPr>
  </w:style>
  <w:style w:customStyle="1" w:styleId="Heading8Char" w:type="character">
    <w:name w:val="Heading 8 Char"/>
    <w:basedOn w:val="DefaultParagraphFont"/>
    <w:link w:val="Heading8"/>
    <w:uiPriority w:val="9"/>
    <w:semiHidden/>
    <w:rsid w:val="00A10FD9"/>
    <w:rPr>
      <w:rFonts w:ascii="Times New Roman" w:cs="Times New Roman" w:cstheme="majorBidi" w:eastAsia="Times New Roman" w:eastAsiaTheme="majorEastAsia" w:hAnsi="Times New Roman"/>
      <w:i/>
      <w:iCs/>
      <w:color w:themeColor="text1" w:themeTint="D8" w:val="272727"/>
    </w:rPr>
  </w:style>
  <w:style w:customStyle="1" w:styleId="Heading9Char" w:type="character">
    <w:name w:val="Heading 9 Char"/>
    <w:basedOn w:val="DefaultParagraphFont"/>
    <w:link w:val="Heading9"/>
    <w:uiPriority w:val="9"/>
    <w:semiHidden/>
    <w:rsid w:val="00A10FD9"/>
    <w:rPr>
      <w:rFonts w:ascii="Times New Roman" w:cs="Times New Roman" w:cstheme="majorBidi" w:eastAsia="Times New Roman" w:eastAsiaTheme="majorEastAsia" w:hAnsi="Times New Roman"/>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cs="Times New Roman" w:eastAsia="Times New Roman" w:hAnsi="Times New Roman"/>
    </w:rPr>
  </w:style>
  <w:style w:default="1" w:styleId="DefaultParagraphFont" w:type="character">
    <w:name w:val="Default Paragraph Font"/>
    <w:semiHidden/>
    <w:unhideWhenUsed/>
    <w:rPr>
      <w:rFonts w:ascii="Times New Roman" w:cs="Times New Roman" w:eastAsia="Times New Roman" w:hAnsi="Times New Roman"/>
    </w:rPr>
  </w:style>
  <w:style w:default="1" w:styleId="Table" w:type="table">
    <w:name w:val="Table"/>
    <w:basedOn w:val="TableNormal"/>
    <w:semiHidden/>
    <w:unhideWhenUsed/>
    <w:qFormat/>
    <w:rPr>
      <w:rFonts w:ascii="Times New Roman" w:cs="Times New Roman" w:eastAsia="Times New Roman" w:hAnsi="Times New Roman"/>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pPr>
    <w:rPr>
      <w:rFonts w:ascii="Times New Roman" w:cs="Times New Roman" w:eastAsia="Times New Roman" w:hAnsi="Times New Roman"/>
    </w:rPr>
  </w:style>
  <w:style w:customStyle="1" w:styleId="ImageCaption" w:type="paragraph">
    <w:name w:val="Image Caption"/>
    <w:basedOn w:val="Caption"/>
    <w:rPr>
      <w:rFonts w:ascii="Times New Roman" w:cs="Times New Roman" w:eastAsia="Times New Roman" w:hAnsi="Times New Roman"/>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rPr>
      <w:rFonts w:ascii="Times New Roman" w:cs="Times New Roman" w:eastAsia="Times New Roman" w:hAnsi="Times New Roman"/>
    </w:rPr>
  </w:style>
  <w:style w:customStyle="1" w:styleId="VerbatimChar" w:type="character">
    <w:name w:val="Verbatim Char"/>
    <w:basedOn w:val="BodyTextChar"/>
    <w:rPr>
      <w:rFonts w:ascii="Times New Roman" w:cs="Times New Roman" w:eastAsia="Times New Roman" w:hAnsi="Times New Roman"/>
      <w:sz w:val="22"/>
    </w:rPr>
  </w:style>
  <w:style w:customStyle="1" w:styleId="SectionNumber" w:type="character">
    <w:name w:val="Section Number"/>
    <w:basedOn w:val="BodyTextChar"/>
    <w:rPr>
      <w:rFonts w:ascii="Times New Roman" w:cs="Times New Roman" w:eastAsia="Times New Roman" w:hAnsi="Times New Roman"/>
    </w:rPr>
  </w:style>
  <w:style w:styleId="FootnoteReference" w:type="character">
    <w:name w:val="Footnote Reference"/>
    <w:basedOn w:val="BodyTextChar"/>
    <w:rPr>
      <w:rFonts w:ascii="Times New Roman" w:cs="Times New Roman" w:eastAsia="Times New Roman" w:hAnsi="Times New Roman"/>
      <w:vertAlign w:val="superscript"/>
    </w:rPr>
  </w:style>
  <w:style w:styleId="Hyperlink" w:type="character">
    <w:name w:val="Hyperlink"/>
    <w:basedOn w:val="BodyTextChar"/>
    <w:rPr>
      <w:rFonts w:ascii="Times New Roman" w:cs="Times New Roman" w:eastAsia="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asciiTheme="majorHAnsi" w:cs="Times New Roman" w:cstheme="majorBidi" w:eastAsia="Times New Roman" w:eastAsiaTheme="majorEastAsia" w:hAnsi="Times New Roman"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footer" Target="footer1.xml"/><Relationship Id="rId116" Type="http://schemas.openxmlformats.org/officeDocument/2006/relationships/hyperlink" Target="https://doi.org/10.1016/S0034-4257(01)00274-7" TargetMode="External"/><Relationship Id="rId88" Type="http://schemas.openxmlformats.org/officeDocument/2006/relationships/hyperlink" Target="https://doi.org/10.1016/j.ecoinf.2022.101665" TargetMode="External"/><Relationship Id="rId84" Type="http://schemas.openxmlformats.org/officeDocument/2006/relationships/hyperlink" Target="https://doi.org/10.1016/j.ecolmodel.2011.02.011" TargetMode="External"/><Relationship Id="rId126" Type="http://schemas.openxmlformats.org/officeDocument/2006/relationships/hyperlink" Target="https://doi.org/10.1016/j.ecolmodel.2021.109692" TargetMode="External"/><Relationship Id="rId106" Type="http://schemas.openxmlformats.org/officeDocument/2006/relationships/hyperlink" Target="https://doi.org/10.1016/j.envsoft.2017.12.001" TargetMode="External"/><Relationship Id="rId94" Type="http://schemas.openxmlformats.org/officeDocument/2006/relationships/hyperlink" Target="https://doi.org/10.1016/j.rse.2017.06.031" TargetMode="External"/><Relationship Id="rId92" Type="http://schemas.openxmlformats.org/officeDocument/2006/relationships/hyperlink" Target="https://doi.org/10.1016/j.rse.2018.08.005" TargetMode="External"/><Relationship Id="rId86" Type="http://schemas.openxmlformats.org/officeDocument/2006/relationships/hyperlink" Target="https://doi.org/10.1016/j.rse.2019.111490" TargetMode="External"/><Relationship Id="rId130" Type="http://schemas.openxmlformats.org/officeDocument/2006/relationships/hyperlink" Target="https://doi.org/10.1016/j.tree.2018.08.001" TargetMode="External"/><Relationship Id="rId110" Type="http://schemas.openxmlformats.org/officeDocument/2006/relationships/hyperlink" Target="https://doi.org/10.1038/s41467-020-18321-y" TargetMode="External"/><Relationship Id="rId102" Type="http://schemas.openxmlformats.org/officeDocument/2006/relationships/hyperlink" Target="https://doi.org/10.1038/s41467-022-29838-9" TargetMode="External"/><Relationship Id="rId122" Type="http://schemas.openxmlformats.org/officeDocument/2006/relationships/hyperlink" Target="https://doi.org/10.1111/2041-210X.13107" TargetMode="External"/><Relationship Id="rId104" Type="http://schemas.openxmlformats.org/officeDocument/2006/relationships/hyperlink" Target="https://doi.org/10.1111/2041-210X.13650" TargetMode="External"/><Relationship Id="rId108" Type="http://schemas.openxmlformats.org/officeDocument/2006/relationships/hyperlink" Target="https://doi.org/10.1111/2041-210X.13851" TargetMode="External"/><Relationship Id="rId112" Type="http://schemas.openxmlformats.org/officeDocument/2006/relationships/hyperlink" Target="https://doi.org/10.1111/ecog.02881" TargetMode="External"/><Relationship Id="rId124" Type="http://schemas.openxmlformats.org/officeDocument/2006/relationships/hyperlink" Target="https://doi.org/10.1111/ecog.05179" TargetMode="External"/><Relationship Id="rId114" Type="http://schemas.openxmlformats.org/officeDocument/2006/relationships/hyperlink" Target="https://doi.org/10.1111/ecog.06060" TargetMode="External"/><Relationship Id="rId98" Type="http://schemas.openxmlformats.org/officeDocument/2006/relationships/hyperlink" Target="https://doi.org/10.1111/geb.13635" TargetMode="External"/><Relationship Id="rId128" Type="http://schemas.openxmlformats.org/officeDocument/2006/relationships/hyperlink" Target="https://doi.org/10.1111/j.1558-5646.2008.00482.x" TargetMode="External"/><Relationship Id="rId120" Type="http://schemas.openxmlformats.org/officeDocument/2006/relationships/hyperlink" Target="https://doi.org/10.1609/aaai.v30i1.10306" TargetMode="External"/><Relationship Id="rId118" Type="http://schemas.openxmlformats.org/officeDocument/2006/relationships/hyperlink" Target="https://doi.org/10.2307/1935534" TargetMode="External"/><Relationship Id="rId100" Type="http://schemas.openxmlformats.org/officeDocument/2006/relationships/hyperlink" Target="https://doi.org/10.3390/fire7080276" TargetMode="External"/><Relationship Id="rId90" Type="http://schemas.openxmlformats.org/officeDocument/2006/relationships/hyperlink" Target="https://doi.org/10.3390/geomatics6010013" TargetMode="External"/><Relationship Id="rId96" Type="http://schemas.openxmlformats.org/officeDocument/2006/relationships/hyperlink" Target="https://doi.org/10.48550/arXiv.2511.11589" TargetMode="External"/><Relationship Id="rId132" Type="http://schemas.openxmlformats.org/officeDocument/2006/relationships/hyperlink" Target="https://doi.org/10.5281/zenodo.7254221" TargetMode="External"/><Relationship Id="rId80" Type="http://schemas.openxmlformats.org/officeDocument/2006/relationships/hyperlink" Target="https://github.com/dryuemco/thermal-twin" TargetMode="External"/><Relationship Id="rId81" Type="http://schemas.openxmlformats.org/officeDocument/2006/relationships/hyperlink" Target="https://github.com/emrehann17/satellite-thermal-digital-twin" TargetMode="External"/></Relationships>
</file>

<file path=word/_rels/footnotes.xml.rels><?xml version='1.0' encoding='UTF-8' standalone='yes'?>
<Relationships xmlns="http://schemas.openxmlformats.org/package/2006/relationships"><Relationship Id="rId116" Type="http://schemas.openxmlformats.org/officeDocument/2006/relationships/hyperlink" Target="https://doi.org/10.1016/S0034-4257(01)00274-7" TargetMode="External"/><Relationship Id="rId88" Type="http://schemas.openxmlformats.org/officeDocument/2006/relationships/hyperlink" Target="https://doi.org/10.1016/j.ecoinf.2022.101665" TargetMode="External"/><Relationship Id="rId84" Type="http://schemas.openxmlformats.org/officeDocument/2006/relationships/hyperlink" Target="https://doi.org/10.1016/j.ecolmodel.2011.02.011" TargetMode="External"/><Relationship Id="rId126" Type="http://schemas.openxmlformats.org/officeDocument/2006/relationships/hyperlink" Target="https://doi.org/10.1016/j.ecolmodel.2021.109692" TargetMode="External"/><Relationship Id="rId106" Type="http://schemas.openxmlformats.org/officeDocument/2006/relationships/hyperlink" Target="https://doi.org/10.1016/j.envsoft.2017.12.001" TargetMode="External"/><Relationship Id="rId94" Type="http://schemas.openxmlformats.org/officeDocument/2006/relationships/hyperlink" Target="https://doi.org/10.1016/j.rse.2017.06.031" TargetMode="External"/><Relationship Id="rId92" Type="http://schemas.openxmlformats.org/officeDocument/2006/relationships/hyperlink" Target="https://doi.org/10.1016/j.rse.2018.08.005" TargetMode="External"/><Relationship Id="rId86" Type="http://schemas.openxmlformats.org/officeDocument/2006/relationships/hyperlink" Target="https://doi.org/10.1016/j.rse.2019.111490" TargetMode="External"/><Relationship Id="rId130" Type="http://schemas.openxmlformats.org/officeDocument/2006/relationships/hyperlink" Target="https://doi.org/10.1016/j.tree.2018.08.001" TargetMode="External"/><Relationship Id="rId110" Type="http://schemas.openxmlformats.org/officeDocument/2006/relationships/hyperlink" Target="https://doi.org/10.1038/s41467-020-18321-y" TargetMode="External"/><Relationship Id="rId102" Type="http://schemas.openxmlformats.org/officeDocument/2006/relationships/hyperlink" Target="https://doi.org/10.1038/s41467-022-29838-9" TargetMode="External"/><Relationship Id="rId122" Type="http://schemas.openxmlformats.org/officeDocument/2006/relationships/hyperlink" Target="https://doi.org/10.1111/2041-210X.13107" TargetMode="External"/><Relationship Id="rId104" Type="http://schemas.openxmlformats.org/officeDocument/2006/relationships/hyperlink" Target="https://doi.org/10.1111/2041-210X.13650" TargetMode="External"/><Relationship Id="rId108" Type="http://schemas.openxmlformats.org/officeDocument/2006/relationships/hyperlink" Target="https://doi.org/10.1111/2041-210X.13851" TargetMode="External"/><Relationship Id="rId112" Type="http://schemas.openxmlformats.org/officeDocument/2006/relationships/hyperlink" Target="https://doi.org/10.1111/ecog.02881" TargetMode="External"/><Relationship Id="rId124" Type="http://schemas.openxmlformats.org/officeDocument/2006/relationships/hyperlink" Target="https://doi.org/10.1111/ecog.05179" TargetMode="External"/><Relationship Id="rId114" Type="http://schemas.openxmlformats.org/officeDocument/2006/relationships/hyperlink" Target="https://doi.org/10.1111/ecog.06060" TargetMode="External"/><Relationship Id="rId98" Type="http://schemas.openxmlformats.org/officeDocument/2006/relationships/hyperlink" Target="https://doi.org/10.1111/geb.13635" TargetMode="External"/><Relationship Id="rId128" Type="http://schemas.openxmlformats.org/officeDocument/2006/relationships/hyperlink" Target="https://doi.org/10.1111/j.1558-5646.2008.00482.x" TargetMode="External"/><Relationship Id="rId120" Type="http://schemas.openxmlformats.org/officeDocument/2006/relationships/hyperlink" Target="https://doi.org/10.1609/aaai.v30i1.10306" TargetMode="External"/><Relationship Id="rId118" Type="http://schemas.openxmlformats.org/officeDocument/2006/relationships/hyperlink" Target="https://doi.org/10.2307/1935534" TargetMode="External"/><Relationship Id="rId100" Type="http://schemas.openxmlformats.org/officeDocument/2006/relationships/hyperlink" Target="https://doi.org/10.3390/fire7080276" TargetMode="External"/><Relationship Id="rId90" Type="http://schemas.openxmlformats.org/officeDocument/2006/relationships/hyperlink" Target="https://doi.org/10.3390/geomatics6010013" TargetMode="External"/><Relationship Id="rId96" Type="http://schemas.openxmlformats.org/officeDocument/2006/relationships/hyperlink" Target="https://doi.org/10.48550/arXiv.2511.11589" TargetMode="External"/><Relationship Id="rId132" Type="http://schemas.openxmlformats.org/officeDocument/2006/relationships/hyperlink" Target="https://doi.org/10.5281/zenodo.7254221" TargetMode="External"/><Relationship Id="rId80" Type="http://schemas.openxmlformats.org/officeDocument/2006/relationships/hyperlink" Target="https://github.com/dryuemco/thermal-twin" TargetMode="External"/><Relationship Id="rId81" Type="http://schemas.openxmlformats.org/officeDocument/2006/relationships/hyperlink" Target="https://github.com/emrehann17/satellite-thermal-digital-tw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dc:title>
  <dc:creator/>
  <dc:language>en-GB</dc:language>
  <cp:keywords/>
  <dcterms:created xsi:type="dcterms:W3CDTF">2026-09-23T20:57:08Z</dcterms:created>
  <dcterms:modified xsi:type="dcterms:W3CDTF">2026-09-23T20:57:08Z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C:\Users\CORSAIR\projects\thermal-twin-main\paper\REFERENCES.bib</vt:lpwstr>
  </property>
  <property fmtid="{D5CDD505-2E9C-101B-9397-08002B2CF9AE}" pid="3" name="csl">
    <vt:lpwstr>C:\Users\CORSAIR\projects\thermal-twin-main\paper\tex\elsevier-harvard.csl</vt:lpwstr>
  </property>
  <property fmtid="{D5CDD505-2E9C-101B-9397-08002B2CF9AE}" pid="4" name="subtitle">
    <vt:lpwstr>Evaluation geometry and the limits of cross-region transfer in pre-fire thermal wildfire prediction</vt:lpwstr>
  </property>
</Properties>
</file>