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Subtitle"/>
      </w:pPr>
      <w:r>
        <w:t xml:space="preserve">Evaluation geometry and the limits of cross-region transfer in pre-fire thermal wildfire prediction</w:t>
      </w:r>
    </w:p>
    <w:p>
      <w:pPr>
        <w:pStyle w:val="FirstParagraph"/>
      </w:pPr>
      <w:r>
        <w:t xml:space="preserve">Supplementary material for</w:t>
      </w:r>
      <w:r>
        <w:t xml:space="preserve"> </w:t>
      </w:r>
      <w:r>
        <w:rPr>
          <w:i/>
          <w:iCs/>
        </w:rPr>
        <w:t xml:space="preserve">Evaluation geometry and the limits of cross-region transfer in pre-fire</w:t>
      </w:r>
      <w:r>
        <w:rPr>
          <w:i/>
          <w:iCs/>
        </w:rPr>
        <w:t xml:space="preserve"> </w:t>
      </w:r>
      <w:r>
        <w:rPr>
          <w:i/>
          <w:iCs/>
        </w:rPr>
        <w:t xml:space="preserve">thermal wildfire prediction</w:t>
      </w:r>
      <w:r>
        <w:t xml:space="preserve">.</w:t>
      </w:r>
    </w:p>
    <w:p>
      <w:pPr>
        <w:pStyle w:val="BodyText"/>
      </w:pPr>
      <w:r>
        <w:t xml:space="preserve">Section S1 reports the sensitivity analyses and the detail behind the Results; Section S2 the</w:t>
      </w:r>
      <w:r>
        <w:t xml:space="preserve"> </w:t>
      </w:r>
      <w:r>
        <w:t xml:space="preserve">supporting tables; Section S3 the protocol detail and the limitations; Section S5 the target-label</w:t>
      </w:r>
      <w:r>
        <w:t xml:space="preserve"> </w:t>
      </w:r>
      <w:r>
        <w:t xml:space="preserve">recovery curve; Section S6 the code and Section S7 the data. Tables are numbered S1 to S34, independently of the sections, and supplementary equations are</w:t>
      </w:r>
      <w:r>
        <w:t xml:space="preserve"> </w:t>
      </w:r>
      <w:r>
        <w:t xml:space="preserve">numbered (S1), (S2), and so on. Every value is read from a released output, named by its path in the repository</w:t>
      </w:r>
      <w:r>
        <w:t xml:space="preserve"> </w:t>
      </w:r>
      <w:hyperlink r:id="rId18">
        <w:r>
          <w:rPr>
            <w:rStyle w:val="Hyperlink"/>
          </w:rPr>
          <w:t xml:space="preserve">https://github.com/dryuemco/thermal-twin</w:t>
        </w:r>
      </w:hyperlink>
      <w:r>
        <w:t xml:space="preserve">; paths beginning</w:t>
      </w:r>
      <w:r>
        <w:t xml:space="preserve"> </w:t>
      </w:r>
      <w:r>
        <w:rPr>
          <w:rStyle w:val="VerbatimChar"/>
        </w:rPr>
        <w:t xml:space="preserve">paper/labelfix_rerun/</w:t>
      </w:r>
      <w:r>
        <w:t xml:space="preserve"> </w:t>
      </w:r>
      <w:r>
        <w:t xml:space="preserve">hold the</w:t>
      </w:r>
      <w:r>
        <w:t xml:space="preserve"> </w:t>
      </w:r>
      <w:r>
        <w:t xml:space="preserve">corrected-label outputs. Values computed under the original Manavgat label are marked</w:t>
      </w:r>
      <w:r>
        <w:t xml:space="preserve"> </w:t>
      </w:r>
      <w:r>
        <w:t xml:space="preserve">“original</w:t>
      </w:r>
      <w:r>
        <w:t xml:space="preserve"> </w:t>
      </w:r>
      <w:r>
        <w:t xml:space="preserve">label”</w:t>
      </w:r>
      <w:r>
        <w:t xml:space="preserve"> </w:t>
      </w:r>
      <w:r>
        <w:t xml:space="preserve">wherever they appear.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S1 Sensitivity analyses and detail</w:t>
      </w:r>
    </w:p>
    <w:p>
      <w:pPr>
        <w:pStyle w:val="Compact"/>
        <w:numPr>
          <w:ilvl w:val="1"/>
          <w:numId w:val="1002"/>
        </w:numPr>
      </w:pPr>
      <w:r>
        <w:t xml:space="preserve">S1.1 Evia AOI and prevalence</w:t>
      </w:r>
    </w:p>
    <w:p>
      <w:pPr>
        <w:pStyle w:val="Compact"/>
        <w:numPr>
          <w:ilvl w:val="1"/>
          <w:numId w:val="1002"/>
        </w:numPr>
      </w:pPr>
      <w:r>
        <w:t xml:space="preserve">S1.2 CORAL regularisation</w:t>
      </w:r>
    </w:p>
    <w:p>
      <w:pPr>
        <w:pStyle w:val="Compact"/>
        <w:numPr>
          <w:ilvl w:val="1"/>
          <w:numId w:val="1002"/>
        </w:numPr>
      </w:pPr>
      <w:r>
        <w:t xml:space="preserve">S1.3 Blocking scale</w:t>
      </w:r>
    </w:p>
    <w:p>
      <w:pPr>
        <w:pStyle w:val="Compact"/>
        <w:numPr>
          <w:ilvl w:val="1"/>
          <w:numId w:val="1002"/>
        </w:numPr>
      </w:pPr>
      <w:r>
        <w:t xml:space="preserve">S1.4 Predictor-window closure</w:t>
      </w:r>
    </w:p>
    <w:p>
      <w:pPr>
        <w:pStyle w:val="Compact"/>
        <w:numPr>
          <w:ilvl w:val="1"/>
          <w:numId w:val="1002"/>
        </w:numPr>
      </w:pPr>
      <w:r>
        <w:t xml:space="preserve">S1.5 Quality screening of the coarse thermal input</w:t>
      </w:r>
    </w:p>
    <w:p>
      <w:pPr>
        <w:pStyle w:val="Compact"/>
        <w:numPr>
          <w:ilvl w:val="1"/>
          <w:numId w:val="1002"/>
        </w:numPr>
      </w:pPr>
      <w:r>
        <w:t xml:space="preserve">S1.6 Normalised against absolute dryness channels</w:t>
      </w:r>
    </w:p>
    <w:p>
      <w:pPr>
        <w:pStyle w:val="Compact"/>
        <w:numPr>
          <w:ilvl w:val="1"/>
          <w:numId w:val="1002"/>
        </w:numPr>
      </w:pPr>
      <w:r>
        <w:t xml:space="preserve">S1.7 The coordinate-informed channels</w:t>
      </w:r>
    </w:p>
    <w:p>
      <w:pPr>
        <w:pStyle w:val="Compact"/>
        <w:numPr>
          <w:ilvl w:val="1"/>
          <w:numId w:val="1002"/>
        </w:numPr>
      </w:pPr>
      <w:r>
        <w:t xml:space="preserve">S1.8 Model capacity</w:t>
      </w:r>
    </w:p>
    <w:p>
      <w:pPr>
        <w:pStyle w:val="Compact"/>
        <w:numPr>
          <w:ilvl w:val="1"/>
          <w:numId w:val="1002"/>
        </w:numPr>
      </w:pPr>
      <w:r>
        <w:t xml:space="preserve">S1.9 The four evaluations of Section 4.3, in full</w:t>
      </w:r>
    </w:p>
    <w:p>
      <w:pPr>
        <w:pStyle w:val="Compact"/>
        <w:numPr>
          <w:ilvl w:val="1"/>
          <w:numId w:val="1002"/>
        </w:numPr>
      </w:pPr>
      <w:r>
        <w:t xml:space="preserve">S1.10 The transfer-gap decomposition, in full</w:t>
      </w:r>
    </w:p>
    <w:p>
      <w:pPr>
        <w:pStyle w:val="Compact"/>
        <w:numPr>
          <w:ilvl w:val="1"/>
          <w:numId w:val="1002"/>
        </w:numPr>
      </w:pPr>
      <w:r>
        <w:t xml:space="preserve">S1.11 The thermal sign, stratified</w:t>
      </w:r>
    </w:p>
    <w:p>
      <w:pPr>
        <w:pStyle w:val="Compact"/>
        <w:numPr>
          <w:ilvl w:val="1"/>
          <w:numId w:val="1002"/>
        </w:numPr>
      </w:pPr>
      <w:r>
        <w:t xml:space="preserve">S1.12 The LST anomaly under the difference instrument</w:t>
      </w:r>
    </w:p>
    <w:p>
      <w:pPr>
        <w:pStyle w:val="Compact"/>
        <w:numPr>
          <w:ilvl w:val="1"/>
          <w:numId w:val="1002"/>
        </w:numPr>
      </w:pPr>
      <w:r>
        <w:t xml:space="preserve">S1.13 The same-geography event pair</w:t>
      </w:r>
    </w:p>
    <w:p>
      <w:pPr>
        <w:pStyle w:val="Compact"/>
        <w:numPr>
          <w:ilvl w:val="1"/>
          <w:numId w:val="1002"/>
        </w:numPr>
      </w:pPr>
      <w:r>
        <w:t xml:space="preserve">S1.14 The two interventions, in full</w:t>
      </w:r>
    </w:p>
    <w:p>
      <w:pPr>
        <w:pStyle w:val="Compact"/>
        <w:numPr>
          <w:ilvl w:val="1"/>
          <w:numId w:val="1002"/>
        </w:numPr>
      </w:pPr>
      <w:r>
        <w:t xml:space="preserve">S1.15 Signed associations on both frames</w:t>
      </w:r>
    </w:p>
    <w:p>
      <w:pPr>
        <w:pStyle w:val="Compact"/>
        <w:numPr>
          <w:ilvl w:val="1"/>
          <w:numId w:val="1002"/>
        </w:numPr>
      </w:pPr>
      <w:r>
        <w:t xml:space="preserve">S1.16 The contrast pair, in full</w:t>
      </w:r>
    </w:p>
    <w:p>
      <w:pPr>
        <w:pStyle w:val="Compact"/>
        <w:numPr>
          <w:ilvl w:val="1"/>
          <w:numId w:val="1002"/>
        </w:numPr>
      </w:pPr>
      <w:r>
        <w:t xml:space="preserve">S1.17 The sensitivity arms, summarised</w:t>
      </w:r>
    </w:p>
    <w:p>
      <w:pPr>
        <w:pStyle w:val="Compact"/>
        <w:numPr>
          <w:ilvl w:val="1"/>
          <w:numId w:val="1002"/>
        </w:numPr>
      </w:pPr>
      <w:r>
        <w:t xml:space="preserve">S1.18 Distance within a region</w:t>
      </w:r>
    </w:p>
    <w:p>
      <w:pPr>
        <w:pStyle w:val="Compact"/>
        <w:numPr>
          <w:ilvl w:val="1"/>
          <w:numId w:val="1002"/>
        </w:numPr>
      </w:pPr>
      <w:r>
        <w:t xml:space="preserve">S1.20 The frame test, elaborated</w:t>
      </w:r>
    </w:p>
    <w:p>
      <w:pPr>
        <w:pStyle w:val="Compact"/>
        <w:numPr>
          <w:ilvl w:val="1"/>
          <w:numId w:val="1002"/>
        </w:numPr>
      </w:pPr>
      <w:r>
        <w:t xml:space="preserve">S1.21 The transfer matrix and adaptation, elaborated</w:t>
      </w:r>
    </w:p>
    <w:p>
      <w:pPr>
        <w:pStyle w:val="Compact"/>
        <w:numPr>
          <w:ilvl w:val="1"/>
          <w:numId w:val="1002"/>
        </w:numPr>
      </w:pPr>
      <w:r>
        <w:t xml:space="preserve">S1.22 The similarity diagnostics</w:t>
      </w:r>
    </w:p>
    <w:p>
      <w:pPr>
        <w:pStyle w:val="Compact"/>
        <w:numPr>
          <w:ilvl w:val="1"/>
          <w:numId w:val="1002"/>
        </w:numPr>
      </w:pPr>
      <w:r>
        <w:t xml:space="preserve">S1.23 Additional robustness analyses</w:t>
      </w:r>
    </w:p>
    <w:p>
      <w:pPr>
        <w:pStyle w:val="Compact"/>
        <w:numPr>
          <w:ilvl w:val="0"/>
          <w:numId w:val="1001"/>
        </w:numPr>
      </w:pPr>
      <w:r>
        <w:t xml:space="preserve">S2 Supporting tables</w:t>
      </w:r>
    </w:p>
    <w:p>
      <w:pPr>
        <w:pStyle w:val="Compact"/>
        <w:numPr>
          <w:ilvl w:val="0"/>
          <w:numId w:val="1001"/>
        </w:numPr>
      </w:pPr>
      <w:r>
        <w:t xml:space="preserve">S3 Protocol detail and limitations</w:t>
      </w:r>
    </w:p>
    <w:p>
      <w:pPr>
        <w:pStyle w:val="Compact"/>
        <w:numPr>
          <w:ilvl w:val="0"/>
          <w:numId w:val="1001"/>
        </w:numPr>
      </w:pPr>
      <w:r>
        <w:t xml:space="preserve">S5 Target-label recovery curve</w:t>
      </w:r>
    </w:p>
    <w:p>
      <w:pPr>
        <w:pStyle w:val="Compact"/>
        <w:numPr>
          <w:ilvl w:val="0"/>
          <w:numId w:val="1001"/>
        </w:numPr>
      </w:pPr>
      <w:r>
        <w:t xml:space="preserve">S6 Code</w:t>
      </w:r>
    </w:p>
    <w:p>
      <w:pPr>
        <w:pStyle w:val="Compact"/>
        <w:numPr>
          <w:ilvl w:val="0"/>
          <w:numId w:val="1001"/>
        </w:numPr>
      </w:pPr>
      <w:r>
        <w:t xml:space="preserve">S7 Data</w:t>
      </w:r>
    </w:p>
    <w:p>
      <w:pPr>
        <w:pStyle w:val="FirstParagraph"/>
      </w:pPr>
      <w:r>
        <w:t xml:space="preserve">Section S1.19 of earlier versions is merged into Section S5, so the numbering skips it; the S4</w:t>
      </w:r>
      <w:r>
        <w:t xml:space="preserve"> </w:t>
      </w:r>
      <w:r>
        <w:t xml:space="preserve">record of earlier versions is replaced by Sections S1.22 and S2.4.</w:t>
      </w:r>
    </w:p>
    <w:bookmarkEnd w:id="19"/>
    <w:bookmarkStart w:id="45" w:name="s1-sensitivity-analyses-and-detail"/>
    <w:p>
      <w:pPr>
        <w:pStyle w:val="Heading1"/>
      </w:pPr>
      <w:r>
        <w:t xml:space="preserve">S1 Sensitivity analyses and detail</w:t>
      </w:r>
    </w:p>
    <w:p>
      <w:pPr>
        <w:pStyle w:val="FirstParagraph"/>
      </w:pPr>
      <w:r>
        <w:t xml:space="preserve">Each arm below varies one design choice and leaves everything else fixed. None changes a conclusion</w:t>
      </w:r>
      <w:r>
        <w:t xml:space="preserve"> </w:t>
      </w:r>
      <w:r>
        <w:t xml:space="preserve">in the main text. Section S1.6 is the exception in one respect: it is not a robustness check but a</w:t>
      </w:r>
      <w:r>
        <w:t xml:space="preserve"> </w:t>
      </w:r>
      <w:r>
        <w:t xml:space="preserve">test of a claim the introduction makes, and the claim is not upheld.</w:t>
      </w:r>
    </w:p>
    <w:bookmarkStart w:id="20" w:name="s1.1-evia-aoi-and-prevalence"/>
    <w:p>
      <w:pPr>
        <w:pStyle w:val="Heading2"/>
      </w:pPr>
      <w:r>
        <w:t xml:space="preserve">S1.1 Evia AOI and prevalence</w:t>
      </w:r>
    </w:p>
    <w:p>
      <w:pPr>
        <w:pStyle w:val="FirstParagraph"/>
      </w:pPr>
      <w:r>
        <w:t xml:space="preserve">The raw transfer arms that involve Evia with Bejís, Manavgat and Muğla were repeated with the</w:t>
      </w:r>
      <w:r>
        <w:t xml:space="preserve"> </w:t>
      </w:r>
      <w:r>
        <w:t xml:space="preserve">legacy, high-prevalence Evia box. Every qualitative conclusion is unchanged. Thermal raw transfer AUCs</w:t>
      </w:r>
      <w:r>
        <w:t xml:space="preserve"> </w:t>
      </w:r>
      <w:r>
        <w:t xml:space="preserve">move by up to 0.134, the largest being Evia to Manavgat at 0.543 with the legacy box against 0.677</w:t>
      </w:r>
      <w:r>
        <w:t xml:space="preserve"> </w:t>
      </w:r>
      <w:r>
        <w:t xml:space="preserve">with the extended one, and no direction changes side of the chance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paper/labelfix_rerun/round7/r7f_evia_legacy.csv</w:t>
      </w:r>
      <w:r>
        <w:t xml:space="preserve">). On the legacy box the natural-vegetation</w:t>
      </w:r>
      <w:r>
        <w:t xml:space="preserve"> </w:t>
      </w:r>
      <w:r>
        <w:t xml:space="preserve">population is smaller and its burned prevalence higher than the extended box’s 0.287 (Table S15).</w:t>
      </w:r>
    </w:p>
    <w:bookmarkEnd w:id="20"/>
    <w:bookmarkStart w:id="21" w:name="s1.2-coral-regularisation"/>
    <w:p>
      <w:pPr>
        <w:pStyle w:val="Heading2"/>
      </w:pPr>
      <w:r>
        <w:t xml:space="preserve">S1.2 CORAL regularisation</w:t>
      </w:r>
    </w:p>
    <w:p>
      <w:pPr>
        <w:pStyle w:val="FirstParagraph"/>
      </w:pPr>
      <w:r>
        <w:t xml:space="preserve">Over nine λ values from 0 to 10⁻¹ on four directions (Bejís and Muğla, and Manavgat and Muğla, both ways),</w:t>
      </w:r>
      <w:r>
        <w:t xml:space="preserve"> </w:t>
      </w:r>
      <w:r>
        <w:t xml:space="preserve">CORAL transfer AUC moves by at most 0.014 within any direction and model, and by at most 0.009 for</w:t>
      </w:r>
      <w:r>
        <w:t xml:space="preserve"> </w:t>
      </w:r>
      <w:r>
        <w:t xml:space="preserve">the thermal model (</w:t>
      </w:r>
      <w:r>
        <w:rPr>
          <w:rStyle w:val="VerbatimChar"/>
        </w:rPr>
        <w:t xml:space="preserve">paper/labelfix_rerun/exports/coral_lambda_sensitivity_b74d643e/metrics.csv</w:t>
      </w:r>
      <w:r>
        <w:t xml:space="preserve">). No</w:t>
      </w:r>
      <w:r>
        <w:t xml:space="preserve"> </w:t>
      </w:r>
      <w:r>
        <w:t xml:space="preserve">value of λ was selected on performance.</w:t>
      </w:r>
    </w:p>
    <w:p>
      <w:pPr>
        <w:pStyle w:val="BodyText"/>
      </w:pPr>
      <w:r>
        <w:t xml:space="preserve">The Manavgat and Bejís pair is not in that sweep, and it is the pair whose adapted result depended on λ</w:t>
      </w:r>
      <w:r>
        <w:t xml:space="preserve"> </w:t>
      </w:r>
      <w:r>
        <w:t xml:space="preserve">under the original label. It was therefore swept separately at λ = 10⁻⁵, 10⁻³ and 10⁻¹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paper/labelfix_rerun/step10/coral_lambda_sensitivity.csv</w:t>
      </w:r>
      <w:r>
        <w:t xml:space="preserve">). Bejís to Manavgat gives 0.408 [0.389,</w:t>
      </w:r>
      <w:r>
        <w:t xml:space="preserve"> </w:t>
      </w:r>
      <w:r>
        <w:t xml:space="preserve">0.427], 0.410 and 0.367, below chance at every λ; Manavgat to Bejís gives 0.470 [0.444, 0.494], 0.474</w:t>
      </w:r>
      <w:r>
        <w:t xml:space="preserve"> </w:t>
      </w:r>
      <w:r>
        <w:t xml:space="preserve">and 0.466. No adapted direction of this pair has an interval above chance at any λ, so no conclusion</w:t>
      </w:r>
      <w:r>
        <w:t xml:space="preserve"> </w:t>
      </w:r>
      <w:r>
        <w:t xml:space="preserve">of the paper depends on the choice of λ within this range.</w:t>
      </w:r>
    </w:p>
    <w:bookmarkEnd w:id="21"/>
    <w:bookmarkStart w:id="22" w:name="s1.3-blocking-scale"/>
    <w:p>
      <w:pPr>
        <w:pStyle w:val="Heading2"/>
      </w:pPr>
      <w:r>
        <w:t xml:space="preserve">S1.3 Blocking scale</w:t>
      </w:r>
    </w:p>
    <w:p>
      <w:pPr>
        <w:pStyle w:val="FirstParagraph"/>
      </w:pPr>
      <w:r>
        <w:t xml:space="preserve">Recomputing the transfer quantities at 10-cell (≈5 km) blocking from the re-frozen per-cell</w:t>
      </w:r>
      <w:r>
        <w:t xml:space="preserve"> </w:t>
      </w:r>
      <w:r>
        <w:t xml:space="preserve">predictions widens the intervals and moves the paired-delta verdict counts, from twelve positive,</w:t>
      </w:r>
      <w:r>
        <w:t xml:space="preserve"> </w:t>
      </w:r>
      <w:r>
        <w:t xml:space="preserve">seven negative and one uncertain at 1 km to six, five and nine at 5 km. Coarser blocking therefore</w:t>
      </w:r>
      <w:r>
        <w:t xml:space="preserve"> </w:t>
      </w:r>
      <w:r>
        <w:t xml:space="preserve">removes support from eight verdicts and adds none. Across five bootstrap seeds the 5 km counts run 5</w:t>
      </w:r>
      <w:r>
        <w:t xml:space="preserve"> </w:t>
      </w:r>
      <w:r>
        <w:t xml:space="preserve">to 6 positive, 4 to 5 negative and 9 to 11 uncertain, so they are not 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paper/labelfix_rerun/round5/out_official/transfer_ci_blocksize.csv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paper/labelfix_rerun/round6/seed_stability.json</w:t>
      </w:r>
      <w:r>
        <w:t xml:space="preserve">).</w:t>
      </w:r>
    </w:p>
    <w:p>
      <w:pPr>
        <w:pStyle w:val="BodyText"/>
      </w:pPr>
      <w:r>
        <w:t xml:space="preserve">The point estimates are unchanged. That is an identity rather than a result: the blocking scale is</w:t>
      </w:r>
      <w:r>
        <w:t xml:space="preserve"> </w:t>
      </w:r>
      <w:r>
        <w:t xml:space="preserve">the bootstrap</w:t>
      </w:r>
      <w:r>
        <w:t xml:space="preserve"> </w:t>
      </w:r>
      <w:r>
        <w:rPr>
          <w:i/>
          <w:iCs/>
        </w:rPr>
        <w:t xml:space="preserve">resampling unit</w:t>
      </w:r>
      <w:r>
        <w:t xml:space="preserve">, and each point estimate is computed once over all target cells. The</w:t>
      </w:r>
      <w:r>
        <w:t xml:space="preserve"> </w:t>
      </w:r>
      <w:r>
        <w:t xml:space="preserve">comparison does establish two things. Every verdict that changes, changes towards</w:t>
      </w:r>
      <w:r>
        <w:t xml:space="preserve"> </w:t>
      </w:r>
      <w:r>
        <w:t xml:space="preserve">“no verdict”</w:t>
      </w:r>
      <w:r>
        <w:t xml:space="preserve">, and</w:t>
      </w:r>
      <w:r>
        <w:t xml:space="preserve"> </w:t>
      </w:r>
      <w:r>
        <w:t xml:space="preserve">no direction crosses the chance line under the widened intervals. The counts are the fragile part of</w:t>
      </w:r>
      <w:r>
        <w:t xml:space="preserve"> </w:t>
      </w:r>
      <w:r>
        <w:t xml:space="preserve">this paper; the sign pattern is simply not tested by this variation.</w:t>
      </w:r>
    </w:p>
    <w:p>
      <w:pPr>
        <w:pStyle w:val="BodyText"/>
      </w:pPr>
      <w:r>
        <w:rPr>
          <w:b/>
          <w:bCs/>
        </w:rPr>
        <w:t xml:space="preserve">Table 1 note (resampling units).</w:t>
      </w:r>
      <w:r>
        <w:t xml:space="preserve"> </w:t>
      </w:r>
      <w:r>
        <w:t xml:space="preserve">The bootstrap resamples spatial blocks, so an interval’s</w:t>
      </w:r>
      <w:r>
        <w:t xml:space="preserve"> </w:t>
      </w:r>
      <w:r>
        <w:t xml:space="preserve">reliability is bounded by the number of blocks carrying at least one burned cell. Those counts fall</w:t>
      </w:r>
      <w:r>
        <w:t xml:space="preserve"> </w:t>
      </w:r>
      <w:r>
        <w:t xml:space="preserve">from 192 to 843 at 2 cells to</w:t>
      </w:r>
      <w:r>
        <w:t xml:space="preserve"> </w:t>
      </w:r>
      <w:r>
        <w:rPr>
          <w:b/>
          <w:bCs/>
        </w:rPr>
        <w:t xml:space="preserve">6 to 33</w:t>
      </w:r>
      <w:r>
        <w:t xml:space="preserve"> </w:t>
      </w:r>
      <w:r>
        <w:t xml:space="preserve">at 20 cells. An interval built on six such blocks has no</w:t>
      </w:r>
      <w:r>
        <w:t xml:space="preserve"> </w:t>
      </w:r>
      <w:r>
        <w:t xml:space="preserve">meaningful coverage, so</w:t>
      </w:r>
      <w:r>
        <w:t xml:space="preserve"> </w:t>
      </w:r>
      <w:r>
        <w:rPr>
          <w:b/>
          <w:bCs/>
        </w:rPr>
        <w:t xml:space="preserve">the 20-cell row should be read as indicative rather than as an interval</w:t>
      </w:r>
      <w:r>
        <w:t xml:space="preserve">.</w:t>
      </w:r>
      <w:r>
        <w:t xml:space="preserve"> </w:t>
      </w:r>
      <w:r>
        <w:t xml:space="preserve">The 10-cell row is the coarsest blocking this design supports properly: every region there has 16 to</w:t>
      </w:r>
      <w:r>
        <w:t xml:space="preserve"> </w:t>
      </w:r>
      <w:r>
        <w:t xml:space="preserve">70 positive-carrying blocks, and the increment holds at that scale in all five regions.</w:t>
      </w:r>
    </w:p>
    <w:bookmarkEnd w:id="22"/>
    <w:bookmarkStart w:id="23" w:name="s1.4-predictor-window-closure"/>
    <w:p>
      <w:pPr>
        <w:pStyle w:val="Heading2"/>
      </w:pPr>
      <w:r>
        <w:t xml:space="preserve">S1.4 Predictor-window closure</w:t>
      </w:r>
    </w:p>
    <w:p>
      <w:pPr>
        <w:pStyle w:val="FirstParagraph"/>
      </w:pPr>
      <w:r>
        <w:t xml:space="preserve">The predictor window was closed 7 and 14 days earlier in all five regions. The thermal contribution</w:t>
      </w:r>
      <w:r>
        <w:t xml:space="preserve"> </w:t>
      </w:r>
      <w:r>
        <w:t xml:space="preserve">stays positive and bootstrap-supported everywhere, and the direction of the change is</w:t>
      </w:r>
      <w:r>
        <w:t xml:space="preserve"> </w:t>
      </w:r>
      <w:r>
        <w:t xml:space="preserve">region-specific. In Manavgat, on the corrected label, it is +0.065 [+0.059, +0.072] at the canonical</w:t>
      </w:r>
      <w:r>
        <w:t xml:space="preserve"> </w:t>
      </w:r>
      <w:r>
        <w:t xml:space="preserve">window, +0.082 [+0.075, +0.090] at 7 days and +0.058 [+0.051, +0.065] at 14 days, all on the common</w:t>
      </w:r>
      <w:r>
        <w:t xml:space="preserve"> </w:t>
      </w:r>
      <w:r>
        <w:t xml:space="preserve">cohort of that analysis (</w:t>
      </w:r>
      <w:r>
        <w:rPr>
          <w:rStyle w:val="VerbatimChar"/>
        </w:rPr>
        <w:t xml:space="preserve">paper/labelfix_rerun/exports/window_closure_manavgat_2021/</w:t>
      </w:r>
      <w:r>
        <w:t xml:space="preserve">). It strengthens</w:t>
      </w:r>
      <w:r>
        <w:t xml:space="preserve"> </w:t>
      </w:r>
      <w:r>
        <w:t xml:space="preserve">in Bejís, from 0.058 to 0.079 at 14 days, and in Muğla, from 0.115 to 0.128. It is flat in</w:t>
      </w:r>
      <w:r>
        <w:t xml:space="preserve"> </w:t>
      </w:r>
      <w:r>
        <w:t xml:space="preserve">Montiferru. It weakens monotonically in Evia, from 0.156 to 0.149 to 0.135. The four regions other</w:t>
      </w:r>
      <w:r>
        <w:t xml:space="preserve"> </w:t>
      </w:r>
      <w:r>
        <w:t xml:space="preserve">than Manavgat are unaffected by the label correction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paper/labelfix_rerun/exports/window_closure_&lt;region&gt;/tables/thermal_contributions.csv</w:t>
      </w:r>
      <w:r>
        <w:t xml:space="preserve">). What holds</w:t>
      </w:r>
      <w:r>
        <w:t xml:space="preserve"> </w:t>
      </w:r>
      <w:r>
        <w:t xml:space="preserve">in every region is survival, not improvement.</w:t>
      </w:r>
    </w:p>
    <w:bookmarkEnd w:id="23"/>
    <w:bookmarkStart w:id="24" w:name="Xb31371a0e73746980f1ed2a04bbe2b0db31837c"/>
    <w:p>
      <w:pPr>
        <w:pStyle w:val="Heading2"/>
      </w:pPr>
      <w:r>
        <w:t xml:space="preserve">S1.5 Quality screening of the coarse thermal input</w:t>
      </w:r>
    </w:p>
    <w:p>
      <w:pPr>
        <w:pStyle w:val="FirstParagraph"/>
      </w:pPr>
      <w:r>
        <w:t xml:space="preserve">Two of the five regions’ MODIS inputs are quality-screened and three are not. The split follows</w:t>
      </w:r>
      <w:r>
        <w:t xml:space="preserve"> </w:t>
      </w:r>
      <w:r>
        <w:t xml:space="preserve">export date rather than design, and it induces an elevation-correlated change at the input, at</w:t>
      </w:r>
      <w:r>
        <w:t xml:space="preserve"> </w:t>
      </w:r>
      <w:r>
        <w:t xml:space="preserve">r = +0.615 in Manavgat. Manavgat’s downstream chain was therefore rebuilt from a quality-screened</w:t>
      </w:r>
      <w:r>
        <w:t xml:space="preserve"> </w:t>
      </w:r>
      <w:r>
        <w:t xml:space="preserve">input on the corrected label and compared with the unscreened arm. The current pipeline’s step7</w:t>
      </w:r>
      <w:r>
        <w:t xml:space="preserve"> </w:t>
      </w:r>
      <w:r>
        <w:t xml:space="preserve">refuses the unscreened raster, because it carries no nodata tag and 8.1 % exact zeros, so the</w:t>
      </w:r>
      <w:r>
        <w:t xml:space="preserve"> </w:t>
      </w:r>
      <w:r>
        <w:t xml:space="preserve">unscreened arm runs the step7 of export time and the screened arm the current one: the two differ in</w:t>
      </w:r>
      <w:r>
        <w:t xml:space="preserve"> </w:t>
      </w:r>
      <w:r>
        <w:t xml:space="preserve">code version as well as in screening. The result does not change. Elevation stays at 0.232, no other</w:t>
      </w:r>
      <w:r>
        <w:t xml:space="preserve"> </w:t>
      </w:r>
      <w:r>
        <w:t xml:space="preserve">signed AUC moves by more than 0.005 (downscaled LST, −0.0044), and the within-region increment moves</w:t>
      </w:r>
      <w:r>
        <w:t xml:space="preserve"> </w:t>
      </w:r>
      <w:r>
        <w:t xml:space="preserve">from +0.067 to +0.068 (</w:t>
      </w:r>
      <w:r>
        <w:rPr>
          <w:rStyle w:val="VerbatimChar"/>
        </w:rPr>
        <w:t xml:space="preserve">paper/labelfix_rerun/round6/qc/qc_compare_manavgat_corrected.json</w:t>
      </w:r>
      <w:r>
        <w:t xml:space="preserve">; Section</w:t>
      </w:r>
      <w:r>
        <w:t xml:space="preserve"> </w:t>
      </w:r>
      <w:r>
        <w:t xml:space="preserve">S3.5(xii)). The reason is structural: elevation is a DEM variable the screening cannot touch, and</w:t>
      </w:r>
      <w:r>
        <w:t xml:space="preserve"> </w:t>
      </w:r>
      <w:r>
        <w:t xml:space="preserve">fusion falls back on the MODIS-derived surface across only 2.14 percentage points of coverage. The</w:t>
      </w:r>
      <w:r>
        <w:t xml:space="preserve"> </w:t>
      </w:r>
      <w:r>
        <w:t xml:space="preserve">Muğla arm was not re-examined.</w:t>
      </w:r>
    </w:p>
    <w:bookmarkEnd w:id="24"/>
    <w:bookmarkStart w:id="25" w:name="Xc4eb51a8c31e4bfcde187f0d8fda56fadb377ed"/>
    <w:p>
      <w:pPr>
        <w:pStyle w:val="Heading2"/>
      </w:pPr>
      <w:r>
        <w:t xml:space="preserve">S1.6 Normalised against absolute dryness channels</w:t>
      </w:r>
    </w:p>
    <w:p>
      <w:pPr>
        <w:pStyle w:val="FirstParagraph"/>
      </w:pPr>
      <w:r>
        <w:t xml:space="preserve">Section 1.2 argues that an internally normalised index should be less exposed to</w:t>
      </w:r>
      <w:r>
        <w:t xml:space="preserve"> </w:t>
      </w:r>
      <w:r>
        <w:t xml:space="preserve">absolute-temperature offsets between regions than raw land surface temperature. The thermal block</w:t>
      </w:r>
      <w:r>
        <w:t xml:space="preserve"> </w:t>
      </w:r>
      <w:r>
        <w:t xml:space="preserve">contains both kinds, so the argument can be tested directly as a feature-set contrast.</w:t>
      </w:r>
    </w:p>
    <w:p>
      <w:pPr>
        <w:pStyle w:val="BodyText"/>
      </w:pPr>
      <w:r>
        <w:t xml:space="preserve">The normalised channels are the two that hold their direction in the same-geography two-event</w:t>
      </w:r>
      <w:r>
        <w:t xml:space="preserve"> </w:t>
      </w:r>
      <w:r>
        <w:t xml:space="preserve">comparison of Section S1.13, where the absolute channels move. That is a statement about one region</w:t>
      </w:r>
      <w:r>
        <w:t xml:space="preserve"> </w:t>
      </w:r>
      <w:r>
        <w:t xml:space="preserve">across two fires. Across regions it does not hold:</w:t>
      </w:r>
      <w:r>
        <w:t xml:space="preserve"> </w:t>
      </w:r>
      <w:r>
        <w:rPr>
          <w:rStyle w:val="VerbatimChar"/>
        </w:rPr>
        <w:t xml:space="preserve">lst_anomaly_mean</w:t>
      </w:r>
      <w:r>
        <w:t xml:space="preserve"> </w:t>
      </w:r>
      <w:r>
        <w:t xml:space="preserve">is itself one of the</w:t>
      </w:r>
      <w:r>
        <w:t xml:space="preserve"> </w:t>
      </w:r>
      <w:r>
        <w:t xml:space="preserve">predictors whose reversal is bootstrap-supported on the frames as drawn (Table S10), which is why</w:t>
      </w:r>
      <w:r>
        <w:t xml:space="preserve"> </w:t>
      </w:r>
      <w:r>
        <w:t xml:space="preserve">Section S1.14 drops it alongside elevation. Being internally normalised protects a channel against</w:t>
      </w:r>
      <w:r>
        <w:t xml:space="preserve"> </w:t>
      </w:r>
      <w:r>
        <w:t xml:space="preserve">the offset between two seasons in one place. It does not, on this evidence, protect it against a</w:t>
      </w:r>
      <w:r>
        <w:t xml:space="preserve"> </w:t>
      </w:r>
      <w:r>
        <w:t xml:space="preserve">change of place.</w:t>
      </w:r>
    </w:p>
    <w:p>
      <w:pPr>
        <w:pStyle w:val="BodyText"/>
      </w:pPr>
      <w:r>
        <w:t xml:space="preserve">Three feature sets were run over all twenty directions and all five within-region folds, with the</w:t>
      </w:r>
      <w:r>
        <w:t xml:space="preserve"> </w:t>
      </w:r>
      <w:r>
        <w:t xml:space="preserve">classifier, population, folds and bootstrap held fixed. The harness aborts unless its reference</w:t>
      </w:r>
      <w:r>
        <w:t xml:space="preserve"> </w:t>
      </w:r>
      <w:r>
        <w:t xml:space="preserve">configuration lands on the re-frozen exports, and it does exactly: the maximum absolute difference</w:t>
      </w:r>
      <w:r>
        <w:t xml:space="preserve"> </w:t>
      </w:r>
      <w:r>
        <w:t xml:space="preserve">between the reference arm and the step9b transfer AUCs is 0.000000 across all twenty directions.</w:t>
      </w:r>
      <w:r>
        <w:t xml:space="preserve"> </w:t>
      </w:r>
      <w:r>
        <w:t xml:space="preserve">Source for this section and the next two:</w:t>
      </w:r>
      <w:r>
        <w:t xml:space="preserve"> </w:t>
      </w:r>
      <w:r>
        <w:rPr>
          <w:rStyle w:val="VerbatimChar"/>
        </w:rPr>
        <w:t xml:space="preserve">paper/labelfix_rerun/round3/no_coord_channels.json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paper/labelfix_rerun/code/model_capacity.json</w:t>
      </w:r>
      <w:r>
        <w:t xml:space="preserve">, summarised by</w:t>
      </w:r>
      <w:r>
        <w:t xml:space="preserve"> </w:t>
      </w:r>
      <w:r>
        <w:rPr>
          <w:rStyle w:val="VerbatimChar"/>
        </w:rPr>
        <w:t xml:space="preserve">paper/labelfix_rerun/round7/r7e_supplement_tables.py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Table S23. Feature-set arms.</w:t>
      </w:r>
      <w:r>
        <w:t xml:space="preserve"> </w:t>
      </w:r>
      <w:r>
        <w:t xml:space="preserve">Mean over the twenty transfer directions and the five regions.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401"/>
        <w:gridCol w:w="1752"/>
        <w:gridCol w:w="1649"/>
        <w:gridCol w:w="2268"/>
      </w:tblGrid>
      <w:tr>
        <w:trPr>
          <w:tblHeader w:val="on"/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 set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transfer AUC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Directions &gt; 0.5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within-region AUC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only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0.519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0.797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+ normalised anomalies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0.524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0.862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+ absolute surface state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0.531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0.864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All ten features (reference)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0.896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advantage is not found.</w:t>
      </w:r>
      <w:r>
        <w:t xml:space="preserve"> </w:t>
      </w:r>
      <w:r>
        <w:t xml:space="preserve">Per direction, the normalised set minus the absolute set has a mean</w:t>
      </w:r>
      <w:r>
        <w:t xml:space="preserve"> </w:t>
      </w:r>
      <w:r>
        <w:t xml:space="preserve">of −0.006. It is positive in 11 of 20 directions and runs from −0.099 to +0.087, so the spread is an</w:t>
      </w:r>
      <w:r>
        <w:t xml:space="preserve"> </w:t>
      </w:r>
      <w:r>
        <w:t xml:space="preserve">order of magnitude larger than the difference. Within region the two sub-blocks are</w:t>
      </w:r>
      <w:r>
        <w:t xml:space="preserve"> </w:t>
      </w:r>
      <w:r>
        <w:t xml:space="preserve">indistinguishable, at 0.862 and 0.864, and each recovers most of the gap between the baseline’s</w:t>
      </w:r>
      <w:r>
        <w:t xml:space="preserve"> </w:t>
      </w:r>
      <w:r>
        <w:t xml:space="preserve">0.797 and the full model’s 0.896. The comparison is between two sub-blocks of one thermal set on one</w:t>
      </w:r>
      <w:r>
        <w:t xml:space="preserve"> </w:t>
      </w:r>
      <w:r>
        <w:t xml:space="preserve">cohort. It does not test normalised dryness indices in general, nor a normalisation fitted against a</w:t>
      </w:r>
      <w:r>
        <w:t xml:space="preserve"> </w:t>
      </w:r>
      <w:r>
        <w:t xml:space="preserve">pooled multi-region reference.</w:t>
      </w:r>
    </w:p>
    <w:bookmarkEnd w:id="25"/>
    <w:bookmarkStart w:id="26" w:name="s1.7-the-coordinate-informed-channels"/>
    <w:p>
      <w:pPr>
        <w:pStyle w:val="Heading2"/>
      </w:pPr>
      <w:r>
        <w:t xml:space="preserve">S1.7 The coordinate-informed channels</w:t>
      </w:r>
    </w:p>
    <w:p>
      <w:pPr>
        <w:pStyle w:val="FirstParagraph"/>
      </w:pPr>
      <w:r>
        <w:rPr>
          <w:rStyle w:val="VerbatimChar"/>
        </w:rPr>
        <w:t xml:space="preserve">downscaled_lst_mean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fused_lst_mean</w:t>
      </w:r>
      <w:r>
        <w:t xml:space="preserve"> </w:t>
      </w:r>
      <w:r>
        <w:t xml:space="preserve">come from a per-region downscaling model whose own inputs</w:t>
      </w:r>
      <w:r>
        <w:t xml:space="preserve"> </w:t>
      </w:r>
      <w:r>
        <w:t xml:space="preserve">include coordinates, the one route by which a coordinate-derived surface re-enters a feature set that</w:t>
      </w:r>
      <w:r>
        <w:t xml:space="preserve"> </w:t>
      </w:r>
      <w:r>
        <w:t xml:space="preserve">excludes coordinates (Section S3.4). A coordinate-smoothed surface is by construction locally</w:t>
      </w:r>
      <w:r>
        <w:t xml:space="preserve"> </w:t>
      </w:r>
      <w:r>
        <w:t xml:space="preserve">informative and non-portable, so if the within-region increment depended on it, that increment</w:t>
      </w:r>
      <w:r>
        <w:t xml:space="preserve"> </w:t>
      </w:r>
      <w:r>
        <w:t xml:space="preserve">would be an artefact of the smoothing rather than a finding about thermal state. Both channels were</w:t>
      </w:r>
      <w:r>
        <w:t xml:space="preserve"> </w:t>
      </w:r>
      <w:r>
        <w:t xml:space="preserve">dropped and everything refitted, over all twenty directions and all five within-region folds.</w:t>
      </w:r>
    </w:p>
    <w:p>
      <w:pPr>
        <w:pStyle w:val="BodyText"/>
        <w:keepNext/>
      </w:pPr>
      <w:r>
        <w:rPr>
          <w:b/>
          <w:bCs/>
        </w:rPr>
        <w:t xml:space="preserve">Table S24. The within-region increment without the two coordinate-informed channels.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61"/>
        <w:gridCol w:w="2611"/>
        <w:gridCol w:w="3298"/>
        <w:gridCol w:w="1099"/>
      </w:tblGrid>
      <w:tr>
        <w:trPr>
          <w:tblHeader w:val="on"/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Increment, full set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Without the two channels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Retained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+0.067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+0.064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95 %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+0.056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+0.046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82 %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+0.116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+0.097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84 %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+0.153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+0.145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94 %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+0.101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+0.105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103 %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+0.099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+0.091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92 %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increment does not depend on them.</w:t>
      </w:r>
      <w:r>
        <w:t xml:space="preserve"> </w:t>
      </w:r>
      <w:r>
        <w:t xml:space="preserve">It stays positive in every region and retains 82 % to</w:t>
      </w:r>
      <w:r>
        <w:t xml:space="preserve"> </w:t>
      </w:r>
      <w:r>
        <w:t xml:space="preserve">103 % of its size. Mean transfer is likewise unchanged, at 0.528 without the two channels against</w:t>
      </w:r>
      <w:r>
        <w:t xml:space="preserve"> </w:t>
      </w:r>
      <w:r>
        <w:t xml:space="preserve">0.527 with them and 0.519 for the baseline alone.</w:t>
      </w:r>
    </w:p>
    <w:bookmarkEnd w:id="26"/>
    <w:bookmarkStart w:id="27" w:name="s1.8-model-capacity"/>
    <w:p>
      <w:pPr>
        <w:pStyle w:val="Heading2"/>
      </w:pPr>
      <w:r>
        <w:t xml:space="preserve">S1.8 Model capacity</w:t>
      </w:r>
    </w:p>
    <w:p>
      <w:pPr>
        <w:pStyle w:val="FirstParagraph"/>
      </w:pPr>
      <w:r>
        <w:t xml:space="preserve">Every number in the paper comes from one random forest with unlimited depth and</w:t>
      </w:r>
      <w:r>
        <w:t xml:space="preserve"> </w:t>
      </w:r>
      <w:r>
        <w:rPr>
          <w:rStyle w:val="VerbatimChar"/>
        </w:rPr>
        <w:t xml:space="preserve">min_samples_leaf = 3</w:t>
      </w:r>
      <w:r>
        <w:t xml:space="preserve">, the configuration most able to encode local structure and least able to</w:t>
      </w:r>
      <w:r>
        <w:t xml:space="preserve"> </w:t>
      </w:r>
      <w:r>
        <w:t xml:space="preserve">extrapolate. Three further estimators were therefore run over the same twenty directions and the</w:t>
      </w:r>
      <w:r>
        <w:t xml:space="preserve"> </w:t>
      </w:r>
      <w:r>
        <w:t xml:space="preserve">same five within-region folds.</w:t>
      </w:r>
    </w:p>
    <w:p>
      <w:pPr>
        <w:pStyle w:val="BodyText"/>
        <w:keepNext/>
      </w:pPr>
      <w:r>
        <w:rPr>
          <w:b/>
          <w:bCs/>
        </w:rPr>
        <w:t xml:space="preserve">Table S25. Four estimators, within region and in transfer.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050"/>
        <w:gridCol w:w="1365"/>
        <w:gridCol w:w="1284"/>
        <w:gridCol w:w="963"/>
        <w:gridCol w:w="1445"/>
        <w:gridCol w:w="963"/>
      </w:tblGrid>
      <w:tr>
        <w:trPr>
          <w:tblHeader w:val="on"/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Estimator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Within-region AUC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Within increment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Transfer AUC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Transfer increment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Above chance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Random forest, depth unlimited, leaf 3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0.896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+0.099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+0.007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Random forest, depth 6, leaf 50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0.838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+0.053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−0.011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Random forest, leaf 200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0.814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+0.046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0.522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−0.019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Penalised logistic regression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0.759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+0.046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0.481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−0.021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 of 20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Regularisation does not rescue transfer.</w:t>
      </w:r>
      <w:r>
        <w:t xml:space="preserve"> </w:t>
      </w:r>
      <w:r>
        <w:t xml:space="preserve">The four estimators land between 0.481 and 0.527, with</w:t>
      </w:r>
      <w:r>
        <w:t xml:space="preserve"> </w:t>
      </w:r>
      <w:r>
        <w:t xml:space="preserve">eleven to thirteen of twenty directions above chance, and the linear model, the one built to</w:t>
      </w:r>
      <w:r>
        <w:t xml:space="preserve"> </w:t>
      </w:r>
      <w:r>
        <w:t xml:space="preserve">extrapolate, transfers worst. Within-region skill falls as capacity is reduced, from 0.896 to 0.759;</w:t>
      </w:r>
      <w:r>
        <w:t xml:space="preserve"> </w:t>
      </w:r>
      <w:r>
        <w:t xml:space="preserve">transfer does not rise to meet it. The thermal block’s contribution to transfer is +0.007 under the</w:t>
      </w:r>
      <w:r>
        <w:t xml:space="preserve"> </w:t>
      </w:r>
      <w:r>
        <w:t xml:space="preserve">canonical forest and negative under all three alternatives. The ordering of the estimators is not</w:t>
      </w:r>
      <w:r>
        <w:t xml:space="preserve"> </w:t>
      </w:r>
      <w:r>
        <w:t xml:space="preserve">claimed, since it rests on point estimates only.</w:t>
      </w:r>
    </w:p>
    <w:bookmarkEnd w:id="27"/>
    <w:bookmarkStart w:id="31" w:name="Xb07524784b18e548480ba9b26ee778c2e20ec9a"/>
    <w:p>
      <w:pPr>
        <w:pStyle w:val="Heading2"/>
      </w:pPr>
      <w:r>
        <w:t xml:space="preserve">S1.9 The four evaluations of Section 4.3, in full</w:t>
      </w:r>
    </w:p>
    <w:p>
      <w:pPr>
        <w:pStyle w:val="FirstParagraph"/>
      </w:pPr>
      <w:r>
        <w:t xml:space="preserve">Section 4.3 reports four evaluations of the same models (main-text Table 2). The per-scar values,</w:t>
      </w:r>
      <w:r>
        <w:t xml:space="preserve"> </w:t>
      </w:r>
      <w:r>
        <w:t xml:space="preserve">the controls and the per-scar ladder of the thermal increment are here.</w:t>
      </w:r>
    </w:p>
    <w:p>
      <w:pPr>
        <w:pStyle w:val="BodyText"/>
        <w:keepNext/>
      </w:pPr>
      <w:r>
        <w:rPr>
          <w:b/>
          <w:bCs/>
        </w:rPr>
        <w:t xml:space="preserve">Table S1. The four evaluations, per scar.</w:t>
      </w:r>
      <w:r>
        <w:t xml:space="preserve"> </w:t>
      </w:r>
      <w:r>
        <w:t xml:space="preserve">Primary natural-vegetation population, 5 km blocking,</w:t>
      </w:r>
      <w:r>
        <w:t xml:space="preserve"> </w:t>
      </w:r>
      <w:r>
        <w:t xml:space="preserve">2 km collar. Bejís and Manavgat have no row C, because in each the burned area is a single component,</w:t>
      </w:r>
      <w:r>
        <w:t xml:space="preserve"> </w:t>
      </w:r>
      <w:r>
        <w:t xml:space="preserve">so withholding it leaves nothing to train on. Source</w:t>
      </w:r>
      <w:r>
        <w:t xml:space="preserve"> </w:t>
      </w:r>
      <w:r>
        <w:rPr>
          <w:rStyle w:val="VerbatimChar"/>
        </w:rPr>
        <w:t xml:space="preserve">paper/labelfix_rerun/code/matched_holdout.json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46"/>
        <w:gridCol w:w="412"/>
        <w:gridCol w:w="515"/>
        <w:gridCol w:w="1546"/>
        <w:gridCol w:w="1443"/>
        <w:gridCol w:w="1134"/>
        <w:gridCol w:w="1546"/>
        <w:gridCol w:w="928"/>
      </w:tblGrid>
      <w:tr>
        <w:trPr>
          <w:tblHeader w:val="on"/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Cells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Burned fraction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 whole region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 scar area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 scar withheld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D foreign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3,965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0.743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1,657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0.824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0.589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1,266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0.595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0.571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1,244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0.561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0.514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940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0.617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0.634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954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0.761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0.623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3,059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0.87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0.864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0.465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758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0.720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0.622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0.489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195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0.720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0.461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0.458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0.475</w:t>
            </w:r>
          </w:p>
        </w:tc>
      </w:tr>
    </w:tbl>
    <w:bookmarkStart w:id="28" w:name="s1.9.1-the-pool-controls"/>
    <w:p>
      <w:pPr>
        <w:pStyle w:val="Heading3"/>
      </w:pPr>
      <w:r>
        <w:t xml:space="preserve">S1.9.1 The pool controls</w:t>
      </w:r>
    </w:p>
    <w:p>
      <w:pPr>
        <w:pStyle w:val="FirstParagraph"/>
      </w:pPr>
      <w:r>
        <w:t xml:space="preserve">The same predictions were scored on a random sample of region cells drawn at the scar area’s own</w:t>
      </w:r>
      <w:r>
        <w:t xml:space="preserve"> </w:t>
      </w:r>
      <w:r>
        <w:t xml:space="preserve">burned fraction. Over the nine scars that gives 0.793 against the region-wide 0.791, so matching</w:t>
      </w:r>
      <w:r>
        <w:t xml:space="preserve"> </w:t>
      </w:r>
      <w:r>
        <w:t xml:space="preserve">prevalence changes nothing, at −0.002 [−0.005, +0.001]. ROC-AUC does not depend on class balance at</w:t>
      </w:r>
      <w:r>
        <w:t xml:space="preserve"> </w:t>
      </w:r>
      <w:r>
        <w:t xml:space="preserve">fixed class-conditional distributions, so this is an implementation check rather than a finding.</w:t>
      </w:r>
      <w:r>
        <w:t xml:space="preserve"> </w:t>
      </w:r>
      <w:r>
        <w:t xml:space="preserve">Scoring the predictions on the scar area gives 0.644, a fall of</w:t>
      </w:r>
      <w:r>
        <w:t xml:space="preserve"> </w:t>
      </w:r>
      <w:r>
        <w:rPr>
          <w:b/>
          <w:bCs/>
        </w:rPr>
        <w:t xml:space="preserve">+0.149 [+0.087, +0.211]</w:t>
      </w:r>
      <w:r>
        <w:t xml:space="preserve"> </w:t>
      </w:r>
      <w:r>
        <w:t xml:space="preserve">from the</w:t>
      </w:r>
      <w:r>
        <w:t xml:space="preserve"> </w:t>
      </w:r>
      <w:r>
        <w:t xml:space="preserve">prevalence-matched score. That swaps both pools at once, so each was swapped singly, with the cost</w:t>
      </w:r>
      <w:r>
        <w:t xml:space="preserve"> </w:t>
      </w:r>
      <w:r>
        <w:t xml:space="preserve">always defined as the prevalence-matched score minus the swapped score. Replacing only the</w:t>
      </w:r>
      <w:r>
        <w:t xml:space="preserve"> </w:t>
      </w:r>
      <w:r>
        <w:t xml:space="preserve">negatives costs</w:t>
      </w:r>
      <w:r>
        <w:t xml:space="preserve"> </w:t>
      </w:r>
      <w:r>
        <w:rPr>
          <w:b/>
          <w:bCs/>
        </w:rPr>
        <w:t xml:space="preserve">0.139 [0.098, 0.181]</w:t>
      </w:r>
      <w:r>
        <w:t xml:space="preserve">, 0.046 to 0.250 per scar. Replacing only the positives costs</w:t>
      </w:r>
      <w:r>
        <w:t xml:space="preserve"> </w:t>
      </w:r>
      <w:r>
        <w:rPr>
          <w:b/>
          <w:bCs/>
        </w:rPr>
        <w:t xml:space="preserve">−0.002 [−0.055, +0.051]</w:t>
      </w:r>
      <w:r>
        <w:t xml:space="preserve"> </w:t>
      </w:r>
      <w:r>
        <w:t xml:space="preserve">on average, −0.121 to +0.137 per scar. The cost is therefore carried by</w:t>
      </w:r>
      <w:r>
        <w:t xml:space="preserve"> </w:t>
      </w:r>
      <w:r>
        <w:t xml:space="preserve">the negative pool. Every negative in a scar collar is fire-adjacent and shares the terrain, land</w:t>
      </w:r>
      <w:r>
        <w:t xml:space="preserve"> </w:t>
      </w:r>
      <w:r>
        <w:t xml:space="preserve">cover and weather of the positives, whereas a region’s negatives include its easy far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paper/labelfix_rerun/code/pool_decomposition.json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prevalence_control.json</w:t>
      </w:r>
      <w:r>
        <w:t xml:space="preserve">).</w:t>
      </w:r>
    </w:p>
    <w:bookmarkEnd w:id="28"/>
    <w:bookmarkStart w:id="29" w:name="Xa165ecab0e68cbd7620e81aeded26ab7f95d2a0"/>
    <w:p>
      <w:pPr>
        <w:pStyle w:val="Heading3"/>
      </w:pPr>
      <w:r>
        <w:t xml:space="preserve">S1.9.2 The seven scars and the resampling unit</w:t>
      </w:r>
    </w:p>
    <w:p>
      <w:pPr>
        <w:pStyle w:val="FirstParagraph"/>
      </w:pPr>
      <w:r>
        <w:t xml:space="preserve">Rows A to D of Table 2 are means over the</w:t>
      </w:r>
      <w:r>
        <w:t xml:space="preserve"> </w:t>
      </w:r>
      <w:r>
        <w:rPr>
          <w:b/>
          <w:bCs/>
        </w:rPr>
        <w:t xml:space="preserve">same seven scars</w:t>
      </w:r>
      <w:r>
        <w:t xml:space="preserve">, four in Muğla, two in Montiferru and one</w:t>
      </w:r>
      <w:r>
        <w:t xml:space="preserve"> </w:t>
      </w:r>
      <w:r>
        <w:t xml:space="preserve">in Evia. Under the corrected label the 2,151 added Manavgat burns merge into its one existing scar</w:t>
      </w:r>
      <w:r>
        <w:t xml:space="preserve"> </w:t>
      </w:r>
      <w:r>
        <w:t xml:space="preserve">(2,934 of 2,935 cells), which is why the controls above use nine scars and report 0.791 and 0.644</w:t>
      </w:r>
      <w:r>
        <w:t xml:space="preserve"> </w:t>
      </w:r>
      <w:r>
        <w:t xml:space="preserve">against Table 2’s 0.773 and 0.640. The intervals are Student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over the scars.</w:t>
      </w:r>
      <w:r>
        <w:t xml:space="preserve"> </w:t>
      </w:r>
      <w:r>
        <w:rPr>
          <w:b/>
          <w:bCs/>
        </w:rPr>
        <w:t xml:space="preserve">Row A is a</w:t>
      </w:r>
      <w:r>
        <w:rPr>
          <w:b/>
          <w:bCs/>
        </w:rPr>
        <w:t xml:space="preserve"> </w:t>
      </w:r>
      <w:r>
        <w:rPr>
          <w:b/>
          <w:bCs/>
        </w:rPr>
        <w:t xml:space="preserve">region-level quantity repeated identically across a region’s scars, so its interval is</w:t>
      </w:r>
      <w:r>
        <w:rPr>
          <w:b/>
          <w:bCs/>
        </w:rPr>
        <w:t xml:space="preserve"> </w:t>
      </w:r>
      <w:r>
        <w:rPr>
          <w:b/>
          <w:bCs/>
        </w:rPr>
        <w:t xml:space="preserve">pseudo-replicated and should not be read as coverage.</w:t>
      </w:r>
      <w:r>
        <w:t xml:space="preserve"> </w:t>
      </w:r>
      <w:r>
        <w:t xml:space="preserve">That repetition propagates into A − B and</w:t>
      </w:r>
      <w:r>
        <w:t xml:space="preserve"> </w:t>
      </w:r>
      <w:r>
        <w:t xml:space="preserve">A − C. Clustering by region gives</w:t>
      </w:r>
      <w:r>
        <w:t xml:space="preserve"> </w:t>
      </w:r>
      <w:r>
        <w:rPr>
          <w:b/>
          <w:bCs/>
        </w:rPr>
        <w:t xml:space="preserve">+0.137 [+0.048, +0.226]</w:t>
      </w:r>
      <w:r>
        <w:t xml:space="preserve"> </w:t>
      </w:r>
      <w:r>
        <w:t xml:space="preserve">for A − B over the three regions, and</w:t>
      </w:r>
      <w:r>
        <w:t xml:space="preserve"> </w:t>
      </w:r>
      <w:r>
        <w:rPr>
          <w:b/>
          <w:bCs/>
        </w:rPr>
        <w:t xml:space="preserve">+0.160 [+0.090, +0.230]</w:t>
      </w:r>
      <w:r>
        <w:t xml:space="preserve"> </w:t>
      </w:r>
      <w:r>
        <w:t xml:space="preserve">over all nine scars in five regions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paper/labelfix_rerun/round7/round7_summary.json</w:t>
      </w:r>
      <w:r>
        <w:t xml:space="preserve">). A − C clustered by region is +0.266 [−0.022,</w:t>
      </w:r>
      <w:r>
        <w:t xml:space="preserve"> </w:t>
      </w:r>
      <w:r>
        <w:t xml:space="preserve">+0.553], 3.6 times wider than its scar-level interval and spanning zero.</w:t>
      </w:r>
      <w:r>
        <w:t xml:space="preserve"> </w:t>
      </w:r>
      <w:r>
        <w:rPr>
          <w:b/>
          <w:bCs/>
        </w:rPr>
        <w:t xml:space="preserve">On the region unit only</w:t>
      </w:r>
      <w:r>
        <w:rPr>
          <w:b/>
          <w:bCs/>
        </w:rPr>
        <w:t xml:space="preserve"> </w:t>
      </w:r>
      <w:r>
        <w:rPr>
          <w:b/>
          <w:bCs/>
        </w:rPr>
        <w:t xml:space="preserve">the frame cost is established.</w:t>
      </w:r>
    </w:p>
    <w:p>
      <w:pPr>
        <w:pStyle w:val="BodyText"/>
      </w:pPr>
      <w:r>
        <w:t xml:space="preserve">The patch definition does not drive the result. Row C over a sweep of minimum scar sizes and buffers</w:t>
      </w:r>
      <w:r>
        <w:t xml:space="preserve"> </w:t>
      </w:r>
      <w:r>
        <w:t xml:space="preserve">runs from 0.541 to 0.561 on nine to six scars, and its means at 2, 5 and 10 km buffers are 0.546</w:t>
      </w:r>
      <w:r>
        <w:t xml:space="preserve"> </w:t>
      </w:r>
      <w:r>
        <w:t xml:space="preserve">(seven scars), 0.533 (seven) and 0.548 (six) (</w:t>
      </w:r>
      <w:r>
        <w:rPr>
          <w:rStyle w:val="VerbatimChar"/>
        </w:rPr>
        <w:t xml:space="preserve">paper/labelfix_rerun/code/scar_definition_sweep.csv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scar_control.json</w:t>
      </w:r>
      <w:r>
        <w:t xml:space="preserve">). Row D’s spread over sources is large for single scars (Table S4) and small</w:t>
      </w:r>
      <w:r>
        <w:t xml:space="preserve"> </w:t>
      </w:r>
      <w:r>
        <w:t xml:space="preserve">after averaging: 28 of the 36 source-scar combinations enter it, nine of them below chance.</w:t>
      </w:r>
    </w:p>
    <w:bookmarkEnd w:id="29"/>
    <w:bookmarkStart w:id="30" w:name="X600a9afc2b2297b4029d20d7a870dfb091df5e5"/>
    <w:p>
      <w:pPr>
        <w:pStyle w:val="Heading3"/>
      </w:pPr>
      <w:r>
        <w:t xml:space="preserve">S1.9.3 Controls and the thermal-increment ladder, full specification</w:t>
      </w:r>
    </w:p>
    <w:p>
      <w:pPr>
        <w:pStyle w:val="FirstParagraph"/>
      </w:pPr>
      <w:r>
        <w:t xml:space="preserve">Three controls reuse A’s predictions, each averaged over 20 draws without replacement. The</w:t>
      </w:r>
      <w:r>
        <w:t xml:space="preserve"> </w:t>
      </w:r>
      <w:r>
        <w:rPr>
          <w:b/>
          <w:bCs/>
        </w:rPr>
        <w:t xml:space="preserve">prevalence-matched</w:t>
      </w:r>
      <w:r>
        <w:t xml:space="preserve"> </w:t>
      </w:r>
      <w:r>
        <w:t xml:space="preserve">control draws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H</m:t>
            </m:r>
          </m:e>
          <m:sub>
            <m:r>
              <m:t>K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|</m:t>
        </m:r>
      </m:oMath>
      <w:r>
        <w:t xml:space="preserve"> </w:t>
      </w:r>
      <w:r>
        <w:t xml:space="preserve">cells from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H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\</m:t>
        </m:r>
        <m:sSub>
          <m:e>
            <m:r>
              <m:t>P</m:t>
            </m:r>
          </m:e>
          <m:sub>
            <m:r>
              <m:t>R</m:t>
            </m:r>
          </m:sub>
        </m:sSub>
      </m:oMath>
      <w:r>
        <w:t xml:space="preserve">. The</w:t>
      </w:r>
      <w:r>
        <w:t xml:space="preserve"> </w:t>
      </w:r>
      <w:r>
        <w:rPr>
          <w:b/>
          <w:bCs/>
        </w:rPr>
        <w:t xml:space="preserve">negative-pool</w:t>
      </w:r>
      <w:r>
        <w:t xml:space="preserve"> </w:t>
      </w:r>
      <w:r>
        <w:t xml:space="preserve">control keeps the drawn burned cells but uses the scar’s</w:t>
      </w:r>
      <w:r>
        <w:t xml:space="preserve"> </w:t>
      </w:r>
      <w:r>
        <w:t xml:space="preserve">own negatives</w:t>
      </w:r>
      <w:r>
        <w:t xml:space="preserve"> </w:t>
      </w:r>
      <m:oMath>
        <m:sSubSup>
          <m:e>
            <m:r>
              <m:t>H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, and the positive-pool control does the converse. A</w:t>
      </w:r>
      <w:r>
        <w:t xml:space="preserve"> </w:t>
      </w:r>
      <w:r>
        <w:rPr>
          <w:b/>
          <w:bCs/>
        </w:rPr>
        <w:t xml:space="preserve">within-region</w:t>
      </w:r>
      <w:r>
        <w:rPr>
          <w:b/>
          <w:bCs/>
        </w:rPr>
        <w:t xml:space="preserve"> </w:t>
      </w:r>
      <w:r>
        <w:rPr>
          <w:b/>
          <w:bCs/>
        </w:rPr>
        <w:t xml:space="preserve">half-split</w:t>
      </w:r>
      <w:r>
        <w:t xml:space="preserve"> </w:t>
      </w:r>
      <w:r>
        <w:t xml:space="preserve">(modelled cells cut at the median of a grid axis, both axes and directions, a split</w:t>
      </w:r>
      <w:r>
        <w:t xml:space="preserve"> </w:t>
      </w:r>
      <w:r>
        <w:t xml:space="preserve">discarded when either half is single-class) completes the set, under the transfer protocol of</w:t>
      </w:r>
      <w:r>
        <w:t xml:space="preserve"> </w:t>
      </w:r>
      <w:r>
        <w:t xml:space="preserve">Section 3.8 unchanged. The per-split positive counts are unequal and bear on the interpretation</w:t>
      </w:r>
      <w:r>
        <w:t xml:space="preserve"> </w:t>
      </w:r>
      <w:r>
        <w:t xml:space="preserve">(Table S2).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thermal-increment ladder</w:t>
      </w:r>
      <w:r>
        <w:t xml:space="preserve"> </w:t>
      </w:r>
      <w:r>
        <w:t xml:space="preserve">of Section 4.3 applies rows A to D to the paired thermal-minus-</w:t>
      </w:r>
      <w:r>
        <w:t xml:space="preserve"> </w:t>
      </w:r>
      <w:r>
        <w:t xml:space="preserve">baseline difference, on the seven scars of Table 2. Table S26 gives it per scar at both blockings.</w:t>
      </w:r>
      <w:r>
        <w:t xml:space="preserve"> </w:t>
      </w:r>
      <w:r>
        <w:t xml:space="preserve">Averaged over the seven scars, the region-wide increment is +0.095 at 5 km blocking and +0.117 at</w:t>
      </w:r>
      <w:r>
        <w:t xml:space="preserve"> </w:t>
      </w:r>
      <w:r>
        <w:t xml:space="preserve">1 km; scored on the scar area the same blocked predictions give +0.021 and +0.056; leave-one-scar-out</w:t>
      </w:r>
      <w:r>
        <w:t xml:space="preserve"> </w:t>
      </w:r>
      <w:r>
        <w:t xml:space="preserve">gives +0.024 and a foreign-region model +0.008 at both. Blocked minus leave-one-scar-out is −0.004</w:t>
      </w:r>
      <w:r>
        <w:t xml:space="preserve"> </w:t>
      </w:r>
      <w:r>
        <w:t xml:space="preserve">[−0.070, +0.063] at 5 km and +0.031 [−0.027, +0.090] at 1 km. The region-wide minus scar-frame</w:t>
      </w:r>
      <w:r>
        <w:t xml:space="preserve"> </w:t>
      </w:r>
      <w:r>
        <w:t xml:space="preserve">difference at 5 km is +0.074 [−0.009, +0.157] scar-level and [+0.034, +0.146] under a</w:t>
      </w:r>
      <w:r>
        <w:t xml:space="preserve"> </w:t>
      </w:r>
      <w:r>
        <w:t xml:space="preserve">region-cluster bootstrap. The within-region half-split gives +0.028, positive in 13 of 18 splits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paper/labelfix_rerun/inference/ladder_summary.json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paper/labelfix_rerun/code/positive_control.json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S26. The thermal increment by scar: region-wide, on the scar frame, withheld and foreign.</w:t>
      </w:r>
      <w:r>
        <w:t xml:space="preserve"> </w:t>
      </w:r>
      <w:r>
        <w:t xml:space="preserve">Thermal minus baseline ROC-AUC. Region-wide and scar-frame values at 5 km blocking, with 1 km in</w:t>
      </w:r>
      <w:r>
        <w:t xml:space="preserve"> </w:t>
      </w:r>
      <w:r>
        <w:t xml:space="preserve">brackets; leave-one-scar-out and foreign values do not depend on the blocking.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20"/>
        <w:gridCol w:w="432"/>
        <w:gridCol w:w="1620"/>
        <w:gridCol w:w="3239"/>
        <w:gridCol w:w="1404"/>
        <w:gridCol w:w="756"/>
      </w:tblGrid>
      <w:tr>
        <w:trPr>
          <w:tblHeader w:val="on"/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Region-wide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 frame, same blocked model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 withheld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Foreign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−0.016 (+0.018)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+0.025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+0.033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+0.049 (+0.071)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−0.044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+0.014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+0.063 (+0.107)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+0.045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+0.042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+0.083 (+0.092)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+0.012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+0.037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+0.148 (+0.153)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+0.060 (+0.065)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+0.143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−0.038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+0.100 (+0.101)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+0.066 (+0.086)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+0.060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−0.008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+0.100 (+0.101)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−0.160 (−0.049)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−0.070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−0.023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+0.095 (+0.117)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+0.021 (+0.056)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+0.024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+0.008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S2. Within-region half-split, every split.</w:t>
      </w:r>
      <w:r>
        <w:t xml:space="preserve"> </w:t>
      </w:r>
      <w:r>
        <w:t xml:space="preserve">Source and target positive counts are given</w:t>
      </w:r>
      <w:r>
        <w:t xml:space="preserve"> </w:t>
      </w:r>
      <w:r>
        <w:t xml:space="preserve">because they are unequal, which is the principal limit on this arm: a straight cut does not produce</w:t>
      </w:r>
      <w:r>
        <w:t xml:space="preserve"> </w:t>
      </w:r>
      <w:r>
        <w:t xml:space="preserve">two exchangeable halves. Two splits are unusable because one half of Manavgat contains no burned</w:t>
      </w:r>
      <w:r>
        <w:t xml:space="preserve"> </w:t>
      </w:r>
      <w:r>
        <w:t xml:space="preserve">cells. Source</w:t>
      </w:r>
      <w:r>
        <w:t xml:space="preserve"> </w:t>
      </w:r>
      <w:r>
        <w:rPr>
          <w:rStyle w:val="VerbatimChar"/>
        </w:rPr>
        <w:t xml:space="preserve">paper/labelfix_rerun/code/positive_control.json</w:t>
      </w:r>
      <w:r>
        <w:t xml:space="preserve">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19"/>
        <w:gridCol w:w="1050"/>
        <w:gridCol w:w="1050"/>
        <w:gridCol w:w="1528"/>
        <w:gridCol w:w="1528"/>
        <w:gridCol w:w="1050"/>
        <w:gridCol w:w="1146"/>
      </w:tblGrid>
      <w:tr>
        <w:trPr>
          <w:tblHeader w:val="on"/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Axis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Source positives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Target positives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Thermal AUC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Baseline AUC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1,795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1,140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0.761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0.793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1,140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1,795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0.712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0.638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640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460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0.750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0.784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460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640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0.578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0.560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357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743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0.662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743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357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0.603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1,449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1,462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0.448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0.378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1,462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1,449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0.636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0.628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774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2,137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2,137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774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0.294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0.549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2,052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612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0.589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0.506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612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2,052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0.645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0.482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2,564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0.649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2,564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0.495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410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129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0.475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0.461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129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410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0.507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438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0.511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101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438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0.536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0.447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S3. Leave-one-scar-out at a 2 km buffer, every scar.</w:t>
      </w:r>
      <w:r>
        <w:t xml:space="preserve"> </w:t>
      </w:r>
      <w:r>
        <w:t xml:space="preserve">Muğla and Montiferru are the only</w:t>
      </w:r>
      <w:r>
        <w:t xml:space="preserve"> </w:t>
      </w:r>
      <w:r>
        <w:t xml:space="preserve">regions containing more than one burned component of at least 50 cells. Muğla is the only region</w:t>
      </w:r>
      <w:r>
        <w:t xml:space="preserve"> </w:t>
      </w:r>
      <w:r>
        <w:t xml:space="preserve">where holding one out still leaves the source model properly trained in every arm; Montiferru’s two</w:t>
      </w:r>
      <w:r>
        <w:t xml:space="preserve"> </w:t>
      </w:r>
      <w:r>
        <w:t xml:space="preserve">components are very unequal, so one of its arms retains 472 source positives and the other 97.</w:t>
      </w:r>
      <w:r>
        <w:t xml:space="preserve"> </w:t>
      </w:r>
      <w:r>
        <w:t xml:space="preserve">Muğla’s four arms mean 0.579 and the three arms in the other regions 0.502; the pooled 0.546 is row</w:t>
      </w:r>
      <w:r>
        <w:t xml:space="preserve"> </w:t>
      </w:r>
      <w:r>
        <w:t xml:space="preserve">C of Table 2. Source</w:t>
      </w:r>
      <w:r>
        <w:t xml:space="preserve"> </w:t>
      </w:r>
      <w:r>
        <w:rPr>
          <w:rStyle w:val="VerbatimChar"/>
        </w:rPr>
        <w:t xml:space="preserve">paper/labelfix_rerun/code/scar_control.json</w:t>
      </w:r>
      <w:r>
        <w:t xml:space="preserve">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16"/>
        <w:gridCol w:w="1008"/>
        <w:gridCol w:w="2351"/>
        <w:gridCol w:w="1792"/>
        <w:gridCol w:w="1344"/>
        <w:gridCol w:w="560"/>
      </w:tblGrid>
      <w:tr>
        <w:trPr>
          <w:tblHeader w:val="on"/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Component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Source positives left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Target positives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Target cells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2,653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3,059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0.465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97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442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758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472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67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195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0.458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1,997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914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1,266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0.595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2,173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738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1,244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0.561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2,272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639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940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0.617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2,363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548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954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</w:tr>
    </w:tbl>
    <w:p>
      <w:pPr>
        <w:pStyle w:val="BodyText"/>
      </w:pPr>
      <w:r>
        <w:t xml:space="preserve">The evaluation populations of the arms are not comparable with each other or with the transfer</w:t>
      </w:r>
      <w:r>
        <w:t xml:space="preserve"> </w:t>
      </w:r>
      <w:r>
        <w:t xml:space="preserve">targets. A held-out scar with its 2 km collar contains only fire-adjacent negatives, whereas a whole</w:t>
      </w:r>
      <w:r>
        <w:t xml:space="preserve"> </w:t>
      </w:r>
      <w:r>
        <w:t xml:space="preserve">target region includes its easy far field; the burned fractions, 34 to 87 % against 7.0 to 28.7 %,</w:t>
      </w:r>
      <w:r>
        <w:t xml:space="preserve"> </w:t>
      </w:r>
      <w:r>
        <w:t xml:space="preserve">are a symptom of that rather than the cause.</w:t>
      </w:r>
    </w:p>
    <w:p>
      <w:pPr>
        <w:pStyle w:val="BodyText"/>
        <w:keepNext/>
      </w:pPr>
      <w:r>
        <w:rPr>
          <w:b/>
          <w:bCs/>
        </w:rPr>
        <w:t xml:space="preserve">Table S4. The foreign-region arm, decomposed by source.</w:t>
      </w:r>
      <w:r>
        <w:t xml:space="preserve"> </w:t>
      </w:r>
      <w:r>
        <w:t xml:space="preserve">Each held-out scar area is scored with a</w:t>
      </w:r>
      <w:r>
        <w:t xml:space="preserve"> </w:t>
      </w:r>
      <w:r>
        <w:t xml:space="preserve">model fitted on each of the other four regions. Row D of Table 2 is the mean over the seven scars</w:t>
      </w:r>
      <w:r>
        <w:t xml:space="preserve"> </w:t>
      </w:r>
      <w:r>
        <w:t xml:space="preserve">that carry a row C, 28 of the 36 combinations below; over all nine scars the mean is 0.556. Source</w:t>
      </w:r>
      <w:r>
        <w:t xml:space="preserve"> </w:t>
      </w:r>
      <w:r>
        <w:rPr>
          <w:rStyle w:val="VerbatimChar"/>
        </w:rPr>
        <w:t xml:space="preserve">paper/labelfix_rerun/code/d_per_source.json</w:t>
      </w:r>
      <w:r>
        <w:t xml:space="preserve">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16"/>
        <w:gridCol w:w="698"/>
        <w:gridCol w:w="2965"/>
        <w:gridCol w:w="872"/>
        <w:gridCol w:w="872"/>
        <w:gridCol w:w="1047"/>
      </w:tblGrid>
      <w:tr>
        <w:trPr>
          <w:tblHeader w:val="on"/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region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over sources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Min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Max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Spread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0.631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0.112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0.704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0.329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0.665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0.227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0.457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0.513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0.056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0.475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0.597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0.410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0.608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0.198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0.571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0.545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0.597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0.052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0.623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0.724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0.192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0.433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0.716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0.283</w:t>
            </w:r>
          </w:p>
        </w:tc>
      </w:tr>
    </w:tbl>
    <w:p>
      <w:pPr>
        <w:pStyle w:val="BodyText"/>
      </w:pPr>
      <w:r>
        <w:t xml:space="preserve">Over all 36 combinations the mean is 0.556, the range 0.374 to 0.724, and ten fall below chance. The</w:t>
      </w:r>
      <w:r>
        <w:t xml:space="preserve"> </w:t>
      </w:r>
      <w:r>
        <w:t xml:space="preserve">mean spread across the four sources for a single scar is 0.183 over the nine scars and 0.187 over the</w:t>
      </w:r>
      <w:r>
        <w:t xml:space="preserve"> </w:t>
      </w:r>
      <w:r>
        <w:t xml:space="preserve">seven. Averaging over sources is what makes row D comparable with row C, which is fitted on one</w:t>
      </w:r>
      <w:r>
        <w:t xml:space="preserve"> </w:t>
      </w:r>
      <w:r>
        <w:t xml:space="preserve">region; it is not a claim that the choice of foreign source is immaterial.</w:t>
      </w:r>
    </w:p>
    <w:p>
      <w:pPr>
        <w:pStyle w:val="BodyText"/>
        <w:keepNext/>
      </w:pPr>
      <w:r>
        <w:rPr>
          <w:b/>
          <w:bCs/>
        </w:rPr>
        <w:t xml:space="preserve">Table S5. Prevalence is not the cause of the evaluation-area effect.</w:t>
      </w:r>
      <w:r>
        <w:t xml:space="preserve"> </w:t>
      </w:r>
      <w:r>
        <w:t xml:space="preserve">The same fitted model and</w:t>
      </w:r>
      <w:r>
        <w:t xml:space="preserve"> </w:t>
      </w:r>
      <w:r>
        <w:t xml:space="preserve">the same out-of-fold predictions are scored three ways: on the whole region, on a random sample of</w:t>
      </w:r>
      <w:r>
        <w:t xml:space="preserve"> </w:t>
      </w:r>
      <w:r>
        <w:t xml:space="preserve">region cells drawn at the scar area’s own burned fraction, and on the scar area. Twenty draws per</w:t>
      </w:r>
      <w:r>
        <w:t xml:space="preserve"> </w:t>
      </w:r>
      <w:r>
        <w:t xml:space="preserve">scar, seed 42. Nine scars, since this control needs no leave-one-scar-out arm. Values at 4 dp, as</w:t>
      </w:r>
      <w:r>
        <w:t xml:space="preserve"> </w:t>
      </w:r>
      <w:r>
        <w:t xml:space="preserve">stored in the source</w:t>
      </w:r>
      <w:r>
        <w:t xml:space="preserve"> </w:t>
      </w:r>
      <w:r>
        <w:rPr>
          <w:rStyle w:val="VerbatimChar"/>
        </w:rPr>
        <w:t xml:space="preserve">paper/labelfix_rerun/code/prevalence_control.json</w:t>
      </w:r>
      <w:r>
        <w:t xml:space="preserve">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01"/>
        <w:gridCol w:w="454"/>
        <w:gridCol w:w="1701"/>
        <w:gridCol w:w="1587"/>
        <w:gridCol w:w="2381"/>
        <w:gridCol w:w="1247"/>
      </w:tblGrid>
      <w:tr>
        <w:trPr>
          <w:tblHeader w:val="on"/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region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Burned fraction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 whole region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A′ prevalence-matched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 scar area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0.8822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0.8837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0.7434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0.8245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0.8251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0.5748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0.7782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0.7787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0.6540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0.7835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0.6735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0.7796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0.7609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0.87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0.8642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0.8632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0.7451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0.7199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0.7179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0.6215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0.7199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0.7285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0.4611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0.7911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0.7932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0.6443</w:t>
            </w:r>
          </w:p>
        </w:tc>
      </w:tr>
    </w:tbl>
    <w:p>
      <w:pPr>
        <w:pStyle w:val="BodyText"/>
      </w:pPr>
      <w:r>
        <w:t xml:space="preserve">A minus A′, the effect of prevalence alone, is −0.002 [−0.005, +0.001]. A′ minus B, which swaps both</w:t>
      </w:r>
      <w:r>
        <w:t xml:space="preserve"> </w:t>
      </w:r>
      <w:r>
        <w:t xml:space="preserve">pools, is +0.149 [+0.087, +0.211]; Section S1.9.1 attributes it to the negative pool.</w:t>
      </w:r>
    </w:p>
    <w:bookmarkEnd w:id="30"/>
    <w:bookmarkEnd w:id="31"/>
    <w:bookmarkStart w:id="32" w:name="X6c38c3988d5c8b8862977952c3fc6ac299027e5"/>
    <w:p>
      <w:pPr>
        <w:pStyle w:val="Heading2"/>
      </w:pPr>
      <w:r>
        <w:t xml:space="preserve">S1.10 The transfer-gap decomposition, in full</w:t>
      </w:r>
    </w:p>
    <w:p>
      <w:pPr>
        <w:pStyle w:val="FirstParagraph"/>
      </w:pPr>
      <w:r>
        <w:t xml:space="preserve">The recovered fraction of Section 3.10 is at most +0.28 among the directions that started below</w:t>
      </w:r>
      <w:r>
        <w:t xml:space="preserve"> </w:t>
      </w:r>
      <w:r>
        <w:t xml:space="preserve">chance (Bejís to Evia), and seven directions have negative recovery, five of them with intervals</w:t>
      </w:r>
      <w:r>
        <w:t xml:space="preserve"> </w:t>
      </w:r>
      <w:r>
        <w:t xml:space="preserve">entirely below zero; Manavgat to Muğla (−0.03 [−0.06, +0.01]) and Muğla to Bejís (−0.07 [−0.16,</w:t>
      </w:r>
      <w:r>
        <w:t xml:space="preserve"> </w:t>
      </w:r>
      <w:r>
        <w:t xml:space="preserve">+0.01]) are point-estimate cases. Values are from</w:t>
      </w:r>
      <w:r>
        <w:t xml:space="preserve"> </w:t>
      </w:r>
      <w:r>
        <w:rPr>
          <w:rStyle w:val="VerbatimChar"/>
        </w:rPr>
        <w:t xml:space="preserve">four_aoi_decomposition.csv</w:t>
      </w:r>
      <w:r>
        <w:t xml:space="preserve"> </w:t>
      </w:r>
      <w:r>
        <w:t xml:space="preserve">of the re-frozen</w:t>
      </w:r>
      <w:r>
        <w:t xml:space="preserve"> </w:t>
      </w:r>
      <w:r>
        <w:t xml:space="preserve">outputs (</w:t>
      </w:r>
      <w:r>
        <w:rPr>
          <w:rStyle w:val="VerbatimChar"/>
        </w:rPr>
        <w:t xml:space="preserve">paper/labelfix_rerun/round5/tables/corrected/</w:t>
      </w:r>
      <w:r>
        <w:t xml:space="preserve">). Section 4.3 shows that the within-region</w:t>
      </w:r>
      <w:r>
        <w:t xml:space="preserve"> </w:t>
      </w:r>
      <w:r>
        <w:t xml:space="preserve">reference in the denominator is not matched to a transfer evaluation, and Section 4.4 that the raw</w:t>
      </w:r>
      <w:r>
        <w:t xml:space="preserve"> </w:t>
      </w:r>
      <w:r>
        <w:t xml:space="preserve">column depends on the frame, so the fractions are within-protocol quantities.</w:t>
      </w:r>
    </w:p>
    <w:p>
      <w:pPr>
        <w:pStyle w:val="BodyText"/>
        <w:keepNext/>
      </w:pPr>
      <w:r>
        <w:rPr>
          <w:b/>
          <w:bCs/>
        </w:rPr>
        <w:t xml:space="preserve">Table S6. Transfer-gap decomposition (four-AOI set, 12 directions).</w:t>
      </w:r>
      <w:r>
        <w:t xml:space="preserve"> </w:t>
      </w:r>
      <w:r>
        <w:t xml:space="preserve">Within = target’s</w:t>
      </w:r>
      <w:r>
        <w:t xml:space="preserve"> </w:t>
      </w:r>
      <w:r>
        <w:t xml:space="preserve">within-region thermal AUC; best adapted = the better of z-score and CORAL, a choice that uses target</w:t>
      </w:r>
      <w:r>
        <w:t xml:space="preserve"> </w:t>
      </w:r>
      <w:r>
        <w:t xml:space="preserve">labels; recovered fraction = (adapted − raw)/(within − raw), signed and unclipped, with paired</w:t>
      </w:r>
      <w:r>
        <w:t xml:space="preserve"> </w:t>
      </w:r>
      <w:r>
        <w:t xml:space="preserve">bootstrap CI (1000 replicates, 2-cell blocks). Montiferru directions are not part of this</w:t>
      </w:r>
      <w:r>
        <w:t xml:space="preserve"> </w:t>
      </w:r>
      <w:r>
        <w:t xml:space="preserve">decomposition. The status column asks whether the</w:t>
      </w:r>
      <w:r>
        <w:t xml:space="preserve"> </w:t>
      </w:r>
      <w:r>
        <w:rPr>
          <w:i/>
          <w:iCs/>
        </w:rPr>
        <w:t xml:space="preserve">adapted</w:t>
      </w:r>
      <w:r>
        <w:t xml:space="preserve"> </w:t>
      </w:r>
      <w:r>
        <w:t xml:space="preserve">value clears chance, using the 2-cell</w:t>
      </w:r>
      <w:r>
        <w:t xml:space="preserve"> </w:t>
      </w:r>
      <w:r>
        <w:t xml:space="preserve">adapted intervals of Table S16.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09"/>
        <w:gridCol w:w="561"/>
        <w:gridCol w:w="468"/>
        <w:gridCol w:w="1964"/>
        <w:gridCol w:w="2151"/>
        <w:gridCol w:w="2618"/>
      </w:tblGrid>
      <w:tr>
        <w:trPr>
          <w:tblHeader w:val="on"/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Within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Raw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Best adapted (method)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Recovered fraction [CI]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Bejís→Evia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0.912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0.383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0.532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+0.28 [+0.23, +0.32]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above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Muğla→Manavgat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0.908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0.345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+0.25 [+0.22, +0.28]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adapted, chance not excluded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Evia→Bejís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0.448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0.549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+0.22 [+0.16, +0.27]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above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Bejís→Manavgat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0.908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0.314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0.406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+0.15 [+0.13, +0.18]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still below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Manavgat→Bejís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0.467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+0.14 [+0.09, +0.17]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still below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Manavgat→Muğla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0.859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0.427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−0.03 [−0.06, +0.01]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Muğla→Bejís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0.560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−0.07 [−0.16, +0.01]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Evia→Muğla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0.859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0.530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−0.17 [−0.22, −0.11]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Muğla→Evia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0.912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0.653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0.563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−0.35 [−0.43, −0.27]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Bejís→Muğla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0.859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−0.42 [−0.51, −0.34]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Manavgat→Evia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0.912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0.654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0.529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−0.48 [−0.56, −0.42]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Evia→Manavgat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0.908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0.417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−1.13 [−1.27, −1.00]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</w:tbl>
    <w:bookmarkEnd w:id="32"/>
    <w:bookmarkStart w:id="33" w:name="s1.11-the-thermal-sign-stratified"/>
    <w:p>
      <w:pPr>
        <w:pStyle w:val="Heading2"/>
      </w:pPr>
      <w:r>
        <w:t xml:space="preserve">S1.11 The thermal sign, stratified</w:t>
      </w:r>
    </w:p>
    <w:p>
      <w:pPr>
        <w:pStyle w:val="FirstParagraph"/>
      </w:pPr>
      <w:r>
        <w:t xml:space="preserve">Section 4.4 reports that four of five regions agree on a negative association between pre-fire</w:t>
      </w:r>
      <w:r>
        <w:t xml:space="preserve"> </w:t>
      </w:r>
      <w:r>
        <w:t xml:space="preserve">surface temperature and burning, and that Manavgat joins them once elevation is held. The per-region</w:t>
      </w:r>
      <w:r>
        <w:t xml:space="preserve"> </w:t>
      </w:r>
      <w:r>
        <w:t xml:space="preserve">values are here. Signed AUC against</w:t>
      </w:r>
      <w:r>
        <w:t xml:space="preserve"> </w:t>
      </w:r>
      <w:r>
        <w:rPr>
          <w:rStyle w:val="VerbatimChar"/>
        </w:rPr>
        <w:t xml:space="preserve">burned</w:t>
      </w:r>
      <w:r>
        <w:t xml:space="preserve"> </w:t>
      </w:r>
      <w:r>
        <w:t xml:space="preserve">within the 10 km collar. The stratified columns pool</w:t>
      </w:r>
      <w:r>
        <w:t xml:space="preserve"> </w:t>
      </w:r>
      <w:r>
        <w:t xml:space="preserve">within-stratum concordance over deciles of the named variable, weighting each stratum by its</w:t>
      </w:r>
      <w:r>
        <w:t xml:space="preserve"> </w:t>
      </w:r>
      <w:r>
        <w:t xml:space="preserve">positive-negative pair count. Sources:</w:t>
      </w:r>
      <w:r>
        <w:t xml:space="preserve"> </w:t>
      </w:r>
      <w:r>
        <w:rPr>
          <w:rStyle w:val="VerbatimChar"/>
        </w:rPr>
        <w:t xml:space="preserve">paper/labelfix_rerun/code/matched_frame_gap.csv</w:t>
      </w:r>
      <w:r>
        <w:t xml:space="preserve"> </w:t>
      </w:r>
      <w:r>
        <w:t xml:space="preserve">(LST raw,</w:t>
      </w:r>
      <w:r>
        <w:t xml:space="preserve"> </w:t>
      </w:r>
      <w:r>
        <w:t xml:space="preserve">within NDVI, within distance; NDVI columns), recomputable by</w:t>
      </w:r>
      <w:r>
        <w:t xml:space="preserve"> </w:t>
      </w:r>
      <w:r>
        <w:rPr>
          <w:rStyle w:val="VerbatimChar"/>
        </w:rPr>
        <w:t xml:space="preserve">paper/code/verify_matched_gap.py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paper/labelfix_rerun/round7/r7b_lst_given_terrain.csv</w:t>
      </w:r>
      <w:r>
        <w:t xml:space="preserve"> </w:t>
      </w:r>
      <w:r>
        <w:t xml:space="preserve">(LST within elevation, and LST detrended on</w:t>
      </w:r>
      <w:r>
        <w:t xml:space="preserve"> </w:t>
      </w:r>
      <w:r>
        <w:t xml:space="preserve">elevation).</w:t>
      </w:r>
    </w:p>
    <w:p>
      <w:pPr>
        <w:pStyle w:val="BodyText"/>
        <w:keepNext/>
      </w:pPr>
      <w:r>
        <w:rPr>
          <w:b/>
          <w:bCs/>
        </w:rPr>
        <w:t xml:space="preserve">Table S27. The LST association, stratified, 10 km collar.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56"/>
        <w:gridCol w:w="529"/>
        <w:gridCol w:w="1512"/>
        <w:gridCol w:w="1965"/>
        <w:gridCol w:w="1134"/>
        <w:gridCol w:w="1436"/>
        <w:gridCol w:w="605"/>
        <w:gridCol w:w="1134"/>
      </w:tblGrid>
      <w:tr>
        <w:trPr>
          <w:tblHeader w:val="on"/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raw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within elevation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detrended on elevation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within NDVI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within distance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NDVI raw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NDVI within LST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0.522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0.403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0.409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0.556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0.454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0.551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0.550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0.405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0.509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0.411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0.486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0.350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0.574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0.332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0.363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0.365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0.404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0.367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0.547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0.327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0.279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0.319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0.663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0.380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0.392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0.416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0.368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0.485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0.405</w:t>
            </w:r>
          </w:p>
        </w:tc>
      </w:tr>
    </w:tbl>
    <w:p>
      <w:pPr>
        <w:pStyle w:val="BodyText"/>
      </w:pPr>
      <w:r>
        <w:t xml:space="preserve">Three readings follow. First, Manavgat’s raw LST association is above 0.5 and falls well below it</w:t>
      </w:r>
      <w:r>
        <w:t xml:space="preserve"> </w:t>
      </w:r>
      <w:r>
        <w:t xml:space="preserve">once elevation is held, whether by deciles or by removing the region’s own linear dependence of LST</w:t>
      </w:r>
      <w:r>
        <w:t xml:space="preserve"> </w:t>
      </w:r>
      <w:r>
        <w:t xml:space="preserve">on elevation (−5.6 K per km); on the full frame the same holds, 0.665 raw against 0.455 and 0.446.</w:t>
      </w:r>
      <w:r>
        <w:t xml:space="preserve"> </w:t>
      </w:r>
      <w:r>
        <w:t xml:space="preserve">Its hot-burn signal is therefore carried by terrain, and with terrain held it shares the sign of the</w:t>
      </w:r>
      <w:r>
        <w:t xml:space="preserve"> </w:t>
      </w:r>
      <w:r>
        <w:t xml:space="preserve">other four. Second, in the other four regions the sign survives stratification within elevation in</w:t>
      </w:r>
      <w:r>
        <w:t xml:space="preserve"> </w:t>
      </w:r>
      <w:r>
        <w:t xml:space="preserve">three and within greenness in all four, so there it is neither a lapse-rate proxy nor an</w:t>
      </w:r>
      <w:r>
        <w:t xml:space="preserve"> </w:t>
      </w:r>
      <w:r>
        <w:t xml:space="preserve">inverse-greenness proxy; in Bejís it moves to 0.509 within elevation deciles and stays below 0.5</w:t>
      </w:r>
      <w:r>
        <w:t xml:space="preserve"> </w:t>
      </w:r>
      <w:r>
        <w:t xml:space="preserve">after detrending. Third, the reciprocal adjustment runs one way: NDVI reverses in two regions once</w:t>
      </w:r>
      <w:r>
        <w:t xml:space="preserve"> </w:t>
      </w:r>
      <w:r>
        <w:t xml:space="preserve">temperature is held, while LST reverses in none of the four once greenness is held. Aspect and</w:t>
      </w:r>
      <w:r>
        <w:t xml:space="preserve"> </w:t>
      </w:r>
      <w:r>
        <w:t xml:space="preserve">illumination are not used, so terrain is held only through elevation.</w:t>
      </w:r>
    </w:p>
    <w:bookmarkEnd w:id="33"/>
    <w:bookmarkStart w:id="34" w:name="X6c949bad1ad745231c930c98eb348d985538fe7"/>
    <w:p>
      <w:pPr>
        <w:pStyle w:val="Heading2"/>
      </w:pPr>
      <w:r>
        <w:t xml:space="preserve">S1.12 The LST anomaly under the difference instrument</w:t>
      </w:r>
    </w:p>
    <w:p>
      <w:pPr>
        <w:pStyle w:val="FirstParagraph"/>
      </w:pPr>
      <w:r>
        <w:t xml:space="preserve">Section 4.4 reports two elevation reversals, both involving Manavgat, that meet this paper’s</w:t>
      </w:r>
      <w:r>
        <w:t xml:space="preserve"> </w:t>
      </w:r>
      <w:r>
        <w:t xml:space="preserve">per-comparison criterion on the collar. The LST anomaly differs between regions on a weaker</w:t>
      </w:r>
      <w:r>
        <w:t xml:space="preserve"> </w:t>
      </w:r>
      <w:r>
        <w:t xml:space="preserve">instrument: bootstrapping the two regions independently and differencing. These are the three pairs</w:t>
      </w:r>
      <w:r>
        <w:t xml:space="preserve"> </w:t>
      </w:r>
      <w:r>
        <w:t xml:space="preserve">that have opposite-sided point estimates and a difference interval excluding zero, all on</w:t>
      </w:r>
      <w:r>
        <w:t xml:space="preserve"> </w:t>
      </w:r>
      <w:r>
        <w:rPr>
          <w:rStyle w:val="VerbatimChar"/>
        </w:rPr>
        <w:t xml:space="preserve">lst_anomaly_mean</w:t>
      </w:r>
      <w:r>
        <w:t xml:space="preserve">. Signed AUC within the 10 km collar; the two regions are bootstrapped</w:t>
      </w:r>
      <w:r>
        <w:t xml:space="preserve"> </w:t>
      </w:r>
      <w:r>
        <w:t xml:space="preserve">independently under the 10-cell spatial-block scheme and differenced, 1000 replicates, seed 42.</w:t>
      </w:r>
    </w:p>
    <w:p>
      <w:pPr>
        <w:pStyle w:val="BodyText"/>
        <w:keepNext/>
      </w:pPr>
      <w:r>
        <w:rPr>
          <w:b/>
          <w:bCs/>
        </w:rPr>
        <w:t xml:space="preserve">Table S7. Between-region differences in the signed LST-anomaly association, 10 km collar.</w:t>
      </w:r>
      <w:r>
        <w:t xml:space="preserve"> </w:t>
      </w:r>
      <w:r>
        <w:t xml:space="preserve">Pairs</w:t>
      </w:r>
      <w:r>
        <w:t xml:space="preserve"> </w:t>
      </w:r>
      <w:r>
        <w:t xml:space="preserve">with opposite-sided point estimates and a difference interval excluding zero. Source</w:t>
      </w:r>
      <w:r>
        <w:t xml:space="preserve"> </w:t>
      </w:r>
      <w:r>
        <w:rPr>
          <w:rStyle w:val="VerbatimChar"/>
        </w:rPr>
        <w:t xml:space="preserve">paper/labelfix_rerun/inference/reversal_family_holm.csv</w:t>
      </w:r>
      <w:r>
        <w:t xml:space="preserve"> </w:t>
      </w:r>
      <w:r>
        <w:t xml:space="preserve">(collar frame);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023"/>
        <w:gridCol w:w="840"/>
        <w:gridCol w:w="840"/>
        <w:gridCol w:w="1680"/>
        <w:gridCol w:w="2687"/>
      </w:tblGrid>
      <w:tr>
        <w:trPr>
          <w:tblHeader w:val="on"/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Pair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 A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 B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Difference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95 % CI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vs Evia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0.392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−0.191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[−0.295, −0.083]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vs Montiferru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0.400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+0.184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[+0.012, +0.321]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vs Muğla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0.392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0.507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−0.115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[−0.219, −0.002]</w:t>
            </w:r>
          </w:p>
        </w:tc>
      </w:tr>
    </w:tbl>
    <w:p>
      <w:pPr>
        <w:pStyle w:val="BodyText"/>
      </w:pPr>
      <w:r>
        <w:t xml:space="preserve">Twenty-seven of the ninety feature-by-pair differences on the collar clear zero, against about 4.5</w:t>
      </w:r>
      <w:r>
        <w:t xml:space="preserve"> </w:t>
      </w:r>
      <w:r>
        <w:t xml:space="preserve">expected at nominal 5 % under the null. Four of the twenty-seven are this feature, three of those</w:t>
      </w:r>
      <w:r>
        <w:t xml:space="preserve"> </w:t>
      </w:r>
      <w:r>
        <w:t xml:space="preserve">have opposite-sided point estimates, and two of the three involve Evia. Under a Holm correction</w:t>
      </w:r>
      <w:r>
        <w:t xml:space="preserve"> </w:t>
      </w:r>
      <w:r>
        <w:t xml:space="preserve">applied with normal-approximation p-values, twelve of the ninety survive; under the stricter</w:t>
      </w:r>
      <w:r>
        <w:t xml:space="preserve"> </w:t>
      </w:r>
      <w:r>
        <w:t xml:space="preserve">intersection-union form, which requires both regions’ own associations to be significant, none does</w:t>
      </w:r>
      <w:r>
        <w:t xml:space="preserve"> </w:t>
      </w:r>
      <w:r>
        <w:t xml:space="preserve">(Section S1.20). The nine features carry about two independent thermal signals (Section 3.4), so</w:t>
      </w:r>
      <w:r>
        <w:t xml:space="preserve"> </w:t>
      </w:r>
      <w:r>
        <w:t xml:space="preserve">the ninety comparisons are not independent either. This is a weaker result than a reversal.</w:t>
      </w:r>
    </w:p>
    <w:bookmarkEnd w:id="34"/>
    <w:bookmarkStart w:id="35" w:name="s1.13-the-same-geography-event-pair"/>
    <w:p>
      <w:pPr>
        <w:pStyle w:val="Heading2"/>
      </w:pPr>
      <w:r>
        <w:t xml:space="preserve">S1.13 The same-geography event pair</w:t>
      </w:r>
    </w:p>
    <w:p>
      <w:pPr>
        <w:pStyle w:val="FirstParagraph"/>
      </w:pPr>
      <w:r>
        <w:t xml:space="preserve">Section 4.4 states the result and why it does not survive the frame test. The design, the two</w:t>
      </w:r>
      <w:r>
        <w:t xml:space="preserve"> </w:t>
      </w:r>
      <w:r>
        <w:t xml:space="preserve">structural asymmetries that have no analogue in the twenty-direction matrix, and the direction of</w:t>
      </w:r>
      <w:r>
        <w:t xml:space="preserve"> </w:t>
      </w:r>
      <w:r>
        <w:t xml:space="preserve">the bias they impose are here; the protocol is in Section S3.3.</w:t>
      </w:r>
    </w:p>
    <w:p>
      <w:pPr>
        <w:pStyle w:val="BodyText"/>
      </w:pPr>
      <w:r>
        <w:t xml:space="preserve">This arm was designed to hold place fixed and vary only the fire, which would have separated</w:t>
      </w:r>
      <w:r>
        <w:t xml:space="preserve"> </w:t>
      </w:r>
      <w:r>
        <w:t xml:space="preserve">regional concept shift from everything that differs between study areas. Muğla burned twice, in 2021</w:t>
      </w:r>
      <w:r>
        <w:t xml:space="preserve"> </w:t>
      </w:r>
      <w:r>
        <w:t xml:space="preserve">and again eleven months later, on the same grid and through the same processing chain, and the 2022</w:t>
      </w:r>
      <w:r>
        <w:t xml:space="preserve"> </w:t>
      </w:r>
      <w:r>
        <w:t xml:space="preserve">arm is the 2021 population with the 2021 scar removed: 41,730 rows and 2,911 burned for 2021</w:t>
      </w:r>
      <w:r>
        <w:t xml:space="preserve"> </w:t>
      </w:r>
      <w:r>
        <w:t xml:space="preserve">against 38,790 rows and 331 burned for 2022.</w:t>
      </w:r>
      <w:r>
        <w:t xml:space="preserve"> </w:t>
      </w:r>
      <w:r>
        <w:rPr>
          <w:b/>
          <w:bCs/>
        </w:rPr>
        <w:t xml:space="preserve">Positive-carrying 5 km blocks: 70 for the 2021 arm</w:t>
      </w:r>
      <w:r>
        <w:rPr>
          <w:b/>
          <w:bCs/>
        </w:rPr>
        <w:t xml:space="preserve"> </w:t>
      </w:r>
      <w:r>
        <w:rPr>
          <w:b/>
          <w:bCs/>
        </w:rPr>
        <w:t xml:space="preserve">and 11 for the 2022 arm</w:t>
      </w:r>
      <w:r>
        <w:t xml:space="preserve">, and eleven is below the sixteen this design sets as its own floor, so the</w:t>
      </w:r>
      <w:r>
        <w:t xml:space="preserve"> </w:t>
      </w:r>
      <w:r>
        <w:t xml:space="preserve">2022 intervals are indicative, like the 20-cell row of Table 1. Full per-feature values are in</w:t>
      </w:r>
      <w:r>
        <w:t xml:space="preserve"> </w:t>
      </w:r>
      <w:r>
        <w:t xml:space="preserve">Table S12.</w:t>
      </w:r>
    </w:p>
    <w:p>
      <w:pPr>
        <w:pStyle w:val="BodyText"/>
      </w:pPr>
      <w:r>
        <w:rPr>
          <w:b/>
          <w:bCs/>
        </w:rPr>
        <w:t xml:space="preserve">On the frame as drawn, elevation reverses with bootstrap support.</w:t>
      </w:r>
      <w:r>
        <w:t xml:space="preserve"> </w:t>
      </w:r>
      <w:r>
        <w:t xml:space="preserve">In 2021 higher ground burned</w:t>
      </w:r>
      <w:r>
        <w:t xml:space="preserve"> </w:t>
      </w:r>
      <w:r>
        <w:t xml:space="preserve">preferentially, at 0.611 [0.532, 0.690]; in 2022 lower ground did, at 0.296 [0.230, 0.355]. The</w:t>
      </w:r>
      <w:r>
        <w:t xml:space="preserve"> </w:t>
      </w:r>
      <w:r>
        <w:t xml:space="preserve">intervals are disjoint and the difference is −0.317 [−0.414, −0.220].</w:t>
      </w:r>
    </w:p>
    <w:p>
      <w:pPr>
        <w:pStyle w:val="BodyText"/>
      </w:pPr>
      <w:r>
        <w:rPr>
          <w:b/>
          <w:bCs/>
        </w:rPr>
        <w:t xml:space="preserve">The collar removes it.</w:t>
      </w:r>
      <w:r>
        <w:t xml:space="preserve"> </w:t>
      </w:r>
      <w:r>
        <w:t xml:space="preserve">The 2022 arm is one compact scar inside the whole Muğla box, so 93.2 % of</w:t>
      </w:r>
      <w:r>
        <w:t xml:space="preserve"> </w:t>
      </w:r>
      <w:r>
        <w:t xml:space="preserve">its cells lie beyond 10 km of any burned cell (median 43.6 km), against 55.3 % for the 2021 arm, the</w:t>
      </w:r>
      <w:r>
        <w:t xml:space="preserve"> </w:t>
      </w:r>
      <w:r>
        <w:t xml:space="preserve">most extreme far field in the cohort. Under the same 10 km collar the 2021 figure barely moves, 0.611</w:t>
      </w:r>
      <w:r>
        <w:t xml:space="preserve"> </w:t>
      </w:r>
      <w:r>
        <w:t xml:space="preserve">to 0.606 and still supported, while the 2022 figure moves from 0.297 to 0.565, onto the same side of</w:t>
      </w:r>
      <w:r>
        <w:t xml:space="preserve"> </w:t>
      </w:r>
      <w:r>
        <w:t xml:space="preserve">0.5 as 2021 with an interval covering chance. Slope reverses on neither frame.</w:t>
      </w:r>
    </w:p>
    <w:p>
      <w:pPr>
        <w:pStyle w:val="BodyText"/>
        <w:keepNext/>
      </w:pPr>
      <w:r>
        <w:rPr>
          <w:b/>
          <w:bCs/>
        </w:rPr>
        <w:t xml:space="preserve">What this arm can and cannot evaluate.</w:t>
      </w:r>
      <w:r>
        <w:t xml:space="preserve"> </w:t>
      </w:r>
      <w:r>
        <w:t xml:space="preserve">The 2022 event’s own modelling export is not in this tree.</w:t>
      </w:r>
      <w:r>
        <w:t xml:space="preserve"> </w:t>
      </w:r>
      <w:r>
        <w:t xml:space="preserve">The released script (</w:t>
      </w:r>
      <w:r>
        <w:rPr>
          <w:rStyle w:val="VerbatimChar"/>
        </w:rPr>
        <w:t xml:space="preserve">paper/code/verify_mugla_collar.py</w:t>
      </w:r>
      <w:r>
        <w:t xml:space="preserve">) reconstructs the arm from the 2021</w:t>
      </w:r>
      <w:r>
        <w:t xml:space="preserve"> </w:t>
      </w:r>
      <w:r>
        <w:t xml:space="preserve">predictor file with the 2022 burned mask, which is valid for elevation, slope and land cover (they are</w:t>
      </w:r>
      <w:r>
        <w:t xml:space="preserve"> </w:t>
      </w:r>
      <w:r>
        <w:t xml:space="preserve">identical between the arms) and not for the state-dependent channels. Against the pipeline’s own</w:t>
      </w:r>
      <w:r>
        <w:t xml:space="preserve"> </w:t>
      </w:r>
      <w:r>
        <w:t xml:space="preserve">2022 export the reconstruction agrees on elevation (0.297 against 0.296) and slope (0.559 against</w:t>
      </w:r>
      <w:r>
        <w:t xml:space="preserve"> </w:t>
      </w:r>
      <w:r>
        <w:t xml:space="preserve">0.558) and diverges on every seasonal channel, by +0.136 on</w:t>
      </w:r>
      <w:r>
        <w:t xml:space="preserve"> </w:t>
      </w:r>
      <w:r>
        <w:rPr>
          <w:rStyle w:val="VerbatimChar"/>
        </w:rPr>
        <w:t xml:space="preserve">lst_anomaly_mean</w:t>
      </w:r>
      <w:r>
        <w:t xml:space="preserve">, +0.092 on</w:t>
      </w:r>
      <w:r>
        <w:t xml:space="preserve"> </w:t>
      </w:r>
      <w:r>
        <w:rPr>
          <w:rStyle w:val="VerbatimChar"/>
        </w:rPr>
        <w:t xml:space="preserve">tvdi_difference_mean</w:t>
      </w:r>
      <w:r>
        <w:t xml:space="preserve">, −0.078 on</w:t>
      </w:r>
      <w:r>
        <w:t xml:space="preserve"> </w:t>
      </w:r>
      <w:r>
        <w:rPr>
          <w:rStyle w:val="VerbatimChar"/>
        </w:rPr>
        <w:t xml:space="preserve">ndvi_mean</w:t>
      </w:r>
      <w:r>
        <w:t xml:space="preserve"> </w:t>
      </w:r>
      <w:r>
        <w:t xml:space="preserve">and −0.025 on</w:t>
      </w:r>
      <w:r>
        <w:t xml:space="preserve"> </w:t>
      </w:r>
      <w:r>
        <w:rPr>
          <w:rStyle w:val="VerbatimChar"/>
        </w:rPr>
        <w:t xml:space="preserve">current_tvdi_mean</w:t>
      </w:r>
      <w:r>
        <w:t xml:space="preserve">.</w:t>
      </w:r>
      <w:r>
        <w:t xml:space="preserve"> </w:t>
      </w:r>
      <w:r>
        <w:rPr>
          <w:b/>
          <w:bCs/>
        </w:rPr>
        <w:t xml:space="preserve">So only elevation</w:t>
      </w:r>
      <w:r>
        <w:rPr>
          <w:b/>
          <w:bCs/>
        </w:rPr>
        <w:t xml:space="preserve"> </w:t>
      </w:r>
      <w:r>
        <w:rPr>
          <w:b/>
          <w:bCs/>
        </w:rPr>
        <w:t xml:space="preserve">and slope can be given a collar verdict for this arm</w:t>
      </w:r>
      <w:r>
        <w:t xml:space="preserve">, and on the thermal channels it is silent.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64"/>
        <w:gridCol w:w="1260"/>
        <w:gridCol w:w="1260"/>
        <w:gridCol w:w="1134"/>
        <w:gridCol w:w="1260"/>
        <w:gridCol w:w="1260"/>
        <w:gridCol w:w="1134"/>
      </w:tblGrid>
      <w:tr>
        <w:trPr>
          <w:tblHeader w:val="on"/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2021, full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2022, full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 verdict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2021, collar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2022, collar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collar verdict</w:t>
            </w:r>
          </w:p>
        </w:tc>
      </w:tr>
      <w:tr>
        <w:trPr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elevation_mean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0.611 [0.529, 0.692]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0.297 [0.229, 0.363]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supported reversal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0.606 [0.525, 0.685]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0.565 [0.450, 0.677]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slope_mean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0.637 [0.584, 0.689]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0.559 [0.463, 0.643]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0.635 [0.578, 0.692]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0.457 [0.356, 0.548]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the state-dependent channels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not evaluable here</w:t>
            </w:r>
          </w:p>
        </w:tc>
      </w:tr>
    </w:tbl>
    <w:p>
      <w:pPr>
        <w:pStyle w:val="BodyText"/>
      </w:pPr>
      <w:r>
        <w:t xml:space="preserve">Source</w:t>
      </w:r>
      <w:r>
        <w:t xml:space="preserve"> </w:t>
      </w:r>
      <w:r>
        <w:rPr>
          <w:rStyle w:val="VerbatimChar"/>
        </w:rPr>
        <w:t xml:space="preserve">paper/labelfix_rerun/code/mugla_two_event_collar.csv</w:t>
      </w:r>
      <w:r>
        <w:t xml:space="preserve">. The two arms are not disjoint samples:</w:t>
      </w:r>
      <w:r>
        <w:t xml:space="preserve"> </w:t>
      </w:r>
      <w:r>
        <w:t xml:space="preserve">they share 38,789 of the 2022 arm’s 38,790 cells, and elevation, slope and land cover are identical</w:t>
      </w:r>
      <w:r>
        <w:t xml:space="preserve"> </w:t>
      </w:r>
      <w:r>
        <w:t xml:space="preserve">across all 73,098 grid cells, so only NDVI and the six thermal channels carry new information</w:t>
      </w:r>
      <w:r>
        <w:t xml:space="preserve"> </w:t>
      </w:r>
      <w:r>
        <w:t xml:space="preserve">between them. And the removal is the target’s own positive class, so in the 2022-to-2021 direction</w:t>
      </w:r>
      <w:r>
        <w:t xml:space="preserve"> </w:t>
      </w:r>
      <w:r>
        <w:t xml:space="preserve">not one target positive is in the source training population while 38,789 of 38,819 target</w:t>
      </w:r>
      <w:r>
        <w:t xml:space="preserve"> </w:t>
      </w:r>
      <w:r>
        <w:t xml:space="preserve">negatives are, and membership of the source training set alone separates the 2021 target’s classes</w:t>
      </w:r>
      <w:r>
        <w:t xml:space="preserve"> </w:t>
      </w:r>
      <w:r>
        <w:t xml:space="preserve">at ROC-AUC 0.9996.</w:t>
      </w:r>
      <w:r>
        <w:t xml:space="preserve"> </w:t>
      </w:r>
      <w:r>
        <w:rPr>
          <w:b/>
          <w:bCs/>
        </w:rPr>
        <w:t xml:space="preserve">We therefore cannot bound what that asymmetry does to a transfer estimate</w:t>
      </w:r>
      <w:r>
        <w:rPr>
          <w:b/>
          <w:bCs/>
        </w:rPr>
        <w:t xml:space="preserve"> </w:t>
      </w:r>
      <w:r>
        <w:rPr>
          <w:b/>
          <w:bCs/>
        </w:rPr>
        <w:t xml:space="preserve">between the two arms.</w:t>
      </w:r>
      <w:r>
        <w:t xml:space="preserve"> </w:t>
      </w:r>
      <w:r>
        <w:t xml:space="preserve">The known part of the bias runs the safe way: the removed cells are high,</w:t>
      </w:r>
      <w:r>
        <w:t xml:space="preserve"> </w:t>
      </w:r>
      <w:r>
        <w:t xml:space="preserve">with a median of 563 m, so removing them strips high negatives from the 2022 arm and makes the</w:t>
      </w:r>
      <w:r>
        <w:t xml:space="preserve"> </w:t>
      </w:r>
      <w:r>
        <w:t xml:space="preserve">observed reversal smaller rather than larger.</w:t>
      </w:r>
    </w:p>
    <w:bookmarkEnd w:id="35"/>
    <w:bookmarkStart w:id="36" w:name="s1.14-the-two-interventions-in-full"/>
    <w:p>
      <w:pPr>
        <w:pStyle w:val="Heading2"/>
      </w:pPr>
      <w:r>
        <w:t xml:space="preserve">S1.14 The two interventions, in full</w:t>
      </w:r>
    </w:p>
    <w:p>
      <w:pPr>
        <w:pStyle w:val="FirstParagraph"/>
      </w:pPr>
      <w:r>
        <w:rPr>
          <w:b/>
          <w:bCs/>
        </w:rPr>
        <w:t xml:space="preserve">(a) Pooled multi-region training</w:t>
      </w:r>
      <w:r>
        <w:t xml:space="preserve"> </w:t>
      </w:r>
      <w:r>
        <w:t xml:space="preserve">(Fig. 6). Training on the pooled primary populations of the</w:t>
      </w:r>
      <w:r>
        <w:t xml:space="preserve"> </w:t>
      </w:r>
      <w:r>
        <w:t xml:space="preserve">other four regions beats the mean of the four single-source models for one target of five, Evia, at</w:t>
      </w:r>
      <w:r>
        <w:t xml:space="preserve"> </w:t>
      </w:r>
      <w:r>
        <w:t xml:space="preserve">0.715 [0.668, 0.757] against a mean of 0.569, and falls below that mean for the other four, by 0.009</w:t>
      </w:r>
      <w:r>
        <w:t xml:space="preserve"> </w:t>
      </w:r>
      <w:r>
        <w:t xml:space="preserve">to 0.057. It also beats the best single source only for Evia (0.654); choosing that best source</w:t>
      </w:r>
      <w:r>
        <w:t xml:space="preserve"> </w:t>
      </w:r>
      <w:r>
        <w:t xml:space="preserve">would use target labels, so it is an oracle benchmark rather than an alternative. In every target</w:t>
      </w:r>
      <w:r>
        <w:t xml:space="preserve"> </w:t>
      </w:r>
      <w:r>
        <w:t xml:space="preserve">the pooled model stays 0.20 to 0.48 AUC below the within-region ceiling. For Manavgat and Bejís it</w:t>
      </w:r>
      <w:r>
        <w:t xml:space="preserve"> </w:t>
      </w:r>
      <w:r>
        <w:t xml:space="preserve">falls below chance, only Manavgat with interval support, at 0.426 [0.369, 0.486]. Outside Evia,</w:t>
      </w:r>
      <w:r>
        <w:t xml:space="preserve"> </w:t>
      </w:r>
      <w:r>
        <w:t xml:space="preserve">aggregation does not recover what single-source transfer loses (</w:t>
      </w:r>
      <w:r>
        <w:rPr>
          <w:rStyle w:val="VerbatimChar"/>
        </w:rPr>
        <w:t xml:space="preserve">paper/labelfix_rerun/code/loro_all.json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paper/labelfix_rerun/round7/r7d_pooled_vs_single.csv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(b) Removing the direction-reversing features.</w:t>
      </w:r>
      <w:r>
        <w:t xml:space="preserve"> </w:t>
      </w:r>
      <w:r>
        <w:t xml:space="preserve">The two predictors whose signed association</w:t>
      </w:r>
      <w:r>
        <w:t xml:space="preserve"> </w:t>
      </w:r>
      <w:r>
        <w:t xml:space="preserve">reversed between regions with bootstrap support on the frames as drawn under the original label are</w:t>
      </w:r>
      <w:r>
        <w:t xml:space="preserve"> </w:t>
      </w:r>
      <w:r>
        <w:rPr>
          <w:rStyle w:val="VerbatimChar"/>
          <w:b/>
          <w:bCs/>
        </w:rPr>
        <w:t xml:space="preserve">elevation_mean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lst_anomaly_mean</w:t>
      </w:r>
      <w:r>
        <w:t xml:space="preserve">. The arm keeps them, rather than re-selecting under the</w:t>
      </w:r>
      <w:r>
        <w:t xml:space="preserve"> </w:t>
      </w:r>
      <w:r>
        <w:t xml:space="preserve">corrected label (Table S10), and Section 4.4 shows that the frame decides much of the support, so</w:t>
      </w:r>
      <w:r>
        <w:t xml:space="preserve"> </w:t>
      </w:r>
      <w:r>
        <w:t xml:space="preserve">this arm measures what the removal costs under the original protocol. Retraining without them costs</w:t>
      </w:r>
      <w:r>
        <w:t xml:space="preserve"> </w:t>
      </w:r>
      <w:r>
        <w:rPr>
          <w:b/>
          <w:bCs/>
        </w:rPr>
        <w:t xml:space="preserve">−0.076</w:t>
      </w:r>
      <w:r>
        <w:t xml:space="preserve"> </w:t>
      </w:r>
      <w:r>
        <w:t xml:space="preserve">of mean within-region AUC, supported in every region (per-region deltas −0.035, −0.130,</w:t>
      </w:r>
      <w:r>
        <w:t xml:space="preserve"> </w:t>
      </w:r>
      <w:r>
        <w:t xml:space="preserve">−0.073, −0.063 and −0.079 for Manavgat, Bejís, Muğla, Evia and Montiferru, every interval entirely</w:t>
      </w:r>
      <w:r>
        <w:t xml:space="preserve"> </w:t>
      </w:r>
      <w:r>
        <w:t xml:space="preserve">below zero), and changes mean transfer by</w:t>
      </w:r>
      <w:r>
        <w:t xml:space="preserve"> </w:t>
      </w:r>
      <w:r>
        <w:rPr>
          <w:b/>
          <w:bCs/>
        </w:rPr>
        <w:t xml:space="preserve">+0.014 [−0.028, +0.056]</w:t>
      </w:r>
      <w:r>
        <w:t xml:space="preserve">, which spans zero (source</w:t>
      </w:r>
      <w:r>
        <w:t xml:space="preserve"> </w:t>
      </w:r>
      <w:r>
        <w:rPr>
          <w:rStyle w:val="VerbatimChar"/>
        </w:rPr>
        <w:t xml:space="preserve">paper/labelfix_rerun/round3/feature_drop_transfer.json</w:t>
      </w:r>
      <w:r>
        <w:t xml:space="preserve">, summarised by</w:t>
      </w:r>
      <w:r>
        <w:t xml:space="preserve"> </w:t>
      </w:r>
      <w:r>
        <w:rPr>
          <w:rStyle w:val="VerbatimChar"/>
        </w:rPr>
        <w:t xml:space="preserve">paper/labelfix_rerun/round7/r7e_supplement_tables.py</w:t>
      </w:r>
      <w:r>
        <w:t xml:space="preserve">).</w:t>
      </w:r>
    </w:p>
    <w:p>
      <w:pPr>
        <w:pStyle w:val="BodyText"/>
      </w:pPr>
      <w:r>
        <w:t xml:space="preserve">Two qualifications belong with those numbers. First, the debit is mostly not the thermal block’s.</w:t>
      </w:r>
      <w:r>
        <w:t xml:space="preserve"> </w:t>
      </w:r>
      <w:r>
        <w:t xml:space="preserve">Dropping elevation alone accounts for −0.056 of it, from 0.896 to 0.840. Dropping the LST anomaly</w:t>
      </w:r>
      <w:r>
        <w:t xml:space="preserve"> </w:t>
      </w:r>
      <w:r>
        <w:t xml:space="preserve">alone accounts for −0.013, from 0.896 to 0.883. Roughly three quarters of the cost is therefore the</w:t>
      </w:r>
      <w:r>
        <w:t xml:space="preserve"> </w:t>
      </w:r>
      <w:r>
        <w:t xml:space="preserve">removal of a baseline terrain variable. Second, both figures are post-selection: the two predictors</w:t>
      </w:r>
      <w:r>
        <w:t xml:space="preserve"> </w:t>
      </w:r>
      <w:r>
        <w:t xml:space="preserve">were chosen because they reverse, using the same data on which the costs are then estimated, and no</w:t>
      </w:r>
      <w:r>
        <w:t xml:space="preserve"> </w:t>
      </w:r>
      <w:r>
        <w:t xml:space="preserve">correction is applied.</w:t>
      </w:r>
    </w:p>
    <w:p>
      <w:pPr>
        <w:pStyle w:val="BodyText"/>
        <w:keepNext/>
      </w:pPr>
      <w:r>
        <w:rPr>
          <w:b/>
          <w:bCs/>
        </w:rPr>
        <w:t xml:space="preserve">Table S28. Feature-removal configurations.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174"/>
        <w:gridCol w:w="3326"/>
        <w:gridCol w:w="2570"/>
      </w:tblGrid>
      <w:tr>
        <w:trPr>
          <w:tblHeader w:val="on"/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Configuration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within-region AUC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transfer AUC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0.896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drop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0.840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drop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lst_anomaly_mean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0.883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0.529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drop both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0.820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0.541</w:t>
            </w:r>
          </w:p>
        </w:tc>
      </w:tr>
    </w:tbl>
    <w:p>
      <w:pPr>
        <w:pStyle w:val="BodyText"/>
      </w:pPr>
      <w:r>
        <w:t xml:space="preserve">Fig. 7 shows the four configurations together. What this measures is a local cost with no</w:t>
      </w:r>
      <w:r>
        <w:t xml:space="preserve"> </w:t>
      </w:r>
      <w:r>
        <w:t xml:space="preserve">compensating transfer gain. It does not measure an exchange, because the transfer side is a null on</w:t>
      </w:r>
      <w:r>
        <w:t xml:space="preserve"> </w:t>
      </w:r>
      <w:r>
        <w:t xml:space="preserve">both arms: the thermal block’s own contribution to transfer is +0.007 and removing the reversing</w:t>
      </w:r>
      <w:r>
        <w:t xml:space="preserve"> </w:t>
      </w:r>
      <w:r>
        <w:t xml:space="preserve">predictors returns +0.014, both with intervals spanning zero.</w:t>
      </w:r>
    </w:p>
    <w:bookmarkEnd w:id="36"/>
    <w:bookmarkStart w:id="37" w:name="s1.15-signed-associations-on-both-frames"/>
    <w:p>
      <w:pPr>
        <w:pStyle w:val="Heading2"/>
      </w:pPr>
      <w:r>
        <w:t xml:space="preserve">S1.15 Signed associations on both frames</w:t>
      </w:r>
    </w:p>
    <w:p>
      <w:pPr>
        <w:pStyle w:val="FirstParagraph"/>
      </w:pPr>
      <w:r>
        <w:t xml:space="preserve">Section 4.4 states the collar results; the per-region values and the difference-instrument argument</w:t>
      </w:r>
      <w:r>
        <w:t xml:space="preserve"> </w:t>
      </w:r>
      <w:r>
        <w:t xml:space="preserve">are here. Per-feature values on both frames are in Table S14.</w:t>
      </w:r>
    </w:p>
    <w:p>
      <w:pPr>
        <w:pStyle w:val="BodyText"/>
      </w:pPr>
      <w:r>
        <w:rPr>
          <w:b/>
          <w:bCs/>
        </w:rPr>
        <w:t xml:space="preserve">The reversals that meet the per-comparison criterion.</w:t>
      </w:r>
      <w:r>
        <w:t xml:space="preserve"> </w:t>
      </w:r>
      <w:r>
        <w:t xml:space="preserve">On the frames as drawn, Table S10 counts</w:t>
      </w:r>
      <w:r>
        <w:t xml:space="preserve"> </w:t>
      </w:r>
      <w:r>
        <w:t xml:space="preserve">fourteen supported pair-level reversals across seven features, every one but the anomaly pair</w:t>
      </w:r>
      <w:r>
        <w:t xml:space="preserve"> </w:t>
      </w:r>
      <w:r>
        <w:t xml:space="preserve">involving Manavgat. Under the collar, elevation is below 0.5 in Manavgat, at 0.376 [0.300, 0.465],</w:t>
      </w:r>
      <w:r>
        <w:t xml:space="preserve"> </w:t>
      </w:r>
      <w:r>
        <w:t xml:space="preserve">and above it in the other four, individually supported in two, Muğla at 0.606 [0.525, 0.685] and</w:t>
      </w:r>
      <w:r>
        <w:t xml:space="preserve"> </w:t>
      </w:r>
      <w:r>
        <w:t xml:space="preserve">Evia at 0.648 [0.550, 0.740] (</w:t>
      </w:r>
      <w:r>
        <w:rPr>
          <w:rStyle w:val="VerbatimChar"/>
        </w:rPr>
        <w:t xml:space="preserve">paper/labelfix_rerun/code/collar_frame_bootstrap.csv</w:t>
      </w:r>
      <w:r>
        <w:t xml:space="preserve">). Those two</w:t>
      </w:r>
      <w:r>
        <w:t xml:space="preserve"> </w:t>
      </w:r>
      <w:r>
        <w:t xml:space="preserve">pairs are the only supported reversals left on the collar, and neither survives the Holm</w:t>
      </w:r>
      <w:r>
        <w:t xml:space="preserve"> </w:t>
      </w:r>
      <w:r>
        <w:t xml:space="preserve">intersection-union correction (Section S1.20). The LST anomaly differs between regions on the</w:t>
      </w:r>
      <w:r>
        <w:t xml:space="preserve"> </w:t>
      </w:r>
      <w:r>
        <w:t xml:space="preserve">weaker difference instrument (Section S1.12).</w:t>
      </w:r>
    </w:p>
    <w:p>
      <w:pPr>
        <w:pStyle w:val="BodyText"/>
      </w:pPr>
      <w:r>
        <w:rPr>
          <w:b/>
          <w:bCs/>
        </w:rPr>
        <w:t xml:space="preserve">The sign most regions share.</w:t>
      </w:r>
      <w:r>
        <w:t xml:space="preserve"> </w:t>
      </w:r>
      <w:r>
        <w:t xml:space="preserve">Under the collar, LST lies below 0.5 in four of five regions, at</w:t>
      </w:r>
      <w:r>
        <w:t xml:space="preserve"> </w:t>
      </w:r>
      <w:r>
        <w:t xml:space="preserve">0.405, 0.332, 0.286 and 0.376 in Bejís, Muğla, Evia and Montiferru: a hotter pre-fire surface is</w:t>
      </w:r>
      <w:r>
        <w:t xml:space="preserve"> </w:t>
      </w:r>
      <w:r>
        <w:t xml:space="preserve">associated with less burning there, and the same holds for TVDI. Manavgat is the exception on the raw</w:t>
      </w:r>
      <w:r>
        <w:t xml:space="preserve"> </w:t>
      </w:r>
      <w:r>
        <w:t xml:space="preserve">association, at 0.522 for LST and 0.527 for TVDI, and joins the other four once elevation is held</w:t>
      </w:r>
      <w:r>
        <w:t xml:space="preserve"> </w:t>
      </w:r>
      <w:r>
        <w:t xml:space="preserve">(Section S1.11). Interval support is not uniform: LST is supported in three of the four and TVDI in</w:t>
      </w:r>
      <w:r>
        <w:t xml:space="preserve"> </w:t>
      </w:r>
      <w:r>
        <w:t xml:space="preserve">two, so</w:t>
      </w:r>
      <w:r>
        <w:t xml:space="preserve"> </w:t>
      </w:r>
      <w:r>
        <w:t xml:space="preserve">“four of five agree”</w:t>
      </w:r>
      <w:r>
        <w:t xml:space="preserve"> </w:t>
      </w:r>
      <w:r>
        <w:t xml:space="preserve">is a statement about point estimates. The absolute thermal channels</w:t>
      </w:r>
      <w:r>
        <w:t xml:space="preserve"> </w:t>
      </w:r>
      <w:r>
        <w:t xml:space="preserve">therefore behave here as static land-surface descriptors rather than as a dryness index, and the two</w:t>
      </w:r>
      <w:r>
        <w:t xml:space="preserve"> </w:t>
      </w:r>
      <w:r>
        <w:t xml:space="preserve">internally differenced channels carry no consistent cross-region direction. Compositing depth was not</w:t>
      </w:r>
      <w:r>
        <w:t xml:space="preserve"> </w:t>
      </w:r>
      <w:r>
        <w:t xml:space="preserve">tested and remains an open alternative.</w:t>
      </w:r>
    </w:p>
    <w:p>
      <w:pPr>
        <w:pStyle w:val="BodyText"/>
      </w:pPr>
      <w:r>
        <w:rPr>
          <w:b/>
          <w:bCs/>
        </w:rPr>
        <w:t xml:space="preserve">How many independent reversals there could be.</w:t>
      </w:r>
      <w:r>
        <w:t xml:space="preserve"> </w:t>
      </w:r>
      <w:r>
        <w:t xml:space="preserve">The channels whose reversals vanish on the</w:t>
      </w:r>
      <w:r>
        <w:t xml:space="preserve"> </w:t>
      </w:r>
      <w:r>
        <w:t xml:space="preserve">collar are the ones partly measuring terrain: current LST correlates with elevation at −0.695 to</w:t>
      </w:r>
      <w:r>
        <w:t xml:space="preserve"> </w:t>
      </w:r>
      <w:r>
        <w:t xml:space="preserve">−0.125 across the regions and TVDI at −0.722 to −0.298. Within the collar</w:t>
      </w:r>
      <w:r>
        <w:t xml:space="preserve"> </w:t>
      </w:r>
      <w:r>
        <w:rPr>
          <w:rStyle w:val="VerbatimChar"/>
        </w:rPr>
        <w:t xml:space="preserve">fused_lst_mean</w:t>
      </w:r>
      <w:r>
        <w:t xml:space="preserve"> </w:t>
      </w:r>
      <w:r>
        <w:t xml:space="preserve">correlates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current_lst_mean</w:t>
      </w:r>
      <w:r>
        <w:t xml:space="preserve"> </w:t>
      </w:r>
      <w:r>
        <w:t xml:space="preserve">at 0.99 to 1.00,</w:t>
      </w:r>
      <w:r>
        <w:t xml:space="preserve"> </w:t>
      </w:r>
      <w:r>
        <w:rPr>
          <w:rStyle w:val="VerbatimChar"/>
        </w:rPr>
        <w:t xml:space="preserve">downscaled_lst_mean</w:t>
      </w:r>
      <w:r>
        <w:t xml:space="preserve"> </w:t>
      </w:r>
      <w:r>
        <w:t xml:space="preserve">at 0.97 to 0.99 and</w:t>
      </w:r>
      <w:r>
        <w:t xml:space="preserve"> </w:t>
      </w:r>
      <w:r>
        <w:rPr>
          <w:rStyle w:val="VerbatimChar"/>
        </w:rPr>
        <w:t xml:space="preserve">current_tvdi_mean</w:t>
      </w:r>
      <w:r>
        <w:t xml:space="preserve"> </w:t>
      </w:r>
      <w:r>
        <w:t xml:space="preserve">at 0.87 to 0.98, and the two differenced channels at 0.64 to 0.94. Counts over</w:t>
      </w:r>
      <w:r>
        <w:t xml:space="preserve"> </w:t>
      </w:r>
      <w:r>
        <w:t xml:space="preserve">the nine features therefore count features, not independent quantities; in effective dimensions the</w:t>
      </w:r>
      <w:r>
        <w:t xml:space="preserve"> </w:t>
      </w:r>
      <w:r>
        <w:t xml:space="preserve">thermal block is closer to two.</w:t>
      </w:r>
    </w:p>
    <w:p>
      <w:pPr>
        <w:pStyle w:val="BodyText"/>
      </w:pPr>
      <w:r>
        <w:rPr>
          <w:b/>
          <w:bCs/>
        </w:rPr>
        <w:t xml:space="preserve">The thermal block’s paired contribution to transfer, with its interval.</w:t>
      </w:r>
      <w:r>
        <w:t xml:space="preserve"> </w:t>
      </w:r>
      <w:r>
        <w:t xml:space="preserve">The two matrices were</w:t>
      </w:r>
      <w:r>
        <w:t xml:space="preserve"> </w:t>
      </w:r>
      <w:r>
        <w:t xml:space="preserve">differenced direction by direction. The mean is</w:t>
      </w:r>
      <w:r>
        <w:t xml:space="preserve"> </w:t>
      </w:r>
      <w:r>
        <w:rPr>
          <w:b/>
          <w:bCs/>
        </w:rPr>
        <w:t xml:space="preserve">+0.007</w:t>
      </w:r>
      <w:r>
        <w:t xml:space="preserve">; the individual paired contributions span</w:t>
      </w:r>
      <w:r>
        <w:t xml:space="preserve"> </w:t>
      </w:r>
      <w:r>
        <w:rPr>
          <w:b/>
          <w:bCs/>
        </w:rPr>
        <w:t xml:space="preserve">−0.148 to +0.132</w:t>
      </w:r>
      <w:r>
        <w:t xml:space="preserve">, with</w:t>
      </w:r>
      <w:r>
        <w:t xml:space="preserve"> </w:t>
      </w:r>
      <w:r>
        <w:rPr>
          <w:b/>
          <w:bCs/>
        </w:rPr>
        <w:t xml:space="preserve">twelve positive and eight negative</w:t>
      </w:r>
      <w:r>
        <w:t xml:space="preserve">. A mean near zero here records</w:t>
      </w:r>
      <w:r>
        <w:t xml:space="preserve"> </w:t>
      </w:r>
      <w:r>
        <w:t xml:space="preserve">cancellation, not consistent absence of effect. The directions are not independent, because each</w:t>
      </w:r>
      <w:r>
        <w:t xml:space="preserve"> </w:t>
      </w:r>
      <w:r>
        <w:t xml:space="preserve">region appears in eight of the twenty, so the interval depends on the resampling unit. All four units</w:t>
      </w:r>
      <w:r>
        <w:t xml:space="preserve"> </w:t>
      </w:r>
      <w:r>
        <w:t xml:space="preserve">the design permits span zero (1000 replicates where resampled; source</w:t>
      </w:r>
      <w:r>
        <w:t xml:space="preserve"> </w:t>
      </w:r>
      <w:r>
        <w:rPr>
          <w:rStyle w:val="VerbatimChar"/>
        </w:rPr>
        <w:t xml:space="preserve">paper/labelfix_rerun/code/transfer_delta_ci.json</w:t>
      </w:r>
      <w:r>
        <w:t xml:space="preserve">):</w:t>
      </w:r>
    </w:p>
    <w:p>
      <w:pPr>
        <w:pStyle w:val="BodyText"/>
        <w:keepNext/>
      </w:pPr>
      <w:r>
        <w:rPr>
          <w:b/>
          <w:bCs/>
        </w:rPr>
        <w:t xml:space="preserve">Table S29. The mean paired thermal contribution to transfer, by resampling unit.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291"/>
        <w:gridCol w:w="390"/>
        <w:gridCol w:w="4389"/>
      </w:tblGrid>
      <w:tr>
        <w:trPr>
          <w:tblHeader w:val="on"/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Resampling unit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95 % interval on the mean paired contribution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Directions, naive bootstrap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[−0.023, +0.037]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Unordered pairs, cluster bootstrap (primary)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[−0.020, +0.038]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Unordered pairs, Student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on pair means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[−0.028, +0.043]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Regions, leave-one-out jackknife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[−0.018, +0.033]</w:t>
            </w:r>
          </w:p>
        </w:tc>
      </w:tr>
    </w:tbl>
    <w:p>
      <w:pPr>
        <w:pStyle w:val="BodyText"/>
      </w:pPr>
      <w:r>
        <w:t xml:space="preserve">Holding out Manavgat, Bejís, Muğla, Evia and Montiferru in turn gives +0.0148, +0.0050, +0.0072,</w:t>
      </w:r>
      <w:r>
        <w:t xml:space="preserve"> </w:t>
      </w:r>
      <w:r>
        <w:t xml:space="preserve">+0.0010 and +0.0087, so no single region carries the mean or reverses its sign. None of these units</w:t>
      </w:r>
      <w:r>
        <w:t xml:space="preserve"> </w:t>
      </w:r>
      <w:r>
        <w:t xml:space="preserve">propagates within-direction sampling variability; they resample between directions only.</w:t>
      </w:r>
    </w:p>
    <w:p>
      <w:pPr>
        <w:pStyle w:val="BodyText"/>
      </w:pPr>
      <w:r>
        <w:rPr>
          <w:b/>
          <w:bCs/>
        </w:rPr>
        <w:t xml:space="preserve">In precision terms.</w:t>
      </w:r>
      <w:r>
        <w:t xml:space="preserve"> </w:t>
      </w:r>
      <w:r>
        <w:t xml:space="preserve">Across the twenty directions the thermal model’s PR-AUC averages</w:t>
      </w:r>
      <w:r>
        <w:t xml:space="preserve"> </w:t>
      </w:r>
      <w:r>
        <w:rPr>
          <w:b/>
          <w:bCs/>
        </w:rPr>
        <w:t xml:space="preserve">0.181</w:t>
      </w:r>
      <w:r>
        <w:rPr>
          <w:b/>
          <w:bCs/>
        </w:rPr>
        <w:t xml:space="preserve"> </w:t>
      </w:r>
      <w:r>
        <w:rPr>
          <w:b/>
          <w:bCs/>
        </w:rPr>
        <w:t xml:space="preserve">against a no-skill baseline of 0.157</w:t>
      </w:r>
      <w:r>
        <w:t xml:space="preserve">; the mean of the twenty per-direction lifts is 1.13. Seven of</w:t>
      </w:r>
      <w:r>
        <w:t xml:space="preserve"> </w:t>
      </w:r>
      <w:r>
        <w:t xml:space="preserve">the twenty fall below their own no-skill baseline at the point estimate. At 1 km blocking all seven</w:t>
      </w:r>
      <w:r>
        <w:t xml:space="preserve"> </w:t>
      </w:r>
      <w:r>
        <w:t xml:space="preserve">have intervals entirely below it; at 5 km blocking two do, Bejís to Manavgat and Muğla to Manavgat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paper/labelfix_rerun/round7/r7a_pr_auc_10cell.csv</w:t>
      </w:r>
      <w:r>
        <w:t xml:space="preserve">). Only one direction, Evia to Manavgat, exceeds</w:t>
      </w:r>
      <w:r>
        <w:t xml:space="preserve"> </w:t>
      </w:r>
      <w:r>
        <w:t xml:space="preserve">twice its baseline, at 0.321 against 0.143 (Table S11).</w:t>
      </w:r>
    </w:p>
    <w:p>
      <w:pPr>
        <w:pStyle w:val="BodyText"/>
      </w:pPr>
      <w:r>
        <w:rPr>
          <w:b/>
          <w:bCs/>
        </w:rPr>
        <w:t xml:space="preserve">The within-region increment on the collar.</w:t>
      </w:r>
      <w:r>
        <w:t xml:space="preserve"> </w:t>
      </w:r>
      <w:r>
        <w:t xml:space="preserve">Running the baseline arm on the collar as well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paper/labelfix_rerun/round6/cosine/official_collar_increment_and_cosine.csv</w:t>
      </w:r>
      <w:r>
        <w:t xml:space="preserve">), the thermal</w:t>
      </w:r>
      <w:r>
        <w:t xml:space="preserve"> </w:t>
      </w:r>
      <w:r>
        <w:t xml:space="preserve">increment at 5 km blocking is +0.073, +0.030, +0.088, +0.134 and +0.090 across the five regions,</w:t>
      </w:r>
      <w:r>
        <w:t xml:space="preserve"> </w:t>
      </w:r>
      <w:r>
        <w:t xml:space="preserve">positive in all five, with a mean of +0.083 against +0.087 on the frame as drawn. It erodes as the</w:t>
      </w:r>
      <w:r>
        <w:t xml:space="preserve"> </w:t>
      </w:r>
      <w:r>
        <w:t xml:space="preserve">frame tightens further: at a 5 km collar the mean halves to +0.042, still positive in all five. These</w:t>
      </w:r>
      <w:r>
        <w:t xml:space="preserve"> </w:t>
      </w:r>
      <w:r>
        <w:t xml:space="preserve">are point estimates; the intervals of Table 1 are on the frame as drawn.</w:t>
      </w:r>
    </w:p>
    <w:p>
      <w:pPr>
        <w:pStyle w:val="BodyText"/>
      </w:pPr>
      <w:r>
        <w:rPr>
          <w:b/>
          <w:bCs/>
        </w:rPr>
        <w:t xml:space="preserve">The five areas of interest are not comparable frames.</w:t>
      </w:r>
      <w:r>
        <w:t xml:space="preserve"> </w:t>
      </w:r>
      <w:r>
        <w:t xml:space="preserve">The share of modelled cells lying beyond</w:t>
      </w:r>
      <w:r>
        <w:t xml:space="preserve"> </w:t>
      </w:r>
      <w:r>
        <w:t xml:space="preserve">10 km of any burned cell is 58.5 % in Manavgat, 63.1 % in Bejís, 55.3 % in Muğla, 43.7 % in Evia and</w:t>
      </w:r>
      <w:r>
        <w:t xml:space="preserve"> </w:t>
      </w:r>
      <w:r>
        <w:rPr>
          <w:b/>
          <w:bCs/>
        </w:rPr>
        <w:t xml:space="preserve">2.1 %</w:t>
      </w:r>
      <w:r>
        <w:t xml:space="preserve"> </w:t>
      </w:r>
      <w:r>
        <w:t xml:space="preserve">in Montiferru, with median distances of 13.1, 13.5, 11.3, 8.0 and 2.7 km (Table S13). In</w:t>
      </w:r>
      <w:r>
        <w:t xml:space="preserve"> </w:t>
      </w:r>
      <w:r>
        <w:t xml:space="preserve">Manavgat the median elevation of modelled cells rises from 330 m within 5 km of the fire to 995 m at</w:t>
      </w:r>
      <w:r>
        <w:t xml:space="preserve"> </w:t>
      </w:r>
      <w:r>
        <w:t xml:space="preserve">10 to 20 km and 1,273 m at 20 to 50 km, against 287 m for the burned cells themselves.</w:t>
      </w:r>
    </w:p>
    <w:bookmarkEnd w:id="37"/>
    <w:bookmarkStart w:id="38" w:name="s1.16-the-contrast-pair-in-full"/>
    <w:p>
      <w:pPr>
        <w:pStyle w:val="Heading2"/>
      </w:pPr>
      <w:r>
        <w:t xml:space="preserve">S1.16 The contrast pair, in full</w:t>
      </w:r>
    </w:p>
    <w:p>
      <w:pPr>
        <w:pStyle w:val="FirstParagraph"/>
      </w:pPr>
      <w:r>
        <w:t xml:space="preserve">Manavgat and Muğla lie in the same country and fire year, 306 km apart by centroid, and their burned</w:t>
      </w:r>
      <w:r>
        <w:t xml:space="preserve"> </w:t>
      </w:r>
      <w:r>
        <w:t xml:space="preserve">cells occupy the most similar environmental envelope of any pair in the matrix; Bejís and Montiferru</w:t>
      </w:r>
      <w:r>
        <w:t xml:space="preserve"> </w:t>
      </w:r>
      <w:r>
        <w:t xml:space="preserve">occupy the least similar (Fig. 8). Per-quantity values for both pairs, on both frames, are in Table</w:t>
      </w:r>
      <w:r>
        <w:t xml:space="preserve"> </w:t>
      </w:r>
      <w:r>
        <w:t xml:space="preserve">S18.</w:t>
      </w:r>
    </w:p>
    <w:p>
      <w:pPr>
        <w:pStyle w:val="BodyText"/>
      </w:pPr>
      <w:r>
        <w:t xml:space="preserve">For Manavgat and Muğla, on the frames as drawn seven of nine feature-response directions point</w:t>
      </w:r>
      <w:r>
        <w:t xml:space="preserve"> </w:t>
      </w:r>
      <w:r>
        <w:t xml:space="preserve">opposite ways, and all six features supported in both regions have opposite signs, elevation among</w:t>
      </w:r>
      <w:r>
        <w:t xml:space="preserve"> </w:t>
      </w:r>
      <w:r>
        <w:t xml:space="preserve">them. Under the collar the elevation reversal remains, at 0.376 [0.300, 0.465] in Manavgat against</w:t>
      </w:r>
      <w:r>
        <w:t xml:space="preserve"> </w:t>
      </w:r>
      <w:r>
        <w:t xml:space="preserve">0.606 [0.525, 0.685] in Muğla. Transfer is below chance in both directions on both frames: 0.438 and</w:t>
      </w:r>
      <w:r>
        <w:t xml:space="preserve"> </w:t>
      </w:r>
      <w:r>
        <w:t xml:space="preserve">0.345 as drawn, 0.493 and 0.433 under the collar, where Muğla to Manavgat’s interval, [0.381, 0.491],</w:t>
      </w:r>
      <w:r>
        <w:t xml:space="preserve"> </w:t>
      </w:r>
      <w:r>
        <w:t xml:space="preserve">excludes chance. The most similar pair is among the weakest in the matrix, but not the extreme: under</w:t>
      </w:r>
      <w:r>
        <w:t xml:space="preserve"> </w:t>
      </w:r>
      <w:r>
        <w:t xml:space="preserve">the collar the weakest direction is Manavgat to Bejís at 0.407 and the strongest Muğla to Evia at</w:t>
      </w:r>
      <w:r>
        <w:t xml:space="preserve"> </w:t>
      </w:r>
      <w:r>
        <w:t xml:space="preserve">0.728. The niche-overlap and applicability measures of Table S18 are full-frame quantities.</w:t>
      </w:r>
    </w:p>
    <w:p>
      <w:pPr>
        <w:pStyle w:val="BodyText"/>
      </w:pPr>
      <w:r>
        <w:t xml:space="preserve">Bejís and Montiferru sit at the opposite extreme. Their burned envelopes barely overlap, and they</w:t>
      </w:r>
      <w:r>
        <w:t xml:space="preserve"> </w:t>
      </w:r>
      <w:r>
        <w:t xml:space="preserve">carry the most dissimilar values on every overlap measure. They transfer above chance in both</w:t>
      </w:r>
      <w:r>
        <w:t xml:space="preserve"> </w:t>
      </w:r>
      <w:r>
        <w:t xml:space="preserve">directions, at the point estimate only: neither direction carries a verdict at 5 km blocking, and the</w:t>
      </w:r>
      <w:r>
        <w:t xml:space="preserve"> </w:t>
      </w:r>
      <w:r>
        <w:t xml:space="preserve">marginal applicability audit was not produced for Montiferru.</w:t>
      </w:r>
      <w:r>
        <w:t xml:space="preserve"> </w:t>
      </w:r>
      <w:r>
        <w:rPr>
          <w:b/>
          <w:bCs/>
        </w:rPr>
        <w:t xml:space="preserve">At the point estimates, high niche</w:t>
      </w:r>
      <w:r>
        <w:rPr>
          <w:b/>
          <w:bCs/>
        </w:rPr>
        <w:t xml:space="preserve"> </w:t>
      </w:r>
      <w:r>
        <w:rPr>
          <w:b/>
          <w:bCs/>
        </w:rPr>
        <w:t xml:space="preserve">overlap did not guarantee transfer and low overlap did not preclude it.</w:t>
      </w:r>
      <w:r>
        <w:t xml:space="preserve"> </w:t>
      </w:r>
      <w:r>
        <w:t xml:space="preserve">That rests on two pairs; it</w:t>
      </w:r>
      <w:r>
        <w:t xml:space="preserve"> </w:t>
      </w:r>
      <w:r>
        <w:t xml:space="preserve">is not a correlation across pairs, which Section S1.22 treats.</w:t>
      </w:r>
    </w:p>
    <w:bookmarkEnd w:id="38"/>
    <w:bookmarkStart w:id="39" w:name="s1.17-the-sensitivity-arms-summarised"/>
    <w:p>
      <w:pPr>
        <w:pStyle w:val="Heading2"/>
      </w:pPr>
      <w:r>
        <w:t xml:space="preserve">S1.17 The sensitivity arms, summarised</w:t>
      </w:r>
    </w:p>
    <w:p>
      <w:pPr>
        <w:pStyle w:val="FirstParagraph"/>
      </w:pPr>
      <w:r>
        <w:t xml:space="preserve">Eight design choices were varied with everything else held fixed: the Evia AOI and its prevalence,</w:t>
      </w:r>
      <w:r>
        <w:t xml:space="preserve"> </w:t>
      </w:r>
      <w:r>
        <w:t xml:space="preserve">the CORAL regularisation constant, the blocking scale, the closure date of the predictor window, the</w:t>
      </w:r>
      <w:r>
        <w:t xml:space="preserve"> </w:t>
      </w:r>
      <w:r>
        <w:t xml:space="preserve">quality screening of the coarse thermal input, the contrast between the normalised and the absolute</w:t>
      </w:r>
      <w:r>
        <w:t xml:space="preserve"> </w:t>
      </w:r>
      <w:r>
        <w:t xml:space="preserve">dryness channels, the removal of the coordinate-informed channels, and the capacity of the classifier</w:t>
      </w:r>
      <w:r>
        <w:t xml:space="preserve"> </w:t>
      </w:r>
      <w:r>
        <w:t xml:space="preserve">(Sections S1.1 to S1.8). None changes a conclusion of the main text. Two bound how the results should</w:t>
      </w:r>
      <w:r>
        <w:t xml:space="preserve"> </w:t>
      </w:r>
      <w:r>
        <w:t xml:space="preserve">be read.</w:t>
      </w:r>
    </w:p>
    <w:p>
      <w:pPr>
        <w:pStyle w:val="BodyText"/>
      </w:pPr>
      <w:r>
        <w:rPr>
          <w:b/>
          <w:bCs/>
        </w:rPr>
        <w:t xml:space="preserve">The secondary population.</w:t>
      </w:r>
      <w:r>
        <w:t xml:space="preserve"> </w:t>
      </w:r>
      <w:r>
        <w:t xml:space="preserve">Section 3.5 defines a secondary population of all valid cells,</w:t>
      </w:r>
      <w:r>
        <w:t xml:space="preserve"> </w:t>
      </w:r>
      <w:r>
        <w:t xml:space="preserve">including cropland. It exists for the within-region arm in Manavgat and Bejís only, so it is a</w:t>
      </w:r>
      <w:r>
        <w:t xml:space="preserve"> </w:t>
      </w:r>
      <w:r>
        <w:t xml:space="preserve">two-region sensitivity rather than a cohort-wide one, and no transfer quantity is defined on it.</w:t>
      </w:r>
      <w:r>
        <w:t xml:space="preserve"> </w:t>
      </w:r>
      <w:r>
        <w:t xml:space="preserve">Across the two regions and the three block sizes the thermal increment runs +0.048 to +0.061 with</w:t>
      </w:r>
      <w:r>
        <w:t xml:space="preserve"> </w:t>
      </w:r>
      <w:r>
        <w:t xml:space="preserve">every bootstrap interval above zero, against +0.045 to +0.067 on the primary population, and the</w:t>
      </w:r>
      <w:r>
        <w:t xml:space="preserve"> </w:t>
      </w:r>
      <w:r>
        <w:t xml:space="preserve">paired difference between populations runs −0.011 to +0.011 with no consistent 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paper/labelfix_rerun/pipeline/robustness/step8_large_block_primary_all_valid/</w:t>
      </w:r>
      <w:r>
        <w:t xml:space="preserve">; Table 1). The</w:t>
      </w:r>
      <w:r>
        <w:t xml:space="preserve"> </w:t>
      </w:r>
      <w:r>
        <w:t xml:space="preserve">increment is therefore not an artefact of excluding cropland, which is what this arm was run to</w:t>
      </w:r>
      <w:r>
        <w:t xml:space="preserve"> </w:t>
      </w:r>
      <w:r>
        <w:t xml:space="preserve">test; it says nothing about the transfer results.</w:t>
      </w:r>
    </w:p>
    <w:p>
      <w:pPr>
        <w:pStyle w:val="BodyText"/>
      </w:pPr>
      <w:r>
        <w:rPr>
          <w:b/>
          <w:bCs/>
        </w:rPr>
        <w:t xml:space="preserve">The blocking scale.</w:t>
      </w:r>
      <w:r>
        <w:t xml:space="preserve"> </w:t>
      </w:r>
      <w:r>
        <w:t xml:space="preserve">Coarsening the blocks from 1 km to 5 km moves the paired thermal-minus-</w:t>
      </w:r>
      <w:r>
        <w:t xml:space="preserve"> </w:t>
      </w:r>
      <w:r>
        <w:t xml:space="preserve">baseline delta verdicts from twelve positive, seven negative and one uncertain to six, five and nine,</w:t>
      </w:r>
      <w:r>
        <w:t xml:space="preserve"> </w:t>
      </w:r>
      <w:r>
        <w:t xml:space="preserve">and the verdicts on the thermal arm itself from eleven above, seven below and two uncertain to nine,</w:t>
      </w:r>
      <w:r>
        <w:t xml:space="preserve"> </w:t>
      </w:r>
      <w:r>
        <w:t xml:space="preserve">six and five (Section S1.3). Support is removed and never added. The point estimates are unchanged,</w:t>
      </w:r>
      <w:r>
        <w:t xml:space="preserve"> </w:t>
      </w:r>
      <w:r>
        <w:t xml:space="preserve">which is an identity rather than a result.</w:t>
      </w:r>
    </w:p>
    <w:bookmarkEnd w:id="39"/>
    <w:bookmarkStart w:id="40" w:name="s1.18-distance-within-a-region"/>
    <w:p>
      <w:pPr>
        <w:pStyle w:val="Heading2"/>
      </w:pPr>
      <w:r>
        <w:t xml:space="preserve">S1.18 Distance within a region</w:t>
      </w:r>
    </w:p>
    <w:p>
      <w:pPr>
        <w:pStyle w:val="FirstParagraph"/>
      </w:pPr>
      <w:r>
        <w:t xml:space="preserve">One further arm measures how skill decays with distance inside a single region. A model is fitted on</w:t>
      </w:r>
      <w:r>
        <w:t xml:space="preserve"> </w:t>
      </w:r>
      <w:r>
        <w:t xml:space="preserve">one half of a region and applied to the other, and target cells are binned by their distance from the</w:t>
      </w:r>
      <w:r>
        <w:t xml:space="preserve"> </w:t>
      </w:r>
      <w:r>
        <w:t xml:space="preserve">training cells (</w:t>
      </w:r>
      <w:r>
        <w:rPr>
          <w:rStyle w:val="VerbatimChar"/>
        </w:rPr>
        <w:t xml:space="preserve">paper/code/distance_curve.py</w:t>
      </w:r>
      <w:r>
        <w:t xml:space="preserve">; corrected output</w:t>
      </w:r>
      <w:r>
        <w:t xml:space="preserve"> </w:t>
      </w:r>
      <w:r>
        <w:rPr>
          <w:rStyle w:val="VerbatimChar"/>
        </w:rPr>
        <w:t xml:space="preserve">paper/labelfix_rerun/round3/distance_curve.json</w:t>
      </w:r>
      <w:r>
        <w:t xml:space="preserve">, summarised in</w:t>
      </w:r>
      <w:r>
        <w:t xml:space="preserve"> </w:t>
      </w:r>
      <w:r>
        <w:rPr>
          <w:rStyle w:val="VerbatimChar"/>
        </w:rPr>
        <w:t xml:space="preserve">paper/labelfix_rerun/round7/r7h_distance_curve.csv</w:t>
      </w:r>
      <w:r>
        <w:t xml:space="preserve">). Means are unweighted over bins, whose positive</w:t>
      </w:r>
      <w:r>
        <w:t xml:space="preserve"> </w:t>
      </w:r>
      <w:r>
        <w:t xml:space="preserve">counts range from 1 to 1,067, and the bins carry no intervals.</w:t>
      </w:r>
    </w:p>
    <w:p>
      <w:pPr>
        <w:pStyle w:val="BodyText"/>
        <w:keepNext/>
      </w:pPr>
      <w:r>
        <w:rPr>
          <w:b/>
          <w:bCs/>
        </w:rPr>
        <w:t xml:space="preserve">Table S32. Within-region skill by separation from the training cells.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553"/>
        <w:gridCol w:w="740"/>
        <w:gridCol w:w="2777"/>
      </w:tblGrid>
      <w:tr>
        <w:trPr>
          <w:tblHeader w:val="on"/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Separation from training cells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Bins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target AUC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 to 5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18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0.709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to 10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0.570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to 20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0.519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 to 40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0.499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40 to 80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0.541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80 to 160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0.421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cross-region, 306 to 2,802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</w:tr>
    </w:tbl>
    <w:p>
      <w:pPr>
        <w:pStyle w:val="BodyText"/>
      </w:pPr>
      <w:r>
        <w:rPr>
          <w:b/>
          <w:bCs/>
        </w:rPr>
        <w:t xml:space="preserve">By 10 to 20 km inside a single region the model is close to chance.</w:t>
      </w:r>
      <w:r>
        <w:t xml:space="preserve"> </w:t>
      </w:r>
      <w:r>
        <w:t xml:space="preserve">That bounds how far a</w:t>
      </w:r>
      <w:r>
        <w:t xml:space="preserve"> </w:t>
      </w:r>
      <w:r>
        <w:t xml:space="preserve">surface of this kind can be carried from the cells it was fitted on, and it is consistent with</w:t>
      </w:r>
      <w:r>
        <w:t xml:space="preserve"> </w:t>
      </w:r>
      <w:r>
        <w:t xml:space="preserve">Section 4.3, where withholding a scar and replacing the model with a foreign one cost nothing</w:t>
      </w:r>
      <w:r>
        <w:t xml:space="preserve"> </w:t>
      </w:r>
      <w:r>
        <w:t xml:space="preserve">distinguishable.</w:t>
      </w:r>
    </w:p>
    <w:p>
      <w:pPr>
        <w:pStyle w:val="BodyText"/>
      </w:pPr>
      <w:r>
        <w:t xml:space="preserve">It does not follow that the cross-region failure needs no regional mechanism. Once the curve reaches</w:t>
      </w:r>
      <w:r>
        <w:t xml:space="preserve"> </w:t>
      </w:r>
      <w:r>
        <w:t xml:space="preserve">the chance floor, any cross-region mean near 0.5 lies on its continuation by construction, so that</w:t>
      </w:r>
      <w:r>
        <w:t xml:space="preserve"> </w:t>
      </w:r>
      <w:r>
        <w:t xml:space="preserve">comparison could not have come out otherwise. And extrapolating an uninformative model does not</w:t>
      </w:r>
      <w:r>
        <w:t xml:space="preserve"> </w:t>
      </w:r>
      <w:r>
        <w:t xml:space="preserve">produce a reliably reversed ranking: Manavgat to Bejís is below chance with interval support on the</w:t>
      </w:r>
      <w:r>
        <w:t xml:space="preserve"> </w:t>
      </w:r>
      <w:r>
        <w:t xml:space="preserve">frame as drawn and at the 10 km collar.</w:t>
      </w:r>
    </w:p>
    <w:p>
      <w:pPr>
        <w:pStyle w:val="BodyText"/>
      </w:pPr>
      <w:r>
        <w:t xml:space="preserve">Four limits bound even the descriptive reading. The two distance ranges do not overlap: within-region</w:t>
      </w:r>
      <w:r>
        <w:t xml:space="preserve"> </w:t>
      </w:r>
      <w:r>
        <w:t xml:space="preserve">separations span 2 to 86 km and cross-region separations start at 306 km. The far bins are thin, so</w:t>
      </w:r>
      <w:r>
        <w:t xml:space="preserve"> </w:t>
      </w:r>
      <w:r>
        <w:t xml:space="preserve">their means should not be read closely and the rise at 40 to 80 km is not evidence of anything. The</w:t>
      </w:r>
      <w:r>
        <w:t xml:space="preserve"> </w:t>
      </w:r>
      <w:r>
        <w:t xml:space="preserve">near bins carry exactly the autocorrelation blocked validation exists to remove, so</w:t>
      </w:r>
      <w:r>
        <w:t xml:space="preserve"> </w:t>
      </w:r>
      <w:r>
        <w:rPr>
          <w:b/>
          <w:bCs/>
        </w:rPr>
        <w:t xml:space="preserve">0.709 is an</w:t>
      </w:r>
      <w:r>
        <w:rPr>
          <w:b/>
          <w:bCs/>
        </w:rPr>
        <w:t xml:space="preserve"> </w:t>
      </w:r>
      <w:r>
        <w:rPr>
          <w:b/>
          <w:bCs/>
        </w:rPr>
        <w:t xml:space="preserve">upper bound on near-field skill rather than an estimate of it</w:t>
      </w:r>
      <w:r>
        <w:t xml:space="preserve">. And this design separates distance</w:t>
      </w:r>
      <w:r>
        <w:t xml:space="preserve"> </w:t>
      </w:r>
      <w:r>
        <w:t xml:space="preserve">from crossing a study-area boundary, but not from the land cover, terrain and fire history that</w:t>
      </w:r>
      <w:r>
        <w:t xml:space="preserve"> </w:t>
      </w:r>
      <w:r>
        <w:t xml:space="preserve">covary with it. The arm contributes a length scale for the within-region decay, not an attribution.</w:t>
      </w:r>
    </w:p>
    <w:bookmarkEnd w:id="40"/>
    <w:bookmarkStart w:id="41" w:name="s1.20-the-frame-test-elaborated"/>
    <w:p>
      <w:pPr>
        <w:pStyle w:val="Heading2"/>
      </w:pPr>
      <w:r>
        <w:t xml:space="preserve">S1.20 The frame test, elaborated</w:t>
      </w:r>
    </w:p>
    <w:p>
      <w:pPr>
        <w:pStyle w:val="FirstParagraph"/>
      </w:pPr>
      <w:r>
        <w:t xml:space="preserve">Section 4.4 states these results. Sources:</w:t>
      </w:r>
      <w:r>
        <w:t xml:space="preserve"> </w:t>
      </w:r>
      <w:r>
        <w:rPr>
          <w:rStyle w:val="VerbatimChar"/>
        </w:rPr>
        <w:t xml:space="preserve">paper/labelfix_rerun/code/aoi_frame_auc.csv</w:t>
      </w:r>
      <w:r>
        <w:t xml:space="preserve"> </w:t>
      </w:r>
      <w:r>
        <w:t xml:space="preserve">(signed</w:t>
      </w:r>
      <w:r>
        <w:t xml:space="preserve"> </w:t>
      </w:r>
      <w:r>
        <w:t xml:space="preserve">associations by frame),</w:t>
      </w:r>
      <w:r>
        <w:t xml:space="preserve"> </w:t>
      </w:r>
      <w:r>
        <w:rPr>
          <w:rStyle w:val="VerbatimChar"/>
        </w:rPr>
        <w:t xml:space="preserve">paper/labelfix_rerun/code/collar_frame_bootstrap.csv</w:t>
      </w:r>
      <w:r>
        <w:t xml:space="preserve"> </w:t>
      </w:r>
      <w:r>
        <w:t xml:space="preserve">(their 10-cell</w:t>
      </w:r>
      <w:r>
        <w:t xml:space="preserve"> </w:t>
      </w:r>
      <w:r>
        <w:t xml:space="preserve">intervals),</w:t>
      </w:r>
      <w:r>
        <w:t xml:space="preserve"> </w:t>
      </w:r>
      <w:r>
        <w:rPr>
          <w:rStyle w:val="VerbatimChar"/>
        </w:rPr>
        <w:t xml:space="preserve">paper/labelfix_rerun/round5/collar/aoi_frame_transfer.csv</w:t>
      </w:r>
      <w:r>
        <w:t xml:space="preserve"> </w:t>
      </w:r>
      <w:r>
        <w:t xml:space="preserve">(the transfer matrix by</w:t>
      </w:r>
      <w:r>
        <w:t xml:space="preserve"> </w:t>
      </w:r>
      <w:r>
        <w:t xml:space="preserve">frame) and</w:t>
      </w:r>
      <w:r>
        <w:t xml:space="preserve"> </w:t>
      </w:r>
      <w:r>
        <w:rPr>
          <w:rStyle w:val="VerbatimChar"/>
        </w:rPr>
        <w:t xml:space="preserve">paper/labelfix_rerun/code/matched_frame_gap.csv</w:t>
      </w:r>
      <w:r>
        <w:t xml:space="preserve"> </w:t>
      </w:r>
      <w:r>
        <w:t xml:space="preserve">(the matched reference); code under</w:t>
      </w:r>
      <w:r>
        <w:t xml:space="preserve"> </w:t>
      </w:r>
      <w:r>
        <w:rPr>
          <w:rStyle w:val="VerbatimChar"/>
        </w:rPr>
        <w:t xml:space="preserve">paper/code/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Construction.</w:t>
      </w:r>
      <w:r>
        <w:t xml:space="preserve"> </w:t>
      </w:r>
      <w:r>
        <w:t xml:space="preserve">Restricting every region to cells within 10 km of any burned cell removes only</w:t>
      </w:r>
      <w:r>
        <w:t xml:space="preserve"> </w:t>
      </w:r>
      <w:r>
        <w:t xml:space="preserve">far-field negatives. Every burned cell is at distance zero and is retained at any radius, so the</w:t>
      </w:r>
      <w:r>
        <w:t xml:space="preserve"> </w:t>
      </w:r>
      <w:r>
        <w:t xml:space="preserve">protection against a flattering radius is the sweep over radii, not the retention of positives.</w:t>
      </w:r>
      <w:r>
        <w:t xml:space="preserve"> </w:t>
      </w:r>
      <w:r>
        <w:t xml:space="preserve">The interval criterion was evaluated at the 10 km collar; at the point estimate the 5 and 10 km radii</w:t>
      </w:r>
      <w:r>
        <w:t xml:space="preserve"> </w:t>
      </w:r>
      <w:r>
        <w:t xml:space="preserve">agree. The collar reduces two regions’ cell counts substantially, so part of any loss of support is</w:t>
      </w:r>
      <w:r>
        <w:t xml:space="preserve"> </w:t>
      </w:r>
      <w:r>
        <w:t xml:space="preserve">a loss of power. Features supported in both regions of a direction average 2.3 per direction on the</w:t>
      </w:r>
      <w:r>
        <w:t xml:space="preserve"> </w:t>
      </w:r>
      <w:r>
        <w:t xml:space="preserve">full frame and 2.2 on the collar.</w:t>
      </w:r>
    </w:p>
    <w:p>
      <w:pPr>
        <w:pStyle w:val="BodyText"/>
      </w:pPr>
      <w:r>
        <w:rPr>
          <w:b/>
          <w:bCs/>
        </w:rPr>
        <w:t xml:space="preserve">Multiplicity.</w:t>
      </w:r>
      <w:r>
        <w:t xml:space="preserve"> </w:t>
      </w:r>
      <w:r>
        <w:t xml:space="preserve">Each frame carries a family of ninety feature-by-pair comparisons (nine features,</w:t>
      </w:r>
      <w:r>
        <w:t xml:space="preserve"> </w:t>
      </w:r>
      <w:r>
        <w:t xml:space="preserve">ten region pairs). Table S30 gives how many pass each criterion. The per-comparison criterion of</w:t>
      </w:r>
      <w:r>
        <w:t xml:space="preserve"> </w:t>
      </w:r>
      <w:r>
        <w:t xml:space="preserve">Section 3.10 leaves two supported reversals on the collar, both on elevation and both involving</w:t>
      </w:r>
      <w:r>
        <w:t xml:space="preserve"> </w:t>
      </w:r>
      <w:r>
        <w:t xml:space="preserve">Manavgat. Neither survives the Holm intersection-union correction, which adjusts both regions’</w:t>
      </w:r>
      <w:r>
        <w:t xml:space="preserve"> </w:t>
      </w:r>
      <w:r>
        <w:t xml:space="preserve">tests together (adjusted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0.33 for Manavgat against Evia and 0.79 for Manavgat against Muğla,</w:t>
      </w:r>
      <w:r>
        <w:t xml:space="preserve"> </w:t>
      </w:r>
      <w:r>
        <w:t xml:space="preserve">normal approximation).</w:t>
      </w:r>
    </w:p>
    <w:p>
      <w:pPr>
        <w:pStyle w:val="BodyText"/>
        <w:keepNext/>
      </w:pPr>
      <w:r>
        <w:rPr>
          <w:b/>
          <w:bCs/>
        </w:rPr>
        <w:t xml:space="preserve">Table S30. Reversal family, ninety feature-by-pair comparisons per frame.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paper/labelfix_rerun/inference/reversal_family_holm.csv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reversal_per_region.csv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151"/>
        <w:gridCol w:w="872"/>
        <w:gridCol w:w="1047"/>
      </w:tblGrid>
      <w:tr>
        <w:trPr>
          <w:tblHeader w:val="on"/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Criterion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Full frame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 km collar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Difference interval excludes zero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39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… with opposite-sided point estimates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31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Per-comparison criterion (each region’s own interval excludes 0.5, opposite sides)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Holm, normal approximation, difference test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27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Holm intersection-union (both regions’ tests)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diagnostics on the collar.</w:t>
      </w:r>
      <w:r>
        <w:t xml:space="preserve"> </w:t>
      </w:r>
      <w:r>
        <w:t xml:space="preserve">Two of the twenty similarity diagnostics are built from the signed</w:t>
      </w:r>
      <w:r>
        <w:t xml:space="preserve"> </w:t>
      </w:r>
      <w:r>
        <w:t xml:space="preserve">associations themselves and were recomputed on the collar. The sign-agreement fraction over</w:t>
      </w:r>
      <w:r>
        <w:t xml:space="preserve"> </w:t>
      </w:r>
      <w:r>
        <w:t xml:space="preserve">interval-supported features, ρ = +0.52 [−0.27, +0.87] on the frames as drawn, takes only the values</w:t>
      </w:r>
      <w:r>
        <w:t xml:space="preserve"> </w:t>
      </w:r>
      <w:r>
        <w:t xml:space="preserve">0 and 1 across sixteen defined directions on the collar and correlates with collar transfer at</w:t>
      </w:r>
      <w:r>
        <w:t xml:space="preserve"> </w:t>
      </w:r>
      <w:r>
        <w:t xml:space="preserve">ρ = +0.38 [−0.17, +0.85]. The all-feature cosine, +0.44 [−0.29, +0.80] as drawn, correlates with</w:t>
      </w:r>
      <w:r>
        <w:t xml:space="preserve"> </w:t>
      </w:r>
      <w:r>
        <w:t xml:space="preserve">collar transfer at</w:t>
      </w:r>
      <w:r>
        <w:t xml:space="preserve"> </w:t>
      </w:r>
      <w:r>
        <w:rPr>
          <w:b/>
          <w:bCs/>
        </w:rPr>
        <w:t xml:space="preserve">+0.57 [+0.05, +0.88]</w:t>
      </w:r>
      <w:r>
        <w:t xml:space="preserve">, the only diagnostic interval in the study that excludes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paper/labelfix_rerun/round6/diag_collar/</w:t>
      </w:r>
      <w:r>
        <w:t xml:space="preserve">, intervals from</w:t>
      </w:r>
      <w:r>
        <w:t xml:space="preserve"> </w:t>
      </w:r>
      <w:r>
        <w:rPr>
          <w:rStyle w:val="VerbatimChar"/>
        </w:rPr>
        <w:t xml:space="preserve">paper/labelfix_rerun/round7/r7g_collar_diagnostics.json</w:t>
      </w:r>
      <w:r>
        <w:t xml:space="preserve">, which reproduces the as-drawn intervals</w:t>
      </w:r>
      <w:r>
        <w:t xml:space="preserve"> </w:t>
      </w:r>
      <w:r>
        <w:t xml:space="preserve">exactly). Three cautions keep it from being a result: it is one variant among about forty</w:t>
      </w:r>
      <w:r>
        <w:t xml:space="preserve"> </w:t>
      </w:r>
      <w:r>
        <w:t xml:space="preserve">uncorrected diagnostic tests, it rests on twenty directions that share regions, and the collar is</w:t>
      </w:r>
      <w:r>
        <w:t xml:space="preserve"> </w:t>
      </w:r>
      <w:r>
        <w:t xml:space="preserve">defined from the burned cells, so the diagnostic needs target labels twice over. The other eighteen</w:t>
      </w:r>
      <w:r>
        <w:t xml:space="preserve"> </w:t>
      </w:r>
      <w:r>
        <w:t xml:space="preserve">diagnostics were not recomputed on the collar, so their collar correlations are unknown.</w:t>
      </w:r>
    </w:p>
    <w:p>
      <w:pPr>
        <w:pStyle w:val="BodyText"/>
      </w:pPr>
      <w:r>
        <w:rPr>
          <w:b/>
          <w:bCs/>
        </w:rPr>
        <w:t xml:space="preserve">Data provenance.</w:t>
      </w:r>
      <w:r>
        <w:t xml:space="preserve"> </w:t>
      </w:r>
      <w:r>
        <w:t xml:space="preserve">A quality-screening rebuild had overwritten two regions’ 500 m modelling</w:t>
      </w:r>
      <w:r>
        <w:t xml:space="preserve"> </w:t>
      </w:r>
      <w:r>
        <w:t xml:space="preserve">datasets at the pipeline’s canonical path, Manavgat’s and Muğla’s, after the frozen tables were</w:t>
      </w:r>
      <w:r>
        <w:t xml:space="preserve"> </w:t>
      </w:r>
      <w:r>
        <w:t xml:space="preserve">computed; each replacement differs in</w:t>
      </w:r>
      <w:r>
        <w:t xml:space="preserve"> </w:t>
      </w:r>
      <w:r>
        <w:rPr>
          <w:rStyle w:val="VerbatimChar"/>
        </w:rPr>
        <w:t xml:space="preserve">downscaled_lst_mean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fused_lst_mean</w:t>
      </w:r>
      <w:r>
        <w:t xml:space="preserve">. The pipeline</w:t>
      </w:r>
      <w:r>
        <w:t xml:space="preserve"> </w:t>
      </w:r>
      <w:r>
        <w:t xml:space="preserve">records a SHA-256 for each region’s modelling dataset, and that hash identifies the frozen copy.</w:t>
      </w:r>
      <w:r>
        <w:t xml:space="preserve"> </w:t>
      </w:r>
      <w:r>
        <w:t xml:space="preserve">Every arm of Section 4.4 reads each region through</w:t>
      </w:r>
      <w:r>
        <w:t xml:space="preserve"> </w:t>
      </w:r>
      <w:r>
        <w:rPr>
          <w:rStyle w:val="VerbatimChar"/>
        </w:rPr>
        <w:t xml:space="preserve">paper/code/_canonical.py</w:t>
      </w:r>
      <w:r>
        <w:t xml:space="preserve">, which verifies the</w:t>
      </w:r>
      <w:r>
        <w:t xml:space="preserve"> </w:t>
      </w:r>
      <w:r>
        <w:t xml:space="preserve">hash on load, and reads Manavgat from the corrected re-freeze (SHA-256</w:t>
      </w:r>
      <w:r>
        <w:t xml:space="preserve"> </w:t>
      </w:r>
      <w:r>
        <w:rPr>
          <w:rStyle w:val="VerbatimChar"/>
        </w:rPr>
        <w:t xml:space="preserve">5a5e876c…</w:t>
      </w:r>
      <w:r>
        <w:t xml:space="preserve">). The provenance</w:t>
      </w:r>
      <w:r>
        <w:t xml:space="preserve"> </w:t>
      </w:r>
      <w:r>
        <w:t xml:space="preserve">of the collar transfer matrix is in</w:t>
      </w:r>
      <w:r>
        <w:t xml:space="preserve"> </w:t>
      </w:r>
      <w:r>
        <w:rPr>
          <w:rStyle w:val="VerbatimChar"/>
        </w:rPr>
        <w:t xml:space="preserve">paper/labelfix_rerun/round5/collar/PROVENANCE.md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Table S8. Cross-region transfer under equalised evaluation frames.</w:t>
      </w:r>
      <w:r>
        <w:t xml:space="preserve"> </w:t>
      </w:r>
      <w:r>
        <w:t xml:space="preserve">Primary natural-vegetation</w:t>
      </w:r>
      <w:r>
        <w:t xml:space="preserve"> </w:t>
      </w:r>
      <w:r>
        <w:t xml:space="preserve">population, thermal model, twenty ordered directions per row. Above/below chance are point counts.</w:t>
      </w:r>
      <w:r>
        <w:t xml:space="preserve"> </w:t>
      </w:r>
      <w:r>
        <w:t xml:space="preserve">The supported counts use a 10-cell (≈5 km) spatial-block bootstrap on the target, 1000 replicates,</w:t>
      </w:r>
      <w:r>
        <w:t xml:space="preserve"> </w:t>
      </w:r>
      <w:r>
        <w:t xml:space="preserve">seed 42; Table S16 reports the as-drawn matrix under 2-cell (≈1 km) blocking. Per-direction bounds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paper/labelfix_rerun/round5/collar/aoi_frame_transfer.csv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27"/>
        <w:gridCol w:w="1027"/>
        <w:gridCol w:w="1283"/>
        <w:gridCol w:w="1027"/>
        <w:gridCol w:w="1027"/>
        <w:gridCol w:w="1968"/>
        <w:gridCol w:w="1711"/>
      </w:tblGrid>
      <w:tr>
        <w:trPr>
          <w:tblHeader w:val="on"/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Source frame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frame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target AUC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Above chance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Below chance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Supported above / below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Paired thermal delta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7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 /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6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+0.007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km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0.559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 / 2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+0.008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km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0.546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 / 5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+0.014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10 km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10 km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0.589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15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5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13 / 2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+0.024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km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km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0.591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 / 0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+0.017</w:t>
            </w:r>
          </w:p>
        </w:tc>
      </w:tr>
    </w:tbl>
    <w:p>
      <w:pPr>
        <w:pStyle w:val="BodyText"/>
      </w:pPr>
      <w:r>
        <w:t xml:space="preserve">The baseline control moves with the frame: the static baseline transfers at 0.565 against the thermal</w:t>
      </w:r>
      <w:r>
        <w:t xml:space="preserve"> </w:t>
      </w:r>
      <w:r>
        <w:t xml:space="preserve">model’s 0.589 on the 10 km collar, a paired difference of +0.024 rather than +0.007. The control still</w:t>
      </w:r>
      <w:r>
        <w:t xml:space="preserve"> </w:t>
      </w:r>
      <w:r>
        <w:t xml:space="preserve">holds in kind: the static predictor class is not the portable one either. The below-chance count</w:t>
      </w:r>
      <w:r>
        <w:t xml:space="preserve"> </w:t>
      </w:r>
      <w:r>
        <w:t xml:space="preserve">moves from seven to five at the point estimate and from six to two with interval support. The</w:t>
      </w:r>
      <w:r>
        <w:t xml:space="preserve"> </w:t>
      </w:r>
      <w:r>
        <w:t xml:space="preserve">largest movers are Bejís to Evia, 0.383 to 0.602, and Bejís to Manavgat, 0.314 to 0.452; the one</w:t>
      </w:r>
      <w:r>
        <w:t xml:space="preserve"> </w:t>
      </w:r>
      <w:r>
        <w:t xml:space="preserve">large fall is Evia to Manavgat, 0.677 to 0.594.</w:t>
      </w:r>
    </w:p>
    <w:p>
      <w:pPr>
        <w:pStyle w:val="BodyText"/>
      </w:pPr>
      <w:r>
        <w:rPr>
          <w:b/>
          <w:bCs/>
        </w:rPr>
        <w:t xml:space="preserve">The matched reference.</w:t>
      </w:r>
      <w:r>
        <w:t xml:space="preserve"> </w:t>
      </w:r>
      <w:r>
        <w:t xml:space="preserve">Recomputing the within-region reference on the same frame and at 5 km</w:t>
      </w:r>
      <w:r>
        <w:t xml:space="preserve"> </w:t>
      </w:r>
      <w:r>
        <w:t xml:space="preserve">blocking (</w:t>
      </w:r>
      <w:r>
        <w:rPr>
          <w:rStyle w:val="VerbatimChar"/>
        </w:rPr>
        <w:t xml:space="preserve">paper/code/verify_matched_gap.py</w:t>
      </w:r>
      <w:r>
        <w:t xml:space="preserve">):</w:t>
      </w:r>
    </w:p>
    <w:p>
      <w:pPr>
        <w:pStyle w:val="BodyText"/>
        <w:keepNext/>
      </w:pPr>
      <w:r>
        <w:rPr>
          <w:b/>
          <w:bCs/>
        </w:rPr>
        <w:t xml:space="preserve">Table S33. Within-region reference and transfer on matched frames.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2"/>
        <w:gridCol w:w="4312"/>
        <w:gridCol w:w="1933"/>
        <w:gridCol w:w="743"/>
      </w:tblGrid>
      <w:tr>
        <w:trPr>
          <w:tblHeader w:val="on"/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Frame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Within-region (5 km blocking)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transfer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Gap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 rectangle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0.814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km collar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0.786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0.589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km collar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0.759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0.591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0.169</w:t>
            </w:r>
          </w:p>
        </w:tc>
      </w:tr>
    </w:tbl>
    <w:p>
      <w:pPr>
        <w:pStyle w:val="BodyText"/>
      </w:pPr>
      <w:r>
        <w:t xml:space="preserve">Paired by target region, the collar shortfall is</w:t>
      </w:r>
      <w:r>
        <w:t xml:space="preserve"> </w:t>
      </w:r>
      <w:r>
        <w:rPr>
          <w:b/>
          <w:bCs/>
        </w:rPr>
        <w:t xml:space="preserve">+0.197 [+0.091, +0.303]</w:t>
      </w:r>
      <w:r>
        <w:t xml:space="preserve"> </w:t>
      </w:r>
      <w:r>
        <w:t xml:space="preserve">(Student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over the</w:t>
      </w:r>
      <w:r>
        <w:t xml:space="preserve"> </w:t>
      </w:r>
      <w:r>
        <w:t xml:space="preserve">five target regions; per region +0.081 Montiferru, +0.319 Manavgat, +0.172 Muğla, +0.202 Bejís,</w:t>
      </w:r>
      <w:r>
        <w:t xml:space="preserve"> </w:t>
      </w:r>
      <w:r>
        <w:t xml:space="preserve">+0.211 Evia). The shortfall survives on every matched row, but it is 0.197 at the collar, not the</w:t>
      </w:r>
      <w:r>
        <w:t xml:space="preserve"> </w:t>
      </w:r>
      <w:r>
        <w:t xml:space="preserve">0.29 the unmatched comparison implies, and it shrinks as the frame approaches the fire. At the 5 km</w:t>
      </w:r>
      <w:r>
        <w:t xml:space="preserve"> </w:t>
      </w:r>
      <w:r>
        <w:t xml:space="preserve">collar the within-region increment itself halves but stays positive in all five regions, at a mean of</w:t>
      </w:r>
      <w:r>
        <w:t xml:space="preserve"> </w:t>
      </w:r>
      <w:r>
        <w:t xml:space="preserve">+0.042 (Manavgat +0.035).</w:t>
      </w:r>
    </w:p>
    <w:bookmarkEnd w:id="41"/>
    <w:bookmarkStart w:id="42" w:name="X0d2c9aa811e4f07caad7408449c80709d8dca4c"/>
    <w:p>
      <w:pPr>
        <w:pStyle w:val="Heading2"/>
      </w:pPr>
      <w:r>
        <w:t xml:space="preserve">S1.21 The transfer matrix and adaptation, elaborated</w:t>
      </w:r>
    </w:p>
    <w:p>
      <w:pPr>
        <w:pStyle w:val="FirstParagraph"/>
      </w:pPr>
      <w:r>
        <w:t xml:space="preserve">Section 4.5 states these results.</w:t>
      </w:r>
    </w:p>
    <w:p>
      <w:pPr>
        <w:pStyle w:val="BodyText"/>
      </w:pPr>
      <w:r>
        <w:rPr>
          <w:b/>
          <w:bCs/>
        </w:rPr>
        <w:t xml:space="preserve">Raw transfer.</w:t>
      </w:r>
      <w:r>
        <w:t xml:space="preserve"> </w:t>
      </w:r>
      <w:r>
        <w:t xml:space="preserve">Raw target AUC spans 0.314 to 0.677 (Fig. 4). At 2-cell blocking eleven of 20</w:t>
      </w:r>
      <w:r>
        <w:t xml:space="preserve"> </w:t>
      </w:r>
      <w:r>
        <w:t xml:space="preserve">directions are above chance with interval support and seven below: both directions between Manavgat</w:t>
      </w:r>
      <w:r>
        <w:t xml:space="preserve"> </w:t>
      </w:r>
      <w:r>
        <w:t xml:space="preserve">and Bejís, both between Manavgat and Muğla, both between Bejís and Evia, and Montiferru to Manavgat.</w:t>
      </w:r>
      <w:r>
        <w:t xml:space="preserve"> </w:t>
      </w:r>
      <w:r>
        <w:t xml:space="preserve">At 10-cell blocking the same points give 9 above, 6 below and 5 uncertain; Manavgat to Muğla loses its</w:t>
      </w:r>
      <w:r>
        <w:t xml:space="preserve"> </w:t>
      </w:r>
      <w:r>
        <w:t xml:space="preserve">support and carries no verdict, and no direction changes side of the chance line. Of the below-chance</w:t>
      </w:r>
      <w:r>
        <w:t xml:space="preserve"> </w:t>
      </w:r>
      <w:r>
        <w:t xml:space="preserve">directions, Manavgat to Bejís (0.407 [0.323, 0.493]) and Muğla to Manavgat (0.433 [0.381, 0.491])</w:t>
      </w:r>
      <w:r>
        <w:t xml:space="preserve"> </w:t>
      </w:r>
      <w:r>
        <w:t xml:space="preserve">keep interval support on the 10 km collar, though both intervals cover chance at the 5 km collar.</w:t>
      </w:r>
      <w:r>
        <w:t xml:space="preserve"> </w:t>
      </w:r>
      <w:r>
        <w:t xml:space="preserve">The sharpest below-chance direction as drawn is Bejís to Manavgat at 0.314 [0.296, 0.332].</w:t>
      </w:r>
    </w:p>
    <w:p>
      <w:pPr>
        <w:pStyle w:val="BodyText"/>
      </w:pPr>
      <w:r>
        <w:rPr>
          <w:b/>
          <w:bCs/>
        </w:rPr>
        <w:t xml:space="preserve">Label-blind adaptation.</w:t>
      </w:r>
      <w:r>
        <w:t xml:space="preserve"> </w:t>
      </w:r>
      <w:r>
        <w:t xml:space="preserve">Under region-wise z-scoring the twenty directions span 0.302 to 0.630 and</w:t>
      </w:r>
      <w:r>
        <w:t xml:space="preserve"> </w:t>
      </w:r>
      <w:r>
        <w:t xml:space="preserve">under CORAL 0.406 to 0.624. The compression is not uniform: under z-scoring Bejís to Manavgat moves</w:t>
      </w:r>
      <w:r>
        <w:t xml:space="preserve"> </w:t>
      </w:r>
      <w:r>
        <w:t xml:space="preserve">further below chance, from 0.314 to 0.302. Taking the better of the two adaptations per direction,</w:t>
      </w:r>
      <w:r>
        <w:t xml:space="preserve"> </w:t>
      </w:r>
      <w:r>
        <w:t xml:space="preserve">15 of the 20 end closer to chance than they began and 5 end further from it; four of those five</w:t>
      </w:r>
      <w:r>
        <w:t xml:space="preserve"> </w:t>
      </w:r>
      <w:r>
        <w:t xml:space="preserve">involve Montiferru and move upward, while the fifth is Manavgat to Muğla moving downward from 0.438 to</w:t>
      </w:r>
      <w:r>
        <w:t xml:space="preserve"> </w:t>
      </w:r>
      <w:r>
        <w:t xml:space="preserve">0.427. Under CORAL alone sixteen of twenty end closer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paper/labelfix_rerun/round5/matrix20_official.csv</w:t>
      </w:r>
      <w:r>
        <w:t xml:space="preserve">). In the six directions where raw transfer was</w:t>
      </w:r>
      <w:r>
        <w:t xml:space="preserve"> </w:t>
      </w:r>
      <w:r>
        <w:t xml:space="preserve">below chance, the best label-free method recovers at most 28 % of the gap to the within-region</w:t>
      </w:r>
      <w:r>
        <w:t xml:space="preserve"> </w:t>
      </w:r>
      <w:r>
        <w:t xml:space="preserve">reference (Bejís to Evia). On the twelve-direction subset for which the decomposition is defined,</w:t>
      </w:r>
      <w:r>
        <w:t xml:space="preserve"> </w:t>
      </w:r>
      <w:r>
        <w:t xml:space="preserve">seven directions show negative recovery (Section S1.10).</w:t>
      </w:r>
    </w:p>
    <w:p>
      <w:pPr>
        <w:pStyle w:val="BodyText"/>
      </w:pPr>
      <w:r>
        <w:rPr>
          <w:b/>
          <w:bCs/>
        </w:rPr>
        <w:t xml:space="preserve">Seed stability.</w:t>
      </w:r>
      <w:r>
        <w:t xml:space="preserve"> </w:t>
      </w:r>
      <w:r>
        <w:t xml:space="preserve">Across five bootstrap seeds every 2-cell verdict is stable. At 10 cells, one</w:t>
      </w:r>
      <w:r>
        <w:t xml:space="preserve"> </w:t>
      </w:r>
      <w:r>
        <w:t xml:space="preserve">level verdict and two paired-delta verdicts are not: the level verdict of Evia to Bejís and the</w:t>
      </w:r>
      <w:r>
        <w:t xml:space="preserve"> </w:t>
      </w:r>
      <w:r>
        <w:t xml:space="preserve">paired-delta verdicts of Manavgat to Muğla and Evia to Montiferru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paper/labelfix_rerun/round6/seed_stability.json</w:t>
      </w:r>
      <w:r>
        <w:t xml:space="preserve">). The random-forest seed is fixed, so all</w:t>
      </w:r>
      <w:r>
        <w:t xml:space="preserve"> </w:t>
      </w:r>
      <w:r>
        <w:t xml:space="preserve">direction-level intervals are conditional on one fitted source model.</w:t>
      </w:r>
    </w:p>
    <w:p>
      <w:pPr>
        <w:pStyle w:val="BodyText"/>
      </w:pPr>
      <w:r>
        <w:rPr>
          <w:b/>
          <w:bCs/>
        </w:rPr>
        <w:t xml:space="preserve">Jackknife.</w:t>
      </w:r>
      <w:r>
        <w:t xml:space="preserve"> </w:t>
      </w:r>
      <w:r>
        <w:t xml:space="preserve">Dropping one region at a time moves the mean paired contribution between +0.001</w:t>
      </w:r>
      <w:r>
        <w:t xml:space="preserve"> </w:t>
      </w:r>
      <w:r>
        <w:t xml:space="preserve">(without Evia) and +0.015 (without Manavgat), and never reverses its sign.</w:t>
      </w:r>
    </w:p>
    <w:bookmarkEnd w:id="42"/>
    <w:bookmarkStart w:id="43" w:name="s1.22-the-similarity-diagnostics"/>
    <w:p>
      <w:pPr>
        <w:pStyle w:val="Heading2"/>
      </w:pPr>
      <w:r>
        <w:t xml:space="preserve">S1.22 The similarity diagnostics</w:t>
      </w:r>
    </w:p>
    <w:p>
      <w:pPr>
        <w:pStyle w:val="FirstParagraph"/>
      </w:pPr>
      <w:r>
        <w:t xml:space="preserve">Twenty candidate diagnostics from five families were each rank-correlated with the raw thermal</w:t>
      </w:r>
      <w:r>
        <w:t xml:space="preserve"> </w:t>
      </w:r>
      <w:r>
        <w:t xml:space="preserve">transfer AUC over the ordered directions on which they are defined, under one common pair-based</w:t>
      </w:r>
      <w:r>
        <w:t xml:space="preserve"> </w:t>
      </w:r>
      <w:r>
        <w:t xml:space="preserve">bootstrap (unordered pairs resampled with replacement, both directions carried, 2000 replicates,</w:t>
      </w:r>
      <w:r>
        <w:t xml:space="preserve"> </w:t>
      </w:r>
      <w:r>
        <w:t xml:space="preserve">seed 42). They were defined in the project repository on 8 August 2026, with their results under the</w:t>
      </w:r>
      <w:r>
        <w:t xml:space="preserve"> </w:t>
      </w:r>
      <w:r>
        <w:t xml:space="preserve">original label, and were not re-selected after the label correction. Table S17 lists all twenty; the</w:t>
      </w:r>
      <w:r>
        <w:t xml:space="preserve"> </w:t>
      </w:r>
      <w:r>
        <w:t xml:space="preserve">source is</w:t>
      </w:r>
      <w:r>
        <w:t xml:space="preserve"> </w:t>
      </w:r>
      <w:r>
        <w:rPr>
          <w:rStyle w:val="VerbatimChar"/>
        </w:rPr>
        <w:t xml:space="preserve">paper/labelfix_rerun/round5/out_official/all_diagnostics_vs_transfer.csv</w:t>
      </w:r>
      <w:r>
        <w:t xml:space="preserve">, with the</w:t>
      </w:r>
      <w:r>
        <w:t xml:space="preserve"> </w:t>
      </w:r>
      <w:r>
        <w:t xml:space="preserve">original-label values alongside in</w:t>
      </w:r>
      <w:r>
        <w:t xml:space="preserve"> </w:t>
      </w:r>
      <w:r>
        <w:rPr>
          <w:rStyle w:val="VerbatimChar"/>
        </w:rPr>
        <w:t xml:space="preserve">paper/labelfix_rerun/round5/s6_diagnostics_20.md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frames as drawn, no interpretable diagnostic has an interval excluding zero.</w:t>
      </w:r>
      <w:r>
        <w:t xml:space="preserve"> </w:t>
      </w:r>
      <w:r>
        <w:t xml:space="preserve">The largest</w:t>
      </w:r>
      <w:r>
        <w:t xml:space="preserve"> </w:t>
      </w:r>
      <w:r>
        <w:t xml:space="preserve">correlations are conditional: the sign-agreement fraction over interval-supported features at</w:t>
      </w:r>
      <w:r>
        <w:t xml:space="preserve"> </w:t>
      </w:r>
      <w:r>
        <w:t xml:space="preserve">ρ = +0.52 [−0.27, +0.87] and its cosine at +0.49 [−0.24, +0.87]. Under the original label these two</w:t>
      </w:r>
      <w:r>
        <w:t xml:space="preserve"> </w:t>
      </w:r>
      <w:r>
        <w:t xml:space="preserve">were the only rows whose intervals excluded zero (+0.84 and +0.81); the label correction removed that.</w:t>
      </w:r>
      <w:r>
        <w:t xml:space="preserve"> </w:t>
      </w:r>
      <w:r>
        <w:t xml:space="preserve">The marginal family (applicability, dissimilarity, climatic distance, domain classification), the</w:t>
      </w:r>
      <w:r>
        <w:t xml:space="preserve"> </w:t>
      </w:r>
      <w:r>
        <w:t xml:space="preserve">niche-overlap family and the regime family all span zero, and geographic distance does not order the</w:t>
      </w:r>
      <w:r>
        <w:t xml:space="preserve"> </w:t>
      </w:r>
      <w:r>
        <w:t xml:space="preserve">matrix (ρ = −0.17 [−0.87, +0.84] on the twelve directions where it is defined). The learned domain</w:t>
      </w:r>
      <w:r>
        <w:t xml:space="preserve"> </w:t>
      </w:r>
      <w:r>
        <w:t xml:space="preserve">classifier separates source from target at AUC ≥ 0.96 for every pair; it always succeeds, which is</w:t>
      </w:r>
      <w:r>
        <w:t xml:space="preserve"> </w:t>
      </w:r>
      <w:r>
        <w:t xml:space="preserve">why it carries no ordering information. The twentieth measure, the signed-AUC vector Spearman over</w:t>
      </w:r>
      <w:r>
        <w:t xml:space="preserve"> </w:t>
      </w:r>
      <w:r>
        <w:t xml:space="preserve">supported features, is defined on only six directions and its interval is degenerate (upper bound</w:t>
      </w:r>
      <w:r>
        <w:t xml:space="preserve"> </w:t>
      </w:r>
      <w:r>
        <w:t xml:space="preserve">equal to the point estimate), so it is listed and not interpreted.</w:t>
      </w:r>
    </w:p>
    <w:p>
      <w:pPr>
        <w:pStyle w:val="BodyText"/>
      </w:pPr>
      <w:r>
        <w:rPr>
          <w:b/>
          <w:bCs/>
        </w:rPr>
        <w:t xml:space="preserve">Equal samples.</w:t>
      </w:r>
      <w:r>
        <w:t xml:space="preserve"> </w:t>
      </w:r>
      <w:r>
        <w:t xml:space="preserve">The families sit on unequal samples: twelve directions for the marginal,</w:t>
      </w:r>
      <w:r>
        <w:t xml:space="preserve"> </w:t>
      </w:r>
      <w:r>
        <w:t xml:space="preserve">applicability, climatic and geographic rows, eighteen for the supported-conditional rows, twenty for</w:t>
      </w:r>
      <w:r>
        <w:t xml:space="preserve"> </w:t>
      </w:r>
      <w:r>
        <w:t xml:space="preserve">the rest. Every row was therefore recomputed on the common twelve-direction and sixteen-direction</w:t>
      </w:r>
      <w:r>
        <w:t xml:space="preserve"> </w:t>
      </w:r>
      <w:r>
        <w:t xml:space="preserve">subsets. On both, every interpretable row spans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paper/labelfix_rerun/round5/out_official/diagnostics_common_subset.json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collar.</w:t>
      </w:r>
      <w:r>
        <w:t xml:space="preserve"> </w:t>
      </w:r>
      <w:r>
        <w:t xml:space="preserve">Section S1.20 reports the two diagnostics recomputed on the equalised frame, one of</w:t>
      </w:r>
      <w:r>
        <w:t xml:space="preserve"> </w:t>
      </w:r>
      <w:r>
        <w:t xml:space="preserve">which, the all-feature cosine, orders collar transfer with an interval excluding zero; it is reported,</w:t>
      </w:r>
      <w:r>
        <w:t xml:space="preserve"> </w:t>
      </w:r>
      <w:r>
        <w:t xml:space="preserve">with its cautions, and not relied on.</w:t>
      </w:r>
    </w:p>
    <w:p>
      <w:pPr>
        <w:pStyle w:val="BodyText"/>
      </w:pPr>
      <w:r>
        <w:rPr>
          <w:b/>
          <w:bCs/>
        </w:rPr>
        <w:t xml:space="preserve">Limits.</w:t>
      </w:r>
      <w:r>
        <w:t xml:space="preserve"> </w:t>
      </w:r>
      <w:r>
        <w:t xml:space="preserve">Signed associations need burned labels in both regions, so the conditional family is not</w:t>
      </w:r>
      <w:r>
        <w:t xml:space="preserve"> </w:t>
      </w:r>
      <w:r>
        <w:t xml:space="preserve">available before deployment, while the marginal family, which is, fails. Ten effective region pairs</w:t>
      </w:r>
      <w:r>
        <w:t xml:space="preserve"> </w:t>
      </w:r>
      <w:r>
        <w:t xml:space="preserve">give little power: a moderate ordering would usually be missed, so these results show a failure to</w:t>
      </w:r>
      <w:r>
        <w:t xml:space="preserve"> </w:t>
      </w:r>
      <w:r>
        <w:t xml:space="preserve">demonstrate ordering, not the absence of one (Section S3.5(xiii)). Measures built from interval</w:t>
      </w:r>
      <w:r>
        <w:t xml:space="preserve"> </w:t>
      </w:r>
      <w:r>
        <w:t xml:space="preserve">support are unstable where bounds sit near 0.5 (Section S3.5(viii)).</w:t>
      </w:r>
    </w:p>
    <w:bookmarkEnd w:id="43"/>
    <w:bookmarkStart w:id="44" w:name="s1.23-additional-robustness-analyses"/>
    <w:p>
      <w:pPr>
        <w:pStyle w:val="Heading2"/>
      </w:pPr>
      <w:r>
        <w:t xml:space="preserve">S1.23 Additional robustness analyses</w:t>
      </w:r>
    </w:p>
    <w:p>
      <w:pPr>
        <w:pStyle w:val="FirstParagraph"/>
      </w:pPr>
      <w:r>
        <w:t xml:space="preserve">The analyses in Table S21 were run after the main results, to test whether the headline quantities</w:t>
      </w:r>
      <w:r>
        <w:t xml:space="preserve"> </w:t>
      </w:r>
      <w:r>
        <w:t xml:space="preserve">depend on choices a reader might question. None was used to select a reported configuration.</w:t>
      </w:r>
    </w:p>
    <w:p>
      <w:pPr>
        <w:pStyle w:val="BodyText"/>
        <w:keepNext/>
      </w:pPr>
      <w:r>
        <w:rPr>
          <w:b/>
          <w:bCs/>
        </w:rPr>
        <w:t xml:space="preserve">Table S21. Additional robustness analyses (post hoc).</w:t>
      </w:r>
      <w:r>
        <w:t xml:space="preserve"> </w:t>
      </w:r>
      <w:r>
        <w:t xml:space="preserve">Sources under</w:t>
      </w:r>
      <w:r>
        <w:t xml:space="preserve"> </w:t>
      </w:r>
      <w:r>
        <w:rPr>
          <w:rStyle w:val="VerbatimChar"/>
        </w:rPr>
        <w:t xml:space="preserve">paper/labelfix_rerun/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geometry/</w:t>
      </w:r>
      <w:r>
        <w:t xml:space="preserve"> </w:t>
      </w:r>
      <w:r>
        <w:t xml:space="preserve">(a1 to a5),</w:t>
      </w:r>
      <w:r>
        <w:t xml:space="preserve"> </w:t>
      </w:r>
      <w:r>
        <w:rPr>
          <w:rStyle w:val="VerbatimChar"/>
        </w:rPr>
        <w:t xml:space="preserve">inference/</w:t>
      </w:r>
      <w:r>
        <w:t xml:space="preserve"> </w:t>
      </w:r>
      <w:r>
        <w:t xml:space="preserve">(units, equivalence, ladder) and</w:t>
      </w:r>
      <w:r>
        <w:t xml:space="preserve"> </w:t>
      </w:r>
      <w:r>
        <w:rPr>
          <w:rStyle w:val="VerbatimChar"/>
        </w:rPr>
        <w:t xml:space="preserve">round7/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52"/>
        <w:gridCol w:w="1382"/>
        <w:gridCol w:w="6936"/>
      </w:tblGrid>
      <w:tr>
        <w:trPr>
          <w:tblHeader w:val="on"/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Analysis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Question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Edge-excluded frame cost (a1)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frame cost carried by the scar’s edge cells?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Over nine scars, excluding 0, 1 or 2 cells of the scar edge gives A − B = 0.147 [0.086, 0.208], 0.137 [0.069, 0.205] and 0.129 [0.055, 0.204]; with the region as unit 0.160, 0.150 and 0.145, every interval above zero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Placebo collars (a2)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cost a property of any fire-shaped frame?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The scar’s real positives scored against the negatives of a same-shaped collar placed away from any burned cell reproduce A (A − placebo −0.002 [−0.056, +0.052], eight scars with placements); the real collar costs +0.155 [+0.108, +0.202] more, so the cost is the fire-adjacent negatives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Label-free target frames (a4)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Does a frame drawn without target labels change transfer?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Trimming the target to the source’s per-feature range, or to the source’s area of applicability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(Meyer and Pebesma 2021)</w:t>
            </w:r>
            <w:r>
              <w:rPr>
                <w:sz w:val="20"/>
              </w:rPr>
              <w:t xml:space="preserve">, gives means of 0.520 to 0.574, and a 20 km window 0.482; every paired thermal Δ interval spans zero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Metric dependence (a5)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frame cost specific to ROC-AUC?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Region-wide minus scar-frame over nine scars: partial AUC (FPR ≤ 0.1) 0.088 [0.048, 0.128]; average precision −0.342 [−0.477, −0.206], higher on the scar frame because its prevalence is higher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Collar within-region increment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Does the within-region increment survive the collar?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+0.083 [+0.037, +0.129] over five regions (Student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</w:t>
            </w:r>
            <w:r>
              <w:rPr>
                <w:sz w:val="20"/>
              </w:rPr>
              <w:t xml:space="preserve">), against +0.087 [+0.037, +0.136] as drawn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Equalised Δ by resampling unit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Does the collar Δ exclude zero?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Table S31: two of five computable units exclude zero; the two-way estimators are undefined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Equivalence of the equalised Δ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How large a gain is excluded?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Within ±0.05 under four of five units; no gain above 0.047 at 90 % (pair cluster); not within ±0.02 under any unit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Within minus transfer increment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local-versus-portable contrast itself supported?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 frame +0.079 [+0.014, +0.145]; 10 km collar +0.059 [+0.007, +0.110]; 5 km collar +0.026 [−0.012, +0.063]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Reversal multiplicity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 the collar reversals survive correction?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Table S30: two per-comparison reversals, none after Holm intersection-union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scikit-learn version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 point estimates depend on the library version?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Under 1.5.2 against 1.9.0, single directions move by up to 0.047 and means by at most 0.003; one support count changes (</w:t>
            </w:r>
            <w:r>
              <w:rPr>
                <w:rStyle w:val="VerbatimChar"/>
                <w:sz w:val="20"/>
              </w:rPr>
              <w:t xml:space="preserve">round7/sklearn152/compare_vs_1_9_0.json</w:t>
            </w:r>
            <w:r>
              <w:rPr>
                <w:sz w:val="20"/>
              </w:rPr>
              <w:t xml:space="preserve">)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S31. The equalised (10 km collar) paired contribution by resampling unit.</w:t>
      </w:r>
      <w:r>
        <w:t xml:space="preserve"> </w:t>
      </w:r>
      <w:r>
        <w:t xml:space="preserve">20,000</w:t>
      </w:r>
      <w:r>
        <w:t xml:space="preserve"> </w:t>
      </w:r>
      <w:r>
        <w:t xml:space="preserve">replicates where resampled; 95 % intervals. Source</w:t>
      </w:r>
      <w:r>
        <w:t xml:space="preserve"> </w:t>
      </w:r>
      <w:r>
        <w:rPr>
          <w:rStyle w:val="VerbatimChar"/>
        </w:rPr>
        <w:t xml:space="preserve">paper/labelfix_rerun/inference/units.json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640"/>
        <w:gridCol w:w="3058"/>
        <w:gridCol w:w="1371"/>
      </w:tblGrid>
      <w:tr>
        <w:trPr>
          <w:tblHeader w:val="on"/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Unit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95 % interval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Excludes zero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Directions, naive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[−0.001, +0.049]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Unordered pairs, cluster bootstrap (primary)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[−0.003, +0.051]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region, cluster bootstrap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[+0.010, +0.040]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Source region, cluster bootstrap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[+0.010, +0.042]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Pigeonhole (source and target)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[−0.005, +0.060]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Two-way cluster (CGM)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undefined (negative variance)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Dyadic-robust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undefined (negative variance)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Leave-one-region-out jackknife,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[−0.017, +0.065]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</w:tbl>
    <w:p>
      <w:pPr>
        <w:pStyle w:val="BodyText"/>
      </w:pPr>
      <w:r>
        <w:t xml:space="preserve">The primary unit is fixed in Section 3.7 as the pair cluster, and on it the equalised contribution</w:t>
      </w:r>
      <w:r>
        <w:t xml:space="preserve"> </w:t>
      </w:r>
      <w:r>
        <w:t xml:space="preserve">spans zero. With five regions a percentile bootstrap over regions has at most 126 distinct resamples,</w:t>
      </w:r>
      <w:r>
        <w:t xml:space="preserve"> </w:t>
      </w:r>
      <w:r>
        <w:t xml:space="preserve">so the two region-clustered intervals are coarse.</w:t>
      </w:r>
    </w:p>
    <w:bookmarkEnd w:id="44"/>
    <w:bookmarkEnd w:id="45"/>
    <w:bookmarkStart w:id="50" w:name="s2-supporting-tables"/>
    <w:p>
      <w:pPr>
        <w:pStyle w:val="Heading1"/>
      </w:pPr>
      <w:r>
        <w:t xml:space="preserve">S2 Supporting tables</w:t>
      </w:r>
    </w:p>
    <w:p>
      <w:pPr>
        <w:pStyle w:val="FirstParagraph"/>
      </w:pPr>
      <w:r>
        <w:t xml:space="preserve">These are the per-region and per-direction numbers the Results sections quote, given in full so that</w:t>
      </w:r>
      <w:r>
        <w:t xml:space="preserve"> </w:t>
      </w:r>
      <w:r>
        <w:t xml:space="preserve">every claim can be checked against the values it rests on rather than against a summary of them.</w:t>
      </w:r>
    </w:p>
    <w:p>
      <w:pPr>
        <w:pStyle w:val="BodyText"/>
        <w:keepNext/>
      </w:pPr>
      <w:r>
        <w:rPr>
          <w:b/>
          <w:bCs/>
        </w:rPr>
        <w:t xml:space="preserve">Table S9. Signed univariate AUC of each predictor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burned</w:t>
      </w:r>
      <w:r>
        <w:rPr>
          <w:b/>
          <w:bCs/>
        </w:rPr>
        <w:t xml:space="preserve">, by region.</w:t>
      </w:r>
      <w:r>
        <w:t xml:space="preserve"> </w:t>
      </w:r>
      <w:r>
        <w:t xml:space="preserve">Primary</w:t>
      </w:r>
      <w:r>
        <w:t xml:space="preserve"> </w:t>
      </w:r>
      <w:r>
        <w:t xml:space="preserve">natural-vegetation population; 10-cell (~5 km) spatial-block bootstrap, 1000 replicates, seed 42.</w:t>
      </w:r>
      <w:r>
        <w:t xml:space="preserve"> </w:t>
      </w:r>
      <w:r>
        <w:t xml:space="preserve">The AUC is never folded to max(AUC, 1 − AUC), so a value below 0.5 means lower values rank burned</w:t>
      </w:r>
      <w:r>
        <w:t xml:space="preserve"> </w:t>
      </w:r>
      <w:r>
        <w:t xml:space="preserve">and is a direction rather than weakness.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marks a region whose own interval excludes 0.5.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paper/labelfix_rerun/round5/tables/step9g_multi_aoi_feature_stability.csv</w:t>
      </w:r>
      <w:r>
        <w:t xml:space="preserve"> </w:t>
      </w:r>
      <w:r>
        <w:t xml:space="preserve">(the pipeline’s</w:t>
      </w:r>
      <w:r>
        <w:t xml:space="preserve"> </w:t>
      </w:r>
      <w:r>
        <w:t xml:space="preserve">Step9G five-region synthesis, sha256 c864cd7d…),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on"/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0.232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[0.179, 0.288]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0.643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[0.558, 0.729]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0.611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[0.532, 0.690]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0.541 [0.448, 0.626]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0.584 [0.395, 0.762]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slope_mean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0.400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[0.340, 0.459]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0.521 [0.439, 0.605]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0.637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[0.582, 0.686]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0.487 [0.418, 0.554]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0.652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[0.506, 0.771]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ndvi_mean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0.564 [0.499, 0.628]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0.559 [0.497, 0.619]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0.662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[0.616, 0.704]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0.639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[0.575, 0.701]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0.586 [0.450, 0.704]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lst_anomaly_mean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0.509 [0.460, 0.560]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0.418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[0.364, 0.480]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[0.395, 0.566]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0.640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[0.567, 0.710]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0.395 [0.285, 0.535]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current_lst_mean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0.665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[0.608, 0.719]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0.477 [0.401, 0.547]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0.325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[0.271, 0.382]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[0.301, 0.456]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0.370 [0.248, 0.513]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0.677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[0.622, 0.733]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0.517 [0.429, 0.595]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0.336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[0.275, 0.398]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0.362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[0.285, 0.442]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0.356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[0.233, 0.499]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tvdi_difference_mean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0.460 [0.409, 0.510]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0.512 [0.443, 0.583]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0.490 [0.396, 0.575]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0.519 [0.444, 0.589]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[0.282, 0.497]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downscaled_lst_mean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0.683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[0.626, 0.739]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0.484 [0.400, 0.560]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0.307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[0.253, 0.366]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[0.297, 0.459]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0.365 [0.240, 0.511]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fused_lst_mean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0.666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[0.610, 0.721]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0.481 [0.404, 0.551]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0.325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[0.272, 0.383]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[0.300, 0.456]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0.370 [0.248, 0.513]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counts as a reversal.</w:t>
      </w:r>
      <w:r>
        <w:t xml:space="preserve"> </w:t>
      </w:r>
      <w:r>
        <w:t xml:space="preserve">A pair of regions is called a reversal only when their signed</w:t>
      </w:r>
      <w:r>
        <w:t xml:space="preserve"> </w:t>
      </w:r>
      <w:r>
        <w:t xml:space="preserve">associations point to opposite sides of 0.5</w:t>
      </w:r>
      <w:r>
        <w:t xml:space="preserve"> </w:t>
      </w:r>
      <w:r>
        <w:rPr>
          <w:b/>
          <w:bCs/>
        </w:rPr>
        <w:t xml:space="preserve">and each region’s own interval excludes 0.5</w:t>
      </w:r>
      <w:r>
        <w:t xml:space="preserve">. That is</w:t>
      </w:r>
      <w:r>
        <w:t xml:space="preserve"> </w:t>
      </w:r>
      <w:r>
        <w:t xml:space="preserve">stricter than requiring the two regions’ intervals to be disjoint, and the difference matters: for</w:t>
      </w:r>
      <w:r>
        <w:t xml:space="preserve"> </w:t>
      </w:r>
      <w:r>
        <w:rPr>
          <w:rStyle w:val="VerbatimChar"/>
        </w:rPr>
        <w:t xml:space="preserve">current_lst_mean</w:t>
      </w:r>
      <w:r>
        <w:t xml:space="preserve"> </w:t>
      </w:r>
      <w:r>
        <w:t xml:space="preserve">between Manavgat and Bejís the two intervals are disjoint, [0.608, 0.719] against</w:t>
      </w:r>
      <w:r>
        <w:t xml:space="preserve"> </w:t>
      </w:r>
      <w:r>
        <w:t xml:space="preserve">[0.401, 0.547], but Bejís’s own interval includes 0.5, so Bejís has no established direction to</w:t>
      </w:r>
      <w:r>
        <w:t xml:space="preserve"> </w:t>
      </w:r>
      <w:r>
        <w:t xml:space="preserve">reverse from. That pair is a point reversal, not a supported one.</w:t>
      </w:r>
    </w:p>
    <w:p>
      <w:pPr>
        <w:pStyle w:val="BodyText"/>
        <w:keepNext/>
      </w:pPr>
      <w:r>
        <w:rPr>
          <w:b/>
          <w:bCs/>
        </w:rPr>
        <w:t xml:space="preserve">Table S10. The cross-region reversals that meet the stricter criterion.</w:t>
      </w:r>
      <w:r>
        <w:t xml:space="preserve"> </w:t>
      </w:r>
      <w:r>
        <w:t xml:space="preserve">The strict criterion is applied to Table S9’s intervals. Difference intervals are the paired 10-cell</w:t>
      </w:r>
      <w:r>
        <w:t xml:space="preserve"> </w:t>
      </w:r>
      <w:r>
        <w:t xml:space="preserve">block bootstrap of</w:t>
      </w:r>
      <w:r>
        <w:t xml:space="preserve"> </w:t>
      </w:r>
      <w:r>
        <w:rPr>
          <w:rStyle w:val="VerbatimChar"/>
        </w:rPr>
        <w:t xml:space="preserve">paper/code/ems_inference_multiplicity.py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paper/labelfix_rerun/inference/reversal_family_holm.csv</w:t>
      </w:r>
      <w:r>
        <w:t xml:space="preserve">, 1000 replicates), which flags the same</w:t>
      </w:r>
      <w:r>
        <w:t xml:space="preserve"> </w:t>
      </w:r>
      <w:r>
        <w:t xml:space="preserve">fourteen pairs.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93"/>
        <w:gridCol w:w="1260"/>
        <w:gridCol w:w="630"/>
        <w:gridCol w:w="1260"/>
        <w:gridCol w:w="630"/>
        <w:gridCol w:w="2897"/>
      </w:tblGrid>
      <w:tr>
        <w:trPr>
          <w:tblHeader w:val="on"/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 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 B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Difference [95 % CI]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0.232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0.643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+0.411 [+0.312, +0.509]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0.232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0.611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+0.379 [+0.274, +0.476]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slope_mean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0.400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+0.237 [+0.158, +0.313]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slope_mean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0.400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0.652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+0.252 [+0.100, +0.389]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lst_anomaly_mean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0.418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0.640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+0.222 [+0.129, +0.316]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0.325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0.665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+0.340 [+0.260, +0.413]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0.377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0.665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+0.288 [+0.195, +0.384]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0.336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+0.341 [+0.253, +0.422]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0.362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+0.315 [+0.221, +0.413]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0.356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+0.322 [+0.161, +0.453]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downscaled_lst_mean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0.307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0.683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+0.376 [+0.295, +0.451]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downscaled_lst_mean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0.377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0.683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+0.307 [+0.209, +0.405]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fused_lst_mean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0.325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+0.341 [+0.261, +0.413]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fused_lst_mean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0.376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+0.291 [+0.198, +0.386]</w:t>
            </w:r>
          </w:p>
        </w:tc>
      </w:tr>
    </w:tbl>
    <w:p>
      <w:pPr>
        <w:pStyle w:val="BodyText"/>
      </w:pPr>
      <w:r>
        <w:t xml:space="preserve">Fourteen pair-level reversals across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features, thirteen of them involving Manavgat. Under</w:t>
      </w:r>
      <w:r>
        <w:t xml:space="preserve"> </w:t>
      </w:r>
      <w:r>
        <w:t xml:space="preserve">the original label there were three, across two features, elevation and the LST anomaly; the</w:t>
      </w:r>
      <w:r>
        <w:t xml:space="preserve"> </w:t>
      </w:r>
      <w:r>
        <w:t xml:space="preserve">feature-removal arm of Section 3.11 keeps exactly those two and does not re-select. Twenty-six further</w:t>
      </w:r>
      <w:r>
        <w:t xml:space="preserve"> </w:t>
      </w:r>
      <w:r>
        <w:t xml:space="preserve">pairs reverse at the point estimate only, and they are not counted. The conservative criterion costs</w:t>
      </w:r>
      <w:r>
        <w:t xml:space="preserve"> </w:t>
      </w:r>
      <w:r>
        <w:t xml:space="preserve">the paper findings rather than manufacturing them: a difference interval on the pair, the instrument</w:t>
      </w:r>
      <w:r>
        <w:t xml:space="preserve"> </w:t>
      </w:r>
      <w:r>
        <w:t xml:space="preserve">of Section S1.12, would support seventeen further reversals. None of the fourteen is corrected for</w:t>
      </w:r>
      <w:r>
        <w:t xml:space="preserve"> </w:t>
      </w:r>
      <w:r>
        <w:t xml:space="preserve">multiplicity; Table S30 gives the corrected counts.</w:t>
      </w:r>
    </w:p>
    <w:bookmarkStart w:id="46" w:name="X352a247e862b156ea5c3bc60cd0031eea17b758"/>
    <w:p>
      <w:pPr>
        <w:pStyle w:val="Heading2"/>
      </w:pPr>
      <w:r>
        <w:t xml:space="preserve">S2.1 The transfer matrix in precision-recall terms</w:t>
      </w:r>
    </w:p>
    <w:p>
      <w:pPr>
        <w:pStyle w:val="FirstParagraph"/>
      </w:pPr>
      <w:r>
        <w:t xml:space="preserve">ROC-AUC is reported throughout the main text for comparability with the susceptibility literature.</w:t>
      </w:r>
      <w:r>
        <w:t xml:space="preserve"> </w:t>
      </w:r>
      <w:r>
        <w:t xml:space="preserve">A susceptibility surface is used as a ranked area budget, so precision-recall is the operational</w:t>
      </w:r>
      <w:r>
        <w:t xml:space="preserve"> </w:t>
      </w:r>
      <w:r>
        <w:t xml:space="preserve">quantity, and at target prevalences of 7.0 to 28.7 % the two can differ sharply. Read from the step9b</w:t>
      </w:r>
      <w:r>
        <w:t xml:space="preserve"> </w:t>
      </w:r>
      <w:r>
        <w:t xml:space="preserve">exports of the re-frozen outputs (</w:t>
      </w:r>
      <w:r>
        <w:rPr>
          <w:rStyle w:val="VerbatimChar"/>
        </w:rPr>
        <w:t xml:space="preserve">paper/labelfix_rerun/round5/tables/corrected/*/step9b_metrics.json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S11. Thermal transfer, PR-AUC against the no-skill baseline.</w:t>
      </w:r>
      <w:r>
        <w:t xml:space="preserve"> </w:t>
      </w:r>
      <w:r>
        <w:t xml:space="preserve">The baseline is the target’s</w:t>
      </w:r>
      <w:r>
        <w:t xml:space="preserve"> </w:t>
      </w:r>
      <w:r>
        <w:t xml:space="preserve">burned prevalence. Lift is PR-AUC divided by that baseline; a lift of 1 is no better than random ranking. Ordered by lift.</w:t>
      </w:r>
      <w:r>
        <w:t xml:space="preserve"> </w:t>
      </w:r>
      <w:r>
        <w:t xml:space="preserve">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 PR-AUC intervals at 2-cell and 10-cell</w:t>
      </w:r>
      <w:r>
        <w:t xml:space="preserve"> </w:t>
      </w:r>
      <w:r>
        <w:t xml:space="preserve">blocking for every direction are in</w:t>
      </w:r>
      <w:r>
        <w:t xml:space="preserve"> </w:t>
      </w:r>
      <w:r>
        <w:rPr>
          <w:rStyle w:val="VerbatimChar"/>
        </w:rPr>
        <w:t xml:space="preserve">paper/labelfix_rerun/round7/r7a_pr_auc_10cell.csv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141"/>
        <w:gridCol w:w="1380"/>
        <w:gridCol w:w="1183"/>
        <w:gridCol w:w="1577"/>
        <w:gridCol w:w="789"/>
      </w:tblGrid>
      <w:tr>
        <w:trPr>
          <w:tblHeader w:val="on"/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ROC-AUC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PR-AUC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No-skill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Lift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2.24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0.407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1.42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1.36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1.34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0.093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1.33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0.653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0.093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1.28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0.619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0.089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1.27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0.086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1.23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0.088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0.243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1.15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0.586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0.317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1.11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0.531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0.214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1.01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0.060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0.85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0.448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0.82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0.113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0.383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0.226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0.054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0.75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0.345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0.101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0.70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0.098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0.68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0.527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0.181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0.157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1.13</w:t>
            </w:r>
          </w:p>
        </w:tc>
      </w:tr>
    </w:tbl>
    <w:p>
      <w:pPr>
        <w:pStyle w:val="BodyText"/>
      </w:pPr>
      <w:r>
        <w:t xml:space="preserve">Seven directions fall below their own no-skill baseline, and only one exceeds twice it. The seven are</w:t>
      </w:r>
      <w:r>
        <w:t xml:space="preserve"> </w:t>
      </w:r>
      <w:r>
        <w:t xml:space="preserve">the same seven that are below chance on ROC-AUC, which is what a reversed ranking predicts in either</w:t>
      </w:r>
      <w:r>
        <w:t xml:space="preserve"> </w:t>
      </w:r>
      <w:r>
        <w:t xml:space="preserve">metric. At 1 km blocking all seven have PR-AUC intervals entirely below the baseline; at 5 km</w:t>
      </w:r>
      <w:r>
        <w:t xml:space="preserve"> </w:t>
      </w:r>
      <w:r>
        <w:t xml:space="preserve">blocking two do, Bejís to Manavgat [0.067, 0.132] and Muğla to Manavgat [0.071, 0.135] against 0.143.</w:t>
      </w:r>
      <w:r>
        <w:t xml:space="preserve"> </w:t>
      </w:r>
      <w:r>
        <w:t xml:space="preserve">Section 4.4 shows that the below-chance count is largely a property of the evaluation frames.</w:t>
      </w:r>
    </w:p>
    <w:bookmarkEnd w:id="46"/>
    <w:bookmarkStart w:id="47" w:name="Xa82a7106f004e36a9dc3d52b0e8d308ca3cd787"/>
    <w:p>
      <w:pPr>
        <w:pStyle w:val="Heading2"/>
      </w:pPr>
      <w:r>
        <w:t xml:space="preserve">S2.2 The same-geography event pair, in full</w:t>
      </w:r>
    </w:p>
    <w:p>
      <w:pPr>
        <w:pStyle w:val="FirstParagraph"/>
      </w:pPr>
      <w:r>
        <w:t xml:space="preserve">Section S1.13 reports this arm; Section 4.4 shows its elevation reversal to be a frame artefact, and</w:t>
      </w:r>
      <w:r>
        <w:t xml:space="preserve"> </w:t>
      </w:r>
      <w:r>
        <w:t xml:space="preserve">Section S1.13 explains why its thermal channels carry no verdict. The per-feature values are kept here</w:t>
      </w:r>
      <w:r>
        <w:t xml:space="preserve"> </w:t>
      </w:r>
      <w:r>
        <w:t xml:space="preserve">because the arm is what motivated the frame test.</w:t>
      </w:r>
    </w:p>
    <w:p>
      <w:pPr>
        <w:pStyle w:val="BodyText"/>
        <w:keepNext/>
      </w:pPr>
      <w:r>
        <w:rPr>
          <w:b/>
          <w:bCs/>
        </w:rPr>
        <w:t xml:space="preserve">Table S12. Signed univariate feature-burned AUC, Muğla 2021 versus 2022.</w:t>
      </w:r>
      <w:r>
        <w:t xml:space="preserve"> </w:t>
      </w:r>
      <w:r>
        <w:t xml:space="preserve">Raw AUC against</w:t>
      </w:r>
      <w:r>
        <w:t xml:space="preserve"> </w:t>
      </w:r>
      <w:r>
        <w:rPr>
          <w:rStyle w:val="VerbatimChar"/>
        </w:rPr>
        <w:t xml:space="preserve">burned</w:t>
      </w:r>
      <w:r>
        <w:t xml:space="preserve">, never folded to max(AUC, 1 − AUC); 10-cell (≈ 5 km) spatial-block bootstrap, 1,000</w:t>
      </w:r>
      <w:r>
        <w:t xml:space="preserve"> </w:t>
      </w:r>
      <w:r>
        <w:t xml:space="preserve">replicates, seed 42 (Section 3.14). Analysis population 41,730 rows / 2,911 burned (2021) and</w:t>
      </w:r>
      <w:r>
        <w:t xml:space="preserve"> </w:t>
      </w:r>
      <w:r>
        <w:t xml:space="preserve">38,790 rows / 331 burned (2022).</w:t>
      </w:r>
      <w:r>
        <w:t xml:space="preserve"> </w:t>
      </w:r>
      <w:r>
        <w:rPr>
          <w:b/>
          <w:bCs/>
        </w:rPr>
        <w:t xml:space="preserve">Positive-carrying 5 km blocks: 70 for the 2021 arm and 11 for the</w:t>
      </w:r>
      <w:r>
        <w:rPr>
          <w:b/>
          <w:bCs/>
        </w:rPr>
        <w:t xml:space="preserve"> </w:t>
      </w:r>
      <w:r>
        <w:rPr>
          <w:b/>
          <w:bCs/>
        </w:rPr>
        <w:t xml:space="preserve">2022 arm.</w:t>
      </w:r>
      <w:r>
        <w:t xml:space="preserve"> </w:t>
      </w:r>
      <w:r>
        <w:t xml:space="preserve">Table 1’s note sets sixteen as the floor this design supports at that blocking, so the</w:t>
      </w:r>
      <w:r>
        <w:t xml:space="preserve"> </w:t>
      </w:r>
      <w:r>
        <w:t xml:space="preserve">2022 intervals here fall below the paper’s own standard and are read as indicative, exactly as the</w:t>
      </w:r>
      <w:r>
        <w:t xml:space="preserve"> </w:t>
      </w:r>
      <w:r>
        <w:t xml:space="preserve">20-cell row of Table 1 is. The 2022 arm is additionally a single compact scar, so its eleven blocks</w:t>
      </w:r>
      <w:r>
        <w:t xml:space="preserve"> </w:t>
      </w:r>
      <w:r>
        <w:t xml:space="preserve">are contiguous. Read from</w:t>
      </w:r>
      <w:r>
        <w:t xml:space="preserve"> </w:t>
      </w:r>
      <w:r>
        <w:rPr>
          <w:rStyle w:val="VerbatimChar"/>
        </w:rPr>
        <w:t xml:space="preserve">paper/step9g_raw/.../mugla_2021__mugla_2022_event_relative/step9g_direction_reversal_table.csv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96"/>
        <w:gridCol w:w="2296"/>
        <w:gridCol w:w="2296"/>
        <w:gridCol w:w="2181"/>
      </w:tblGrid>
      <w:tr>
        <w:trPr>
          <w:tblHeader w:val="on"/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 AUC [95 % CI]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 AUC [95 % CI]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Reversal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elevation_mean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0.611 [0.532, 0.690]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0.296 [0.230, 0.355]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bootstrap-supported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current_lst_mean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0.325 [0.271, 0.382]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0.515 [0.434, 0.580]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current_tvdi_mean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0.336 [0.275, 0.398]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0.594 [0.475, 0.674]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downscaled_lst_mean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0.307 [0.253, 0.366]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0.508 [0.435, 0.571]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fused_lst_mean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0.325 [0.272, 0.383]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0.519 [0.436, 0.583]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ndvi_mean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0.662 [0.616, 0.704]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0.707 [0.624, 0.777]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slope_mean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0.637 [0.582, 0.686]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0.558 [0.468, 0.634]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lst_anomaly_mean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[0.395, 0.566]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0.380 [0.249, 0.502]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tvdi_difference_mean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0.490 [0.396, 0.575]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0.397 [0.265, 0.514]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</w:tbl>
    <w:bookmarkEnd w:id="47"/>
    <w:bookmarkStart w:id="48" w:name="Xb04c43faa0a78ce01256a28bdcfaf43e48d920a"/>
    <w:p>
      <w:pPr>
        <w:pStyle w:val="Heading2"/>
      </w:pPr>
      <w:r>
        <w:t xml:space="preserve">S2.3 The evaluation frames, and the signed associations they produce</w:t>
      </w:r>
    </w:p>
    <w:p>
      <w:pPr>
        <w:pStyle w:val="FirstParagraph"/>
      </w:pPr>
      <w:r>
        <w:t xml:space="preserve">Section 4.4 states these results; the per-region values are here.</w:t>
      </w:r>
    </w:p>
    <w:p>
      <w:pPr>
        <w:pStyle w:val="BodyText"/>
        <w:keepNext/>
      </w:pPr>
      <w:r>
        <w:rPr>
          <w:b/>
          <w:bCs/>
        </w:rPr>
        <w:t xml:space="preserve">Table S13. Evaluation-frame geometry of the five study regions.</w:t>
      </w:r>
      <w:r>
        <w:t xml:space="preserve"> </w:t>
      </w:r>
      <w:r>
        <w:t xml:space="preserve">Primary natural-vegetation</w:t>
      </w:r>
      <w:r>
        <w:t xml:space="preserve"> </w:t>
      </w:r>
      <w:r>
        <w:t xml:space="preserve">population. Distance is Euclidean to the nearest burned cell on the 500 m grid, at 0.45 km per cell.</w:t>
      </w:r>
      <w:r>
        <w:t xml:space="preserve"> </w:t>
      </w:r>
      <w:r>
        <w:t xml:space="preserve">Corrected Manavgat label. Computed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 </w:t>
      </w:r>
      <w:r>
        <w:t xml:space="preserve">from the step8a tables (read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paper/code/_canonical.py</w:t>
      </w:r>
      <w:r>
        <w:t xml:space="preserve">, which verifies each file’s sha256), as</w:t>
      </w:r>
      <w:r>
        <w:t xml:space="preserve"> </w:t>
      </w:r>
      <w:r>
        <w:rPr>
          <w:rStyle w:val="VerbatimChar"/>
        </w:rPr>
        <w:t xml:space="preserve">paper/code/verify_aoi_frame.py</w:t>
      </w:r>
      <w:r>
        <w:t xml:space="preserve"> </w:t>
      </w:r>
      <w:r>
        <w:t xml:space="preserve">does.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95"/>
        <w:gridCol w:w="837"/>
        <w:gridCol w:w="837"/>
        <w:gridCol w:w="3488"/>
        <w:gridCol w:w="2512"/>
      </w:tblGrid>
      <w:tr>
        <w:trPr>
          <w:tblHeader w:val="on"/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cells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burned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median distance to burned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share beyond 10 km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20,511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13.1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58.5 %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15,190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1,100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13.5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63.1 %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41,730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2,911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11.3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55.3 %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9,298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2,664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8.0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43.7 %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2,544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539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2.7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2.1 %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S14. Signed univariate AUC, frame as drawn against a 10 km collar.</w:t>
      </w:r>
      <w:r>
        <w:t xml:space="preserve"> </w:t>
      </w:r>
      <w:r>
        <w:t xml:space="preserve">Point estimates; the</w:t>
      </w:r>
      <w:r>
        <w:t xml:space="preserve"> </w:t>
      </w:r>
      <w:r>
        <w:t xml:space="preserve">intervals that decide the reversal question are given in the text below and in</w:t>
      </w:r>
      <w:r>
        <w:t xml:space="preserve"> </w:t>
      </w:r>
      <w:r>
        <w:rPr>
          <w:rStyle w:val="VerbatimChar"/>
        </w:rPr>
        <w:t xml:space="preserve">collar_frame_bootstrap.csv</w:t>
      </w:r>
      <w:r>
        <w:t xml:space="preserve"> </w:t>
      </w:r>
      <w:r>
        <w:t xml:space="preserve">(10-cell blocks, 1000 replicates, seed 42). Signed and never folded to</w:t>
      </w:r>
      <w:r>
        <w:t xml:space="preserve"> </w:t>
      </w:r>
      <w:r>
        <w:t xml:space="preserve">max(AUC, 1 − AUC), so a value below 0.5 is a direction, not weakness. The collar drops no burned cells in any region. Full frame from Table S9’s source, collar from</w:t>
      </w:r>
      <w:r>
        <w:t xml:space="preserve"> </w:t>
      </w:r>
      <w:r>
        <w:rPr>
          <w:rStyle w:val="VerbatimChar"/>
        </w:rPr>
        <w:t xml:space="preserve">paper/labelfix_rerun/code/aoi_frame_auc_frozen_mugla.csv</w:t>
      </w:r>
      <w:r>
        <w:t xml:space="preserve"> </w:t>
      </w:r>
      <w:r>
        <w:t xml:space="preserve">(the collar arm with Muğla read from its</w:t>
      </w:r>
      <w:r>
        <w:t xml:space="preserve"> </w:t>
      </w:r>
      <w:r>
        <w:t xml:space="preserve">canonical file).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 Manavgat sits on the other</w:t>
      </w:r>
      <w:r>
        <w:t xml:space="preserve"> </w:t>
      </w:r>
      <w:r>
        <w:t xml:space="preserve">side of 0.5 from the other regions on every row, the collar rows included.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721"/>
        <w:gridCol w:w="930"/>
        <w:gridCol w:w="581"/>
        <w:gridCol w:w="581"/>
        <w:gridCol w:w="581"/>
        <w:gridCol w:w="1163"/>
        <w:gridCol w:w="1512"/>
      </w:tblGrid>
      <w:tr>
        <w:trPr>
          <w:tblHeader w:val="on"/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Signed univariate AUC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straddles 0.5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elevation, full frame (Table S9)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0.232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0.643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0.611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0.541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elevation, 10 km collar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0.376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0.614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0.606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0.648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0.581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LST, full frame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0.665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0.325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0.377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0.370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LST, 10 km collar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0.522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0.405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0.286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TVDI, full frame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0.677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0.336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0.362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0.356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TVDI, 10 km collar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0.527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0.454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0.250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0.361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S15. Region summary: populations and gate outcomes.</w:t>
      </w:r>
      <w:r>
        <w:t xml:space="preserve"> </w:t>
      </w:r>
      <w:r>
        <w:t xml:space="preserve">Counts from each</w:t>
      </w:r>
      <w:r>
        <w:t xml:space="preserve"> </w:t>
      </w:r>
      <w:r>
        <w:t xml:space="preserve">region’s Step 8A dataset statistics; gate fractions from each region’s burned-landcover gate output.</w:t>
      </w:r>
      <w:r>
        <w:t xml:space="preserve"> </w:t>
      </w:r>
      <w:r>
        <w:t xml:space="preserve">TSG = the primary natural-vegetation population (tree, shrub and grass). The TSG columns use the canonical modelled</w:t>
      </w:r>
      <w:r>
        <w:t xml:space="preserve"> </w:t>
      </w:r>
      <w:r>
        <w:t xml:space="preserve">population,</w:t>
      </w:r>
      <w:r>
        <w:t xml:space="preserve"> </w:t>
      </w:r>
      <w:r>
        <w:rPr>
          <w:rStyle w:val="VerbatimChar"/>
        </w:rPr>
        <w:t xml:space="preserve">burnable_tree_shrub_grass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valid_for_modeling == True</w:t>
      </w:r>
      <w:r>
        <w:t xml:space="preserve">, which is the</w:t>
      </w:r>
      <w:r>
        <w:t xml:space="preserve"> </w:t>
      </w:r>
      <w:r>
        <w:t xml:space="preserve">population every model in this paper was fitted and scored on. Counts are</w:t>
      </w:r>
      <w:r>
        <w:t xml:space="preserve"> </w:t>
      </w:r>
      <w:r>
        <w:t xml:space="preserve">computed from the step8a tables and gate fractions read from each region’s gate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paper/labelfix_rerun/round5/tables/corrected/gates/</w:t>
      </w:r>
      <w:r>
        <w:t xml:space="preserve">).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62"/>
        <w:gridCol w:w="661"/>
        <w:gridCol w:w="661"/>
        <w:gridCol w:w="360"/>
        <w:gridCol w:w="1321"/>
        <w:gridCol w:w="541"/>
        <w:gridCol w:w="781"/>
        <w:gridCol w:w="841"/>
        <w:gridCol w:w="1622"/>
        <w:gridCol w:w="721"/>
      </w:tblGrid>
      <w:tr>
        <w:trPr>
          <w:tblHeader w:val="on"/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Total cells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Valid cells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Prevalence (all valid)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TSG cells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 in TSG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TSG prevalence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 natural-veg fraction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Gate verdict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24,150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24,087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3,046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0.126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20,511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0.955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15,759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15,759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1,103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15,190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1,100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0.991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73,098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73,045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3,026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0.041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41,730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2,911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0.958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 (extended)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22,925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22,906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2,788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0.122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9,298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2,664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0.945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3,234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3,173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697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0.220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2,544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539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0.723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S16. Cross-region transfer matrix, thermal model, TSG population.</w:t>
      </w:r>
      <w:r>
        <w:t xml:space="preserve"> </w:t>
      </w:r>
      <w:r>
        <w:t xml:space="preserve">Target ROC-AUC with 2-cell</w:t>
      </w:r>
      <w:r>
        <w:t xml:space="preserve"> </w:t>
      </w:r>
      <w:r>
        <w:t xml:space="preserve">spatial-block bootstrap 95% CIs (1000 replicates). CORAL is applied after region-wise z-scoring (λ =</w:t>
      </w:r>
      <w:r>
        <w:t xml:space="preserve"> </w:t>
      </w:r>
      <w:r>
        <w:t xml:space="preserve">10⁻⁵). Generated by</w:t>
      </w:r>
      <w:r>
        <w:t xml:space="preserve"> </w:t>
      </w:r>
      <w:r>
        <w:rPr>
          <w:rStyle w:val="VerbatimChar"/>
        </w:rPr>
        <w:t xml:space="preserve">paper/code/table_b9.py</w:t>
      </w:r>
      <w:r>
        <w:t xml:space="preserve"> </w:t>
      </w:r>
      <w:r>
        <w:t xml:space="preserve">from the re-frozen 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paper/labelfix_rerun/round5/matrix20_official.csv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181"/>
        <w:gridCol w:w="2296"/>
        <w:gridCol w:w="2296"/>
        <w:gridCol w:w="2296"/>
      </w:tblGrid>
      <w:tr>
        <w:trPr>
          <w:tblHeader w:val="on"/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Raw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Region-wise z-score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CORAL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0.396 [0.373, 0.422]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0.450 [0.423, 0.477]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0.467 [0.441, 0.491]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0.314 [0.296, 0.332]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0.302 [0.282, 0.323]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0.406 [0.388, 0.423]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 [0.418, 0.456]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0.427 [0.408, 0.444]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0.417 [0.398, 0.436]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0.345 [0.331, 0.359]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[0.468, 0.502]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0.476 [0.460, 0.493]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0.654 [0.633, 0.676]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0.529 [0.504, 0.553]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0.504 [0.481, 0.528]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0.677 [0.658, 0.697]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0.404 [0.386, 0.421]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0.417 [0.399, 0.435]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0.618 [0.601, 0.635]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 [0.501, 0.535]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0.507 [0.489, 0.524]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0.583 [0.561, 0.607]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0.535 [0.512, 0.557]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0.560 [0.538, 0.581]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0.383 [0.363, 0.402]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0.532 [0.509, 0.551]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0.499 [0.479, 0.518]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0.448 [0.426, 0.470]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0.549 [0.524, 0.575]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0.549 [0.525, 0.573]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0.653 [0.636, 0.671]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0.561 [0.543, 0.580]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0.563 [0.545, 0.582]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0.577 [0.560, 0.593]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0.501 [0.485, 0.518]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0.530 [0.515, 0.546]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0.404 [0.385, 0.422]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0.388 [0.367, 0.408]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0.436 [0.416, 0.456]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 [0.474, 0.563]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0.527 [0.484, 0.568]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0.505 [0.461, 0.547]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0.548 [0.521, 0.578]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0.574 [0.552, 0.596]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0.569 [0.548, 0.591]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0.594 [0.560, 0.631]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0.550 [0.500, 0.601]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0.574 [0.530, 0.621]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0.619 [0.604, 0.634]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0.576 [0.562, 0.589]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0.565 [0.550, 0.579]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0.531 [0.495, 0.568]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0.587 [0.549, 0.624]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0.584 [0.547, 0.623]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0.586 [0.565, 0.606]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0.630 [0.611, 0.649]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0.624 [0.605, 0.641]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0.647 [0.608, 0.682]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0.568 [0.528, 0.609]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0.581 [0.539, 0.623]</w:t>
            </w:r>
          </w:p>
        </w:tc>
      </w:tr>
    </w:tbl>
    <w:bookmarkEnd w:id="48"/>
    <w:bookmarkStart w:id="49" w:name="Xa73af5c53e1b16a765aea6ff09dad9bdcea9040"/>
    <w:p>
      <w:pPr>
        <w:pStyle w:val="Heading2"/>
      </w:pPr>
      <w:r>
        <w:t xml:space="preserve">S2.4 The transferability-diagnostics tables</w:t>
      </w:r>
    </w:p>
    <w:p>
      <w:pPr>
        <w:pStyle w:val="FirstParagraph"/>
        <w:keepNext/>
      </w:pPr>
      <w:r>
        <w:rPr>
          <w:b/>
          <w:bCs/>
        </w:rPr>
        <w:t xml:space="preserve">Table S17. All transferability diagnostics versus raw thermal transfer (20 ordered directions).</w:t>
      </w:r>
      <w:r>
        <w:t xml:space="preserve"> </w:t>
      </w:r>
      <w:r>
        <w:t xml:space="preserve">Spearman ρ with pair-based bootstrap 95 % CIs. Exp. = expected sign. Rows with n = 12 exist only for</w:t>
      </w:r>
      <w:r>
        <w:t xml:space="preserve"> </w:t>
      </w:r>
      <w:r>
        <w:t xml:space="preserve">the four-AOI subset, because those diagnostics were never produced for Montiferru. The</w:t>
      </w:r>
      <w:r>
        <w:t xml:space="preserve"> </w:t>
      </w:r>
      <w:r>
        <w:t xml:space="preserve">supported-features conditional rows use the 18 directions with at least one CI-supported feature.</w:t>
      </w:r>
      <w:r>
        <w:t xml:space="preserve"> </w:t>
      </w:r>
      <w:r>
        <w:t xml:space="preserve">Every row from</w:t>
      </w:r>
      <w:r>
        <w:t xml:space="preserve"> </w:t>
      </w:r>
      <w:r>
        <w:rPr>
          <w:rStyle w:val="VerbatimChar"/>
        </w:rPr>
        <w:t xml:space="preserve">paper/labelfix_rerun/round5/s6_diagnostics_20.csv</w:t>
      </w:r>
      <w:r>
        <w:t xml:space="preserve">, checked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 The twenty diagnostics were defined on 8 August 2026 and not</w:t>
      </w:r>
      <w:r>
        <w:t xml:space="preserve"> </w:t>
      </w:r>
      <w:r>
        <w:t xml:space="preserve">re-selected after the label correction.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899"/>
        <w:gridCol w:w="1338"/>
        <w:gridCol w:w="297"/>
        <w:gridCol w:w="372"/>
        <w:gridCol w:w="1487"/>
        <w:gridCol w:w="2676"/>
      </w:tblGrid>
      <w:tr>
        <w:trPr>
          <w:tblHeader w:val="on"/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Diagnostic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Family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Exp.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 dir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Spearman ρ [95% CI]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CI excludes 0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Agreement fraction, supported features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18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+0.52 [−0.27, +0.87]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Cosine, supported features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18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+0.49 [−0.24, +0.87]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Cosine, all 9 features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+0.44 [−0.29,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Vector Spearman, all 9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+0.43 [−0.21,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Agreement count, all 9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+0.47 [−0.29,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Schoener’s D, 1-D mean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+0.10 [−0.53, +0.63]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Warren’s I, 1-D mean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+0.19 [−0.43, +0.77]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Schoener’s D, PCA-2D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+0.03 [−0.59, +0.63]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Warren’s I, PCA-2D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−0.03 [−0.66, +0.56]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Mahalanobis, burned centroids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−0.22 [−0.82, +0.42]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Domain-classifier AUC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−0.33 [−0.81, +0.36]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Predictor-space mean dissimilarity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−0.13 [−0.67, +0.37]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Predictor-space p95 dissimilarity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−0.15 [−0.68, +0.24]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Fraction inside weighted AoA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+0.21 [−0.48, +0.62]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Fraction inside unweighted support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+0.08 [−0.92, +0.76]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Climatic distance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+0.03 [−0.84, +0.84]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Geographic distance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geographic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−0.17 [−0.87, +0.84]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Regime distance, log effective-N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P(y) structure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+0.11 [−0.67,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Regime distance, largest share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P(y) structure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+0.11 [−0.66, +0.77]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Vector Spearman, supported (≥3 feats) ‡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+0.96 [+0.85, +0.96]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degenerate interval; not interpreted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note.</w:t>
      </w:r>
      <w:r>
        <w:t xml:space="preserve"> </w:t>
      </w:r>
      <w:r>
        <w:t xml:space="preserve">A null row means the diagnostic was</w:t>
      </w:r>
      <w:r>
        <w:t xml:space="preserve"> </w:t>
      </w:r>
      <w:r>
        <w:rPr>
          <w:b/>
          <w:bCs/>
        </w:rPr>
        <w:t xml:space="preserve">not shown to order transfer</w:t>
      </w:r>
      <w:r>
        <w:t xml:space="preserve"> </w:t>
      </w:r>
      <w:r>
        <w:t xml:space="preserve">on this design, not</w:t>
      </w:r>
      <w:r>
        <w:t xml:space="preserve"> </w:t>
      </w:r>
      <w:r>
        <w:t xml:space="preserve">that it was shown incapable of ordering it. With ten effective region pairs the power is low, and the</w:t>
      </w:r>
      <w:r>
        <w:t xml:space="preserve"> </w:t>
      </w:r>
      <w:r>
        <w:t xml:space="preserve">intervals are wide enough to admit moderate true correlations in either direction. ‡ The last row is a</w:t>
      </w:r>
      <w:r>
        <w:t xml:space="preserve"> </w:t>
      </w:r>
      <w:r>
        <w:t xml:space="preserve">member of the candidate set fixed in advance, so it stays in the table. It is defined on six</w:t>
      </w:r>
      <w:r>
        <w:t xml:space="preserve"> </w:t>
      </w:r>
      <w:r>
        <w:t xml:space="preserve">directions only, and its interval is degenerate (the upper bound equals the point estimate), so it is</w:t>
      </w:r>
      <w:r>
        <w:t xml:space="preserve"> </w:t>
      </w:r>
      <w:r>
        <w:t xml:space="preserve">not interpreted and is not comparable with the other nineteen.</w:t>
      </w:r>
    </w:p>
    <w:p>
      <w:pPr>
        <w:pStyle w:val="BodyText"/>
      </w:pPr>
      <w:r>
        <w:rPr>
          <w:b/>
          <w:bCs/>
        </w:rPr>
        <w:t xml:space="preserve">Under the original label</w:t>
      </w:r>
      <w:r>
        <w:t xml:space="preserve"> </w:t>
      </w:r>
      <w:r>
        <w:t xml:space="preserve">the two supported-feature variants cleared zero (+0.84 and +0.81 over</w:t>
      </w:r>
      <w:r>
        <w:t xml:space="preserve"> </w:t>
      </w:r>
      <w:r>
        <w:t xml:space="preserve">sixteen directions). Both select their predictor subset by whether two regions’ bootstrap intervals</w:t>
      </w:r>
      <w:r>
        <w:t xml:space="preserve"> </w:t>
      </w:r>
      <w:r>
        <w:t xml:space="preserve">happen to exclude 0.5, a data-dependent selection made on the same data. Under the corrected label</w:t>
      </w:r>
      <w:r>
        <w:t xml:space="preserve"> </w:t>
      </w:r>
      <w:r>
        <w:t xml:space="preserve">neither clears zero (+0.52 and +0.49 over eighteen directions), and no interpretable row does</w:t>
      </w:r>
      <w:r>
        <w:t xml:space="preserve"> </w:t>
      </w:r>
      <w:r>
        <w:t xml:space="preserve">(Section S3.5(viii) on why measures built from interval support are unstable).</w:t>
      </w:r>
    </w:p>
    <w:p>
      <w:pPr>
        <w:pStyle w:val="BodyText"/>
      </w:pPr>
      <w:r>
        <w:rPr>
          <w:b/>
          <w:bCs/>
        </w:rPr>
        <w:t xml:space="preserve">Equal-sample check.</w:t>
      </w:r>
      <w:r>
        <w:t xml:space="preserve"> </w:t>
      </w:r>
      <w:r>
        <w:t xml:space="preserve">The families sit on unequal samples: marginal, applicability, climatic and</w:t>
      </w:r>
      <w:r>
        <w:t xml:space="preserve"> </w:t>
      </w:r>
      <w:r>
        <w:t xml:space="preserve">geographic rows on twelve directions, the supported-conditional rows on eighteen, the rest on twenty.</w:t>
      </w:r>
      <w:r>
        <w:t xml:space="preserve"> </w:t>
      </w:r>
      <w:r>
        <w:t xml:space="preserve">Recomputing every row on the common twelve-direction subset, and again on the sixteen directions</w:t>
      </w:r>
      <w:r>
        <w:t xml:space="preserve"> </w:t>
      </w:r>
      <w:r>
        <w:t xml:space="preserve">where the supported-conditional rows are defined, leaves every interpretable row spanning zero; the</w:t>
      </w:r>
      <w:r>
        <w:t xml:space="preserve"> </w:t>
      </w:r>
      <w:r>
        <w:t xml:space="preserve">supported-conditional rows give +0.41 [−0.42, +0.88] and +0.46 [−0.56, +0.84] on the common twelve.</w:t>
      </w:r>
      <w:r>
        <w:t xml:space="preserve"> </w:t>
      </w:r>
      <w:r>
        <w:t xml:space="preserve">The published values are reproduced to 4.4 × 10⁻⁵. Source:</w:t>
      </w:r>
      <w:r>
        <w:t xml:space="preserve"> </w:t>
      </w:r>
      <w:r>
        <w:rPr>
          <w:rStyle w:val="VerbatimChar"/>
        </w:rPr>
        <w:t xml:space="preserve">paper/labelfix_rerun/round5/out_official/diagnostics_common_subset.json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Table S18. The most and least environmentally similar pairs, on both frames.</w:t>
      </w:r>
      <w:r>
        <w:t xml:space="preserve"> </w:t>
      </w:r>
      <w:r>
        <w:t xml:space="preserve">Schoener’s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</w:t>
      </w:r>
      <w:r>
        <w:t xml:space="preserve"> </w:t>
      </w:r>
      <w:r>
        <w:t xml:space="preserve">computed over burned cells only and is therefore collar-invariant. Transfer values are the two</w:t>
      </w:r>
      <w:r>
        <w:t xml:space="preserve"> </w:t>
      </w:r>
      <w:r>
        <w:t xml:space="preserve">ordered directions of each pair; ranks are out of the twenty directions on the equalised frame.</w:t>
      </w:r>
      <w:r>
        <w:t xml:space="preserve"> </w:t>
      </w:r>
      <w:r>
        <w:t xml:space="preserve">Corrected Manavgat label. Schoener’s</w:t>
      </w:r>
      <w:r>
        <w:t xml:space="preserve"> </w:t>
      </w:r>
      <w:r>
        <w:rPr>
          <w:i/>
          <w:iCs/>
        </w:rPr>
        <w:t xml:space="preserve">D</w:t>
      </w:r>
      <w:r>
        <w:t xml:space="preserve">, per-feature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and as-drawn transfer are read from Fig. 8’s</w:t>
      </w:r>
      <w:r>
        <w:t xml:space="preserve"> </w:t>
      </w:r>
      <w:r>
        <w:t xml:space="preserve">source,</w:t>
      </w:r>
      <w:r>
        <w:t xml:space="preserve"> </w:t>
      </w:r>
      <w:r>
        <w:rPr>
          <w:rStyle w:val="VerbatimChar"/>
        </w:rPr>
        <w:t xml:space="preserve">paper/labelfix_rerun/round5/out_official/figure_contrast_pairs.json</w:t>
      </w:r>
      <w:r>
        <w:t xml:space="preserve">; collar transfer and</w:t>
      </w:r>
      <w:r>
        <w:t xml:space="preserve"> </w:t>
      </w:r>
      <w:r>
        <w:t xml:space="preserve">ranks from Table S8’s source,</w:t>
      </w:r>
      <w:r>
        <w:t xml:space="preserve"> </w:t>
      </w:r>
      <w:r>
        <w:rPr>
          <w:rStyle w:val="VerbatimChar"/>
        </w:rPr>
        <w:t xml:space="preserve">paper/labelfix_rerun/round5/collar/aoi_frame_transfer.csv</w:t>
      </w:r>
      <w:r>
        <w:t xml:space="preserve">; the AoA</w:t>
      </w:r>
      <w:r>
        <w:t xml:space="preserve"> </w:t>
      </w:r>
      <w:r>
        <w:t xml:space="preserve">shares from</w:t>
      </w:r>
      <w:r>
        <w:t xml:space="preserve"> </w:t>
      </w:r>
      <w:r>
        <w:rPr>
          <w:rStyle w:val="VerbatimChar"/>
        </w:rPr>
        <w:t xml:space="preserve">paper/labelfix_rerun/round5/collar/aoa_directed_pair_summary.csv</w:t>
      </w:r>
      <w:r>
        <w:t xml:space="preserve">. Every cell is</w:t>
      </w:r>
      <w:r>
        <w:t xml:space="preserve"> </w:t>
      </w:r>
      <w:r>
        <w:t xml:space="preserve">asserted against those files at build time (</w:t>
      </w:r>
      <w:r>
        <w:rPr>
          <w:rStyle w:val="VerbatimChar"/>
        </w:rPr>
        <w:t xml:space="preserve">paper/figures/fig8_contrast_pairs.py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707"/>
        <w:gridCol w:w="2067"/>
        <w:gridCol w:w="2296"/>
      </w:tblGrid>
      <w:tr>
        <w:trPr>
          <w:tblHeader w:val="on"/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and 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and Montiferru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Schoener’s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D</w:t>
            </w:r>
            <w:r>
              <w:rPr>
                <w:sz w:val="20"/>
              </w:rPr>
              <w:t xml:space="preserve">, mean 1-D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0.799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(highest)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0.479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(lowest)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per-feature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D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0.74 to 0.87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0.23 to 0.77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transfer, frames as drawn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0.438, 0.345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0.594, 0.548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transfer, 10 km collar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0.493, 0.433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0.669, 0.624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rank of 20 on the collar, from the bottom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4th, 2nd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16th, 12th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cells inside the AoA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0.876, 0.531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</w:tr>
    </w:tbl>
    <w:bookmarkEnd w:id="49"/>
    <w:bookmarkEnd w:id="50"/>
    <w:bookmarkStart w:id="65" w:name="s3-protocol-detail-and-limitations"/>
    <w:p>
      <w:pPr>
        <w:pStyle w:val="Heading1"/>
      </w:pPr>
      <w:r>
        <w:t xml:space="preserve">S3 Protocol detail and limitations</w:t>
      </w:r>
    </w:p>
    <w:p>
      <w:pPr>
        <w:pStyle w:val="FirstParagraph"/>
      </w:pPr>
      <w:r>
        <w:t xml:space="preserve">These protocols are given here in full rather than in Methods, because each is a specification a</w:t>
      </w:r>
      <w:r>
        <w:t xml:space="preserve"> </w:t>
      </w:r>
      <w:r>
        <w:t xml:space="preserve">reader needs only when checking the corresponding result, and none is needed to follow the</w:t>
      </w:r>
      <w:r>
        <w:t xml:space="preserve"> </w:t>
      </w:r>
      <w:r>
        <w:t xml:space="preserve">argument. Sections 3.2 to 3.4, 3.7, 3.9, 3.10, 3.13 and 3.14 state in summary what each does.</w:t>
      </w:r>
    </w:p>
    <w:bookmarkStart w:id="54" w:name="X7e7b212c5d054fdf29ae47676c209a07da91ef2"/>
    <w:p>
      <w:pPr>
        <w:pStyle w:val="Heading2"/>
      </w:pPr>
      <w:r>
        <w:t xml:space="preserve">S3.1 Burned-area label, the reconstructed analysis grid, and the admissibility gate</w:t>
      </w:r>
    </w:p>
    <w:p>
      <w:pPr>
        <w:pStyle w:val="FirstParagraph"/>
      </w:pPr>
      <w:r>
        <w:t xml:space="preserve">Labels come from MODIS MCD64A1 Collection 6.1 (</w:t>
      </w:r>
      <w:r>
        <w:rPr>
          <w:rStyle w:val="VerbatimChar"/>
        </w:rPr>
        <w:t xml:space="preserve">MODIS/061/MCD64A1</w:t>
      </w:r>
      <w:r>
        <w:t xml:space="preserve">) retrieved through Google Earth</w:t>
      </w:r>
      <w:r>
        <w:t xml:space="preserve"> </w:t>
      </w:r>
      <w:r>
        <w:t xml:space="preserve">Engine</w:t>
      </w:r>
      <w:r>
        <w:t xml:space="preserve"> </w:t>
      </w:r>
      <w:r>
        <w:t xml:space="preserve">(Gorelick et al. 2017)</w:t>
      </w:r>
      <w:r>
        <w:t xml:space="preserve">, whose omission and commission characteristics</w:t>
      </w:r>
      <w:r>
        <w:t xml:space="preserve"> </w:t>
      </w:r>
      <w:r>
        <w:t xml:space="preserve">(Boschetti et al. 2019)</w:t>
      </w:r>
      <w:r>
        <w:t xml:space="preserve"> </w:t>
      </w:r>
      <w:r>
        <w:t xml:space="preserve">bound every</w:t>
      </w:r>
      <w:r>
        <w:t xml:space="preserve"> </w:t>
      </w:r>
      <w:r>
        <w:t xml:space="preserve">model here. The product is exported onto the 30 m EPSG:4326 reference grid used by the rest of the</w:t>
      </w:r>
      <w:r>
        <w:t xml:space="preserve"> </w:t>
      </w:r>
      <w:r>
        <w:t xml:space="preserve">pipeline, which duplicates each native ~500 m observation across the 30 m pixels beneath it.</w:t>
      </w:r>
    </w:p>
    <w:p>
      <w:pPr>
        <w:pStyle w:val="BodyText"/>
      </w:pPr>
      <w:r>
        <w:t xml:space="preserve">The analysis grid is therefore</w:t>
      </w:r>
      <w:r>
        <w:t xml:space="preserve"> </w:t>
      </w:r>
      <w:r>
        <w:rPr>
          <w:b/>
          <w:bCs/>
        </w:rPr>
        <w:t xml:space="preserve">reconstructed rather than native</w:t>
      </w:r>
      <w:r>
        <w:t xml:space="preserve">: the 30 m grid is partitioned</w:t>
      </w:r>
      <w:r>
        <w:t xml:space="preserve"> </w:t>
      </w:r>
      <w:r>
        <w:t xml:space="preserve">into non-overlapping blocks of</w:t>
      </w:r>
      <w:r>
        <w:t xml:space="preserve"> </w:t>
      </w:r>
      <w:r>
        <w:rPr>
          <w:rStyle w:val="VerbatimChar"/>
        </w:rPr>
        <w:t xml:space="preserve">round(500 / 30) = 17 × 17</w:t>
      </w:r>
      <w:r>
        <w:t xml:space="preserve"> </w:t>
      </w:r>
      <w:r>
        <w:t xml:space="preserve">pixels, giving a nominal cell edge of</w:t>
      </w:r>
      <w:r>
        <w:t xml:space="preserve"> </w:t>
      </w:r>
      <w:r>
        <w:t xml:space="preserve">510 m, and each cell is identified by its integer block indices</w:t>
      </w:r>
      <w:r>
        <w:t xml:space="preserve"> </w:t>
      </w:r>
      <w:r>
        <w:rPr>
          <w:rStyle w:val="VerbatimChar"/>
        </w:rPr>
        <w:t xml:space="preserve">row_500m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col_500m</w:t>
      </w:r>
      <w:r>
        <w:t xml:space="preserve">. This</w:t>
      </w:r>
      <w:r>
        <w:t xml:space="preserve"> </w:t>
      </w:r>
      <w:r>
        <w:t xml:space="preserve">approximates the MODIS sinusoidal cell rather than reproducing it, being anchored to the</w:t>
      </w:r>
      <w:r>
        <w:t xml:space="preserve"> </w:t>
      </w:r>
      <w:r>
        <w:t xml:space="preserve">Landsat/EPSG:4326 reference grid, and marginal blocks are truncated. The cell is square in degrees</w:t>
      </w:r>
      <w:r>
        <w:t xml:space="preserve"> </w:t>
      </w:r>
      <w:r>
        <w:t xml:space="preserve">but not on the ground, about 510 m north to south and 390 to 407 m east to west, so its area is</w:t>
      </w:r>
      <w:r>
        <w:t xml:space="preserve"> </w:t>
      </w:r>
      <w:r>
        <w:t xml:space="preserve">0.199 to 0.208 km² against the native MODIS cell’s 0.215 km² (463 m edge); every block-size label in</w:t>
      </w:r>
      <w:r>
        <w:t xml:space="preserve"> </w:t>
      </w:r>
      <w:r>
        <w:t xml:space="preserve">this paper is therefore the north-south dimension. The collar step of 0.45 km per cell (Section 3.12)</w:t>
      </w:r>
      <w:r>
        <w:t xml:space="preserve"> </w:t>
      </w:r>
      <w:r>
        <w:t xml:space="preserve">is a single value between the cell’s two dimensions, so collar radii are nominal to within about 15 %.</w:t>
      </w:r>
    </w:p>
    <w:p>
      <w:pPr>
        <w:pStyle w:val="BodyText"/>
      </w:pPr>
      <w:r>
        <w:t xml:space="preserve">A cell’s representative burn date is the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 positive sub-pixel day-of-year values in</w:t>
      </w:r>
      <w:r>
        <w:t xml:space="preserve"> </w:t>
      </w:r>
      <w:r>
        <w:t xml:space="preserve">the block, tested against the region’s label window. Because the exported raster carries no</w:t>
      </w:r>
      <w:r>
        <w:t xml:space="preserve"> </w:t>
      </w:r>
      <w:r>
        <w:t xml:space="preserve">out-of-window positives, in this dataset a single in-window positive sub-pixel makes the cell burned. That dilates each scar by</w:t>
      </w:r>
      <w:r>
        <w:t xml:space="preserve"> </w:t>
      </w:r>
      <w:r>
        <w:t xml:space="preserve">up to one cell at its edge, and it can mark a water cell burned where the product does; the primary</w:t>
      </w:r>
      <w:r>
        <w:t xml:space="preserve"> </w:t>
      </w:r>
      <w:r>
        <w:t xml:space="preserve">population keeps only cells dominated by natural vegetation, which excludes water.</w:t>
      </w:r>
      <w:r>
        <w:t xml:space="preserve"> </w:t>
      </w:r>
      <w:r>
        <w:t xml:space="preserve">The fraction of positive sub-pixels agreeing with the modal date is recorded as</w:t>
      </w:r>
      <w:r>
        <w:t xml:space="preserve"> </w:t>
      </w:r>
      <w:r>
        <w:rPr>
          <w:rStyle w:val="VerbatimChar"/>
        </w:rPr>
        <w:t xml:space="preserve">burn_date_pixel_agreement_fraction</w:t>
      </w:r>
      <w:r>
        <w:t xml:space="preserve"> </w:t>
      </w:r>
      <w:r>
        <w:t xml:space="preserve">but no agreement threshold is imposed. The label never affects a</w:t>
      </w:r>
      <w:r>
        <w:t xml:space="preserve"> </w:t>
      </w:r>
      <w:r>
        <w:t xml:space="preserve">cell’s eligibility for modelling: unburned, all-no-data and out-of-window cells all remain as the</w:t>
      </w:r>
      <w:r>
        <w:t xml:space="preserve"> </w:t>
      </w:r>
      <w:r>
        <w:t xml:space="preserve">negative class.</w:t>
      </w:r>
    </w:p>
    <w:p>
      <w:pPr>
        <w:pStyle w:val="BodyText"/>
      </w:pPr>
      <w:r>
        <w:t xml:space="preserve">Earlier burning is handled unevenly and is stated region by region in Section S3.1.1. The only</w:t>
      </w:r>
      <w:r>
        <w:t xml:space="preserve"> </w:t>
      </w:r>
      <w:r>
        <w:t xml:space="preserve">historical exclusion applied by design removes the 2021 Muğla scar from the 2022 event-relative</w:t>
      </w:r>
      <w:r>
        <w:t xml:space="preserve"> </w:t>
      </w:r>
      <w:r>
        <w:t xml:space="preserve">experiment of Section 3.14.</w:t>
      </w:r>
    </w:p>
    <w:p>
      <w:pPr>
        <w:pStyle w:val="BodyText"/>
      </w:pPr>
      <w:r>
        <w:t xml:space="preserve">Before any modelling each region passes a gate that answers one question: of the cells labelled</w:t>
      </w:r>
      <w:r>
        <w:t xml:space="preserve"> </w:t>
      </w:r>
      <w:r>
        <w:t xml:space="preserve">burned, what fraction is dominated by natural vegetation? A region is admitted as a wildfire</w:t>
      </w:r>
      <w:r>
        <w:t xml:space="preserve"> </w:t>
      </w:r>
      <w:r>
        <w:t xml:space="preserve">candidate when that fraction reaches 0.50 and at least 30 burned cells are present, and is rejected</w:t>
      </w:r>
      <w:r>
        <w:t xml:space="preserve"> </w:t>
      </w:r>
      <w:r>
        <w:t xml:space="preserve">as a cropland-dominated control when the cropland fraction reaches 0.50 instead. The gate uses ESA</w:t>
      </w:r>
      <w:r>
        <w:t xml:space="preserve"> </w:t>
      </w:r>
      <w:r>
        <w:t xml:space="preserve">WorldCover classes aggregated to the same reconstructed cells. Its purpose is to separate burned area</w:t>
      </w:r>
      <w:r>
        <w:t xml:space="preserve"> </w:t>
      </w:r>
      <w:r>
        <w:t xml:space="preserve">produced by natural-fuel combustion from burned area produced by post-harvest stubble burning, which</w:t>
      </w:r>
      <w:r>
        <w:t xml:space="preserve"> </w:t>
      </w:r>
      <w:r>
        <w:t xml:space="preserve">MCD64A1 does not distinguish. Verdicts are reported in Section 4.1.</w:t>
      </w:r>
    </w:p>
    <w:bookmarkStart w:id="51" w:name="X0187690c157fe859747169913e873649982fd09"/>
    <w:p>
      <w:pPr>
        <w:pStyle w:val="Heading3"/>
      </w:pPr>
      <w:r>
        <w:t xml:space="preserve">S3.1.1 Pre-label and historical burning, by region</w:t>
      </w:r>
    </w:p>
    <w:p>
      <w:pPr>
        <w:pStyle w:val="FirstParagraph"/>
      </w:pPr>
      <w:r>
        <w:t xml:space="preserve">Two kinds of earlier burning can contaminate a label.</w:t>
      </w:r>
      <w:r>
        <w:t xml:space="preserve"> </w:t>
      </w:r>
      <w:r>
        <w:rPr>
          <w:b/>
          <w:bCs/>
        </w:rPr>
        <w:t xml:space="preserve">Pre-label burning</w:t>
      </w:r>
      <w:r>
        <w:t xml:space="preserve"> </w:t>
      </w:r>
      <w:r>
        <w:t xml:space="preserve">is burning inside the</w:t>
      </w:r>
      <w:r>
        <w:t xml:space="preserve"> </w:t>
      </w:r>
      <w:r>
        <w:t xml:space="preserve">region’s own predictor window, which the pipeline can remove from the analysis universe.</w:t>
      </w:r>
      <w:r>
        <w:t xml:space="preserve"> </w:t>
      </w:r>
      <w:r>
        <w:rPr>
          <w:b/>
          <w:bCs/>
        </w:rPr>
        <w:t xml:space="preserve">Historical</w:t>
      </w:r>
      <w:r>
        <w:rPr>
          <w:b/>
          <w:bCs/>
        </w:rPr>
        <w:t xml:space="preserve"> </w:t>
      </w:r>
      <w:r>
        <w:rPr>
          <w:b/>
          <w:bCs/>
        </w:rPr>
        <w:t xml:space="preserve">burning</w:t>
      </w:r>
      <w:r>
        <w:t xml:space="preserve"> </w:t>
      </w:r>
      <w:r>
        <w:t xml:space="preserve">is burning in the five preceding years, which no region screens for. Table S34 gives both,</w:t>
      </w:r>
      <w:r>
        <w:t xml:space="preserve"> </w:t>
      </w:r>
      <w:r>
        <w:t xml:space="preserve">recomputed from the MCD64A1 export of each region (</w:t>
      </w:r>
      <w:r>
        <w:rPr>
          <w:rStyle w:val="VerbatimChar"/>
        </w:rPr>
        <w:t xml:space="preserve">paper/code/ems_labels_1_prelabel.py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ems_labels_2_history.py</w:t>
      </w:r>
      <w:r>
        <w:t xml:space="preserve">; outputs</w:t>
      </w:r>
      <w:r>
        <w:t xml:space="preserve"> </w:t>
      </w:r>
      <w:r>
        <w:rPr>
          <w:rStyle w:val="VerbatimChar"/>
        </w:rPr>
        <w:t xml:space="preserve">paper/labelfix_rerun/labels/r1_prelabel.json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r2_history.json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S34. Earlier burning by region, natural-vegetation population.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40"/>
        <w:gridCol w:w="1904"/>
        <w:gridCol w:w="2407"/>
        <w:gridCol w:w="1904"/>
        <w:gridCol w:w="2016"/>
      </w:tblGrid>
      <w:tr>
        <w:trPr>
          <w:tblHeader w:val="on"/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Pre-label cells removed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Pre-label burned cells retained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Historical-burn cells (five years)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… of which burned again in the event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none needed (no pre-label burning)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exclusion not applied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48 (49 in all valid cells; 10 burned again)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163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49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194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366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61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58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32</w:t>
            </w:r>
          </w:p>
        </w:tc>
      </w:tr>
    </w:tbl>
    <w:p>
      <w:pPr>
        <w:pStyle w:val="BodyText"/>
      </w:pPr>
      <w:r>
        <w:t xml:space="preserve">Excluding the historical-burn cells lowers the mean paired transfer contribution from +0.007 to</w:t>
      </w:r>
      <w:r>
        <w:t xml:space="preserve"> </w:t>
      </w:r>
      <w:r>
        <w:t xml:space="preserve">+0.003 (at 10-cell blocking, 5 positive, 4 negative and 11 uncertain verdicts against 6, 5 and 9), and</w:t>
      </w:r>
      <w:r>
        <w:t xml:space="preserve"> </w:t>
      </w:r>
      <w:r>
        <w:t xml:space="preserve">leaves the within-region increment positive with interval support in every region, at +0.062 (no</w:t>
      </w:r>
      <w:r>
        <w:t xml:space="preserve"> </w:t>
      </w:r>
      <w:r>
        <w:t xml:space="preserve">change), +0.055, +0.088, +0.162 and +0.111 for Manavgat, Bejís, Muğla, Evia and Montiferru.</w:t>
      </w:r>
    </w:p>
    <w:bookmarkEnd w:id="51"/>
    <w:bookmarkStart w:id="52" w:name="s3.1.2-the-manavgat-label-correction"/>
    <w:p>
      <w:pPr>
        <w:pStyle w:val="Heading3"/>
      </w:pPr>
      <w:r>
        <w:t xml:space="preserve">S3.1.2 The Manavgat label correction</w:t>
      </w:r>
    </w:p>
    <w:p>
      <w:pPr>
        <w:pStyle w:val="FirstParagraph"/>
      </w:pPr>
      <w:r>
        <w:rPr>
          <w:b/>
          <w:bCs/>
        </w:rPr>
        <w:t xml:space="preserve">The Manavgat 2021 label is a corrected one.</w:t>
      </w:r>
      <w:r>
        <w:t xml:space="preserve"> </w:t>
      </w:r>
      <w:r>
        <w:t xml:space="preserve">The label first used for Manavgat was exported on</w:t>
      </w:r>
      <w:r>
        <w:t xml:space="preserve"> </w:t>
      </w:r>
      <w:r>
        <w:t xml:space="preserve">8 July 2026. That was before the month-alignment fix to the MCD64A1 query (commit 183be42, 11 July),</w:t>
      </w:r>
      <w:r>
        <w:t xml:space="preserve"> </w:t>
      </w:r>
      <w:r>
        <w:t xml:space="preserve">and the export was never renewed. It therefore missed the fire’s first four days, 28 to 31 July.</w:t>
      </w:r>
      <w:r>
        <w:t xml:space="preserve"> </w:t>
      </w:r>
      <w:r>
        <w:t xml:space="preserve">The defect was a stale export, not a code error. The corrected label only adds burned cells. No</w:t>
      </w:r>
      <w:r>
        <w:t xml:space="preserve"> </w:t>
      </w:r>
      <w:r>
        <w:t xml:space="preserve">cell burned under the original label becomes unburned, and no predictor or validity flag changes.</w:t>
      </w:r>
      <w:r>
        <w:t xml:space="preserve"> </w:t>
      </w:r>
      <w:r>
        <w:t xml:space="preserve">In the primary population the burned count rises from 784 to 2,935. The Manavgat outputs were</w:t>
      </w:r>
      <w:r>
        <w:t xml:space="preserve"> </w:t>
      </w:r>
      <w:r>
        <w:t xml:space="preserve">re-frozen with the upstream pipeline at commit 6381f4c, run unchanged except for a one-line patch to</w:t>
      </w:r>
      <w:r>
        <w:t xml:space="preserve"> </w:t>
      </w:r>
      <w:r>
        <w:t xml:space="preserve">the window-closure diagnostic and a runtime override of the Earth Engine project (</w:t>
      </w:r>
      <w:r>
        <w:rPr>
          <w:rStyle w:val="VerbatimChar"/>
        </w:rPr>
        <w:t xml:space="preserve">thermaltwin</w:t>
      </w:r>
      <w:r>
        <w:t xml:space="preserve">), in</w:t>
      </w:r>
      <w:r>
        <w:t xml:space="preserve"> </w:t>
      </w:r>
      <w:r>
        <w:t xml:space="preserve">Python 3.12.10 with scikit-learn 1.9.0 (pins in</w:t>
      </w:r>
      <w:r>
        <w:t xml:space="preserve"> </w:t>
      </w:r>
      <w:r>
        <w:rPr>
          <w:rStyle w:val="VerbatimChar"/>
        </w:rPr>
        <w:t xml:space="preserve">ENVIRONMENT.md</w:t>
      </w:r>
      <w:r>
        <w:t xml:space="preserve">). The correction, the re-freeze and</w:t>
      </w:r>
      <w:r>
        <w:t xml:space="preserve"> </w:t>
      </w:r>
      <w:r>
        <w:t xml:space="preserve">its control arm were carried out by the corresponding author with AI-assisted code (Section 3.13); they</w:t>
      </w:r>
      <w:r>
        <w:t xml:space="preserve"> </w:t>
      </w:r>
      <w:r>
        <w:t xml:space="preserve">were not independently repeated by the author of the pipeline. That pipeline version</w:t>
      </w:r>
      <w:r>
        <w:t xml:space="preserve"> </w:t>
      </w:r>
      <w:r>
        <w:t xml:space="preserve">writes one extra column, a flag for burning in earlier years, and it excludes no Manavgat cell. A</w:t>
      </w:r>
      <w:r>
        <w:t xml:space="preserve"> </w:t>
      </w:r>
      <w:r>
        <w:t xml:space="preserve">control arm re-froze the original label with the same code and environment and reproduced the</w:t>
      </w:r>
      <w:r>
        <w:t xml:space="preserve"> </w:t>
      </w:r>
      <w:r>
        <w:t xml:space="preserve">published outputs to within 10⁻⁵. The exceptions are listed in the manifest: file paths, the column</w:t>
      </w:r>
      <w:r>
        <w:t xml:space="preserve"> </w:t>
      </w:r>
      <w:r>
        <w:t xml:space="preserve">list, and one legacy pair that differs at the level of random-forest thread nondeterminism. Differences between the two arms are therefore attributable to the label alone.</w:t>
      </w:r>
      <w:r>
        <w:t xml:space="preserve"> </w:t>
      </w:r>
      <w:r>
        <w:t xml:space="preserve">The reproduction check of Section 3.13 covers the re-frozen outputs. The manifest, hashes and</w:t>
      </w:r>
      <w:r>
        <w:t xml:space="preserve"> </w:t>
      </w:r>
      <w:r>
        <w:t xml:space="preserve">runner scripts are released under</w:t>
      </w:r>
      <w:r>
        <w:t xml:space="preserve"> </w:t>
      </w:r>
      <w:r>
        <w:rPr>
          <w:rStyle w:val="VerbatimChar"/>
        </w:rPr>
        <w:t xml:space="preserve">paper/data/manavgat_2021/refreeze/</w:t>
      </w:r>
      <w:r>
        <w:t xml:space="preserve">.</w:t>
      </w:r>
    </w:p>
    <w:bookmarkEnd w:id="52"/>
    <w:bookmarkStart w:id="53" w:name="s3.1.3-effect-on-table-1"/>
    <w:p>
      <w:pPr>
        <w:pStyle w:val="Heading3"/>
      </w:pPr>
      <w:r>
        <w:t xml:space="preserve">S3.1.3 Effect on Table 1</w:t>
      </w:r>
    </w:p>
    <w:p>
      <w:pPr>
        <w:pStyle w:val="FirstParagraph"/>
      </w:pPr>
      <w:r>
        <w:t xml:space="preserve">The Manavgat rows are computed on the corrected label. It adds burned cells, 784 to 2,935 in the</w:t>
      </w:r>
      <w:r>
        <w:t xml:space="preserve"> </w:t>
      </w:r>
      <w:r>
        <w:t xml:space="preserve">primary population, and changes no predictor (Section 3.2). The rows strengthen rather than weaken.</w:t>
      </w:r>
      <w:r>
        <w:t xml:space="preserve"> </w:t>
      </w:r>
      <w:r>
        <w:t xml:space="preserve">Absolute AUCs rise by 0.04 to 0.11 across the three block sizes, and the increment holds at every</w:t>
      </w:r>
      <w:r>
        <w:t xml:space="preserve"> </w:t>
      </w:r>
      <w:r>
        <w:t xml:space="preserve">scale. The 1 km interval narrows from [+0.055, +0.079] to [+0.060, +0.073], because the region now</w:t>
      </w:r>
      <w:r>
        <w:t xml:space="preserve"> </w:t>
      </w:r>
      <w:r>
        <w:t xml:space="preserve">carries 814 positive-carrying 2-cell blocks rather than 235.</w:t>
      </w:r>
    </w:p>
    <w:bookmarkEnd w:id="53"/>
    <w:bookmarkEnd w:id="54"/>
    <w:bookmarkStart w:id="55" w:name="X14ca69bbebde8a5864f7a13a03352256b1aa046"/>
    <w:p>
      <w:pPr>
        <w:pStyle w:val="Heading2"/>
      </w:pPr>
      <w:r>
        <w:t xml:space="preserve">S3.2 Transferability diagnostics versus transfer</w:t>
      </w:r>
    </w:p>
    <w:p>
      <w:pPr>
        <w:pStyle w:val="FirstParagraph"/>
      </w:pPr>
      <w:r>
        <w:t xml:space="preserve">Twenty candidate diagnostics from five families are each rank-correlated against the same target</w:t>
      </w:r>
      <w:r>
        <w:t xml:space="preserve"> </w:t>
      </w:r>
      <w:r>
        <w:t xml:space="preserve">quantity, the raw thermal transfer AUC over the twenty ordered directions, under one common</w:t>
      </w:r>
      <w:r>
        <w:t xml:space="preserve"> </w:t>
      </w:r>
      <w:r>
        <w:t xml:space="preserve">pair-based bootstrap. The families are marginal predictor-distribution measures P(ix), burned-niche</w:t>
      </w:r>
      <w:r>
        <w:t xml:space="preserve"> </w:t>
      </w:r>
      <w:r>
        <w:t xml:space="preserve">overlap P(x|y=1), fire-regime label-pattern structure P(y), and conditional feature-response</w:t>
      </w:r>
      <w:r>
        <w:t xml:space="preserve"> </w:t>
      </w:r>
      <w:r>
        <w:t xml:space="preserve">direction P(y|x).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family includes area-of-applicability-style dissimilarity in scaled,</w:t>
      </w:r>
      <w:r>
        <w:t xml:space="preserve"> </w:t>
      </w:r>
      <w:r>
        <w:t xml:space="preserve">importance-weighted predictor space</w:t>
      </w:r>
      <w:r>
        <w:t xml:space="preserve"> </w:t>
      </w:r>
      <w:r>
        <w:t xml:space="preserve">(Meyer and Pebesma 2021, 2022; Ludwig et al. 2023)</w:t>
      </w:r>
      <w:r>
        <w:t xml:space="preserve">, climatic and geographic</w:t>
      </w:r>
      <w:r>
        <w:t xml:space="preserve"> </w:t>
      </w:r>
      <w:r>
        <w:t xml:space="preserve">distance, and a learned domain classifier trained to separate source from target cells. The</w:t>
      </w:r>
      <w:r>
        <w:t xml:space="preserve"> </w:t>
      </w:r>
      <w:r>
        <w:rPr>
          <w:b/>
          <w:bCs/>
        </w:rPr>
        <w:t xml:space="preserve">niche-overlap</w:t>
      </w:r>
      <w:r>
        <w:t xml:space="preserve"> </w:t>
      </w:r>
      <w:r>
        <w:t xml:space="preserve">family includes Schoener’s D</w:t>
      </w:r>
      <w:r>
        <w:t xml:space="preserve"> </w:t>
      </w:r>
      <w:r>
        <w:t xml:space="preserve">(Schoener 1968)</w:t>
      </w:r>
      <w:r>
        <w:t xml:space="preserve"> </w:t>
      </w:r>
      <w:r>
        <w:t xml:space="preserve">and Warren’s I</w:t>
      </w:r>
      <w:r>
        <w:t xml:space="preserve"> </w:t>
      </w:r>
      <w:r>
        <w:t xml:space="preserve">(Warren et al. 2008)</w:t>
      </w:r>
      <w:r>
        <w:t xml:space="preserve"> </w:t>
      </w:r>
      <w:r>
        <w:t xml:space="preserve">over the burned cells of each region.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regime</w:t>
      </w:r>
      <w:r>
        <w:t xml:space="preserve"> </w:t>
      </w:r>
      <w:r>
        <w:t xml:space="preserve">family includes burned-patch component counts and effective component counts.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family is the sign-agreement index: the fraction of predictors whose signed</w:t>
      </w:r>
      <w:r>
        <w:t xml:space="preserve"> </w:t>
      </w:r>
      <w:r>
        <w:t xml:space="preserve">univariate association points the same way in both regions, computed over all predictors and over</w:t>
      </w:r>
      <w:r>
        <w:t xml:space="preserve"> </w:t>
      </w:r>
      <w:r>
        <w:t xml:space="preserve">the subset whose associations are individually interval-supported.</w:t>
      </w:r>
    </w:p>
    <w:p>
      <w:pPr>
        <w:pStyle w:val="BodyText"/>
      </w:pPr>
      <w:r>
        <w:t xml:space="preserve">Two properties of this design are stated in advance because they bound what it can show. The</w:t>
      </w:r>
      <w:r>
        <w:t xml:space="preserve"> </w:t>
      </w:r>
      <w:r>
        <w:t xml:space="preserve">candidate set is recorded in the project repository on 8 August 2026 (commit d0b20af), in the same</w:t>
      </w:r>
      <w:r>
        <w:t xml:space="preserve"> </w:t>
      </w:r>
      <w:r>
        <w:t xml:space="preserve">commit as its results under the original label, and was not re-selected after the label correction;</w:t>
      </w:r>
      <w:r>
        <w:t xml:space="preserve"> </w:t>
      </w:r>
      <w:r>
        <w:t xml:space="preserve">this is a record, not a pre-registration. And with five</w:t>
      </w:r>
      <w:r>
        <w:t xml:space="preserve"> </w:t>
      </w:r>
      <w:r>
        <w:t xml:space="preserve">regions the effective sample is ten unordered pairs, so nineteen computed variants are evaluated at</w:t>
      </w:r>
      <w:r>
        <w:t xml:space="preserve"> </w:t>
      </w:r>
      <w:r>
        <w:t xml:space="preserve">that power with no family-wise error control claimed; where a diagnostic clears an interval test but</w:t>
      </w:r>
      <w:r>
        <w:t xml:space="preserve"> </w:t>
      </w:r>
      <w:r>
        <w:t xml:space="preserve">not a Bonferroni threshold, both are reported.</w:t>
      </w:r>
    </w:p>
    <w:bookmarkEnd w:id="55"/>
    <w:bookmarkStart w:id="56" w:name="Xb9fe7c08312f968ea6f251d07b2866d86307a9c"/>
    <w:p>
      <w:pPr>
        <w:pStyle w:val="Heading2"/>
      </w:pPr>
      <w:r>
        <w:t xml:space="preserve">S3.3 Same-geography event-to-event comparison (Muğla 2021 versus 2022)</w:t>
      </w:r>
    </w:p>
    <w:p>
      <w:pPr>
        <w:pStyle w:val="FirstParagraph"/>
      </w:pPr>
      <w:r>
        <w:t xml:space="preserve">Muğla is the one region for which a second fire event is analysed on the identical AOI and analysis</w:t>
      </w:r>
      <w:r>
        <w:t xml:space="preserve"> </w:t>
      </w:r>
      <w:r>
        <w:t xml:space="preserve">grid, which allows the direction of feature-label associations to be compared with geography held</w:t>
      </w:r>
      <w:r>
        <w:t xml:space="preserve"> </w:t>
      </w:r>
      <w:r>
        <w:t xml:space="preserve">fixed. The 2022 experiment is registered with windows anchored to its own event: a 58-day predictor</w:t>
      </w:r>
      <w:r>
        <w:t xml:space="preserve"> </w:t>
      </w:r>
      <w:r>
        <w:t xml:space="preserve">window closing the day before ignition and a 49-day label window opening on it, matching the 2021</w:t>
      </w:r>
      <w:r>
        <w:t xml:space="preserve"> </w:t>
      </w:r>
      <w:r>
        <w:t xml:space="preserve">durations exactly.</w:t>
      </w:r>
    </w:p>
    <w:p>
      <w:pPr>
        <w:pStyle w:val="BodyText"/>
      </w:pPr>
      <w:r>
        <w:rPr>
          <w:b/>
          <w:bCs/>
        </w:rPr>
        <w:t xml:space="preserve">This is not a clean temporal-transfer design and is not presented as one.</w:t>
      </w:r>
      <w:r>
        <w:t xml:space="preserve"> </w:t>
      </w:r>
      <w:r>
        <w:t xml:space="preserve">The 2022 event ignites</w:t>
      </w:r>
      <w:r>
        <w:t xml:space="preserve"> </w:t>
      </w:r>
      <w:r>
        <w:t xml:space="preserve">about six weeks earlier in the season than the 2021 event, so calendar year and seasonal phase are</w:t>
      </w:r>
      <w:r>
        <w:t xml:space="preserve"> </w:t>
      </w:r>
      <w:r>
        <w:t xml:space="preserve">confounded and no difference can be attributed to the year alone. The registered claim is</w:t>
      </w:r>
      <w:r>
        <w:t xml:space="preserve"> </w:t>
      </w:r>
      <w:r>
        <w:t xml:space="preserve">same-geography event-to-event. The pair is deliberately kept out of the twenty-direction matrix, and</w:t>
      </w:r>
      <w:r>
        <w:t xml:space="preserve"> </w:t>
      </w:r>
      <w:r>
        <w:t xml:space="preserve">that exclusion is enforced in released code rather than merely asserted here.</w:t>
      </w:r>
    </w:p>
    <w:p>
      <w:pPr>
        <w:pStyle w:val="BodyText"/>
      </w:pPr>
      <w:r>
        <w:t xml:space="preserve">Two further properties bound the comparison. A historical-burn exclusion applies to the 2022 arm</w:t>
      </w:r>
      <w:r>
        <w:t xml:space="preserve"> </w:t>
      </w:r>
      <w:r>
        <w:t xml:space="preserve">alone, masking every cell that burned in 2021 so the previous year’s scar does not enter the</w:t>
      </w:r>
      <w:r>
        <w:t xml:space="preserve"> </w:t>
      </w:r>
      <w:r>
        <w:t xml:space="preserve">following year’s analysis: it removes 3,073 cells, of which 2,941 belong to the primary population,</w:t>
      </w:r>
      <w:r>
        <w:t xml:space="preserve"> </w:t>
      </w:r>
      <w:r>
        <w:t xml:space="preserve">taking it from 41,730 rows to 38,790, a drop of 7.0 %. The two arms therefore share 38,789 of 38,790</w:t>
      </w:r>
      <w:r>
        <w:t xml:space="preserve"> </w:t>
      </w:r>
      <w:r>
        <w:t xml:space="preserve">cells and three byte-identical static predictors, and in the 2022-to-2021 direction every target</w:t>
      </w:r>
      <w:r>
        <w:t xml:space="preserve"> </w:t>
      </w:r>
      <w:r>
        <w:t xml:space="preserve">positive lies outside the source training population. Section S1.13 states what follows for how these</w:t>
      </w:r>
      <w:r>
        <w:t xml:space="preserve"> </w:t>
      </w:r>
      <w:r>
        <w:t xml:space="preserve">two numbers may be read.</w:t>
      </w:r>
    </w:p>
    <w:p>
      <w:pPr>
        <w:pStyle w:val="BodyText"/>
        <w:keepNext/>
      </w:pPr>
      <w:r>
        <w:rPr>
          <w:b/>
          <w:bCs/>
        </w:rPr>
        <w:t xml:space="preserve">Table S19. Study regions, areas of interest and temporal windows.</w:t>
      </w:r>
      <w:r>
        <w:t xml:space="preserve"> </w:t>
      </w:r>
      <w:r>
        <w:t xml:space="preserve">Bounding boxes are in EPSG:4326,</w:t>
      </w:r>
      <w:r>
        <w:t xml:space="preserve"> </w:t>
      </w:r>
      <w:r>
        <w:t xml:space="preserve">as registered. Window lengths in brackets are inclusive day counts. The baseline years are the four</w:t>
      </w:r>
      <w:r>
        <w:t xml:space="preserve"> </w:t>
      </w:r>
      <w:r>
        <w:t xml:space="preserve">window-symmetric years preceding each predictor window.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86"/>
        <w:gridCol w:w="2831"/>
        <w:gridCol w:w="1791"/>
        <w:gridCol w:w="1791"/>
        <w:gridCol w:w="1271"/>
      </w:tblGrid>
      <w:tr>
        <w:trPr>
          <w:tblHeader w:val="on"/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Bounding box (lon min, lat min, lon max, lat max)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Predictor window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Label window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years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 (Türkiye)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31.05, 36.72, 31.85, 37.35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2021-06-01 to 2021-07-27 (57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2021-07-28 to 2021-08-31 (35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 (Spain)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-1.05, 39.68, -0.35, 40.15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2022-06-15 to 2022-08-14 (61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2022-08-15 to 2022-09-30 (47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2018, 2019, 2020, 2021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 (Türkiye)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27.1, 36.6, 28.9, 37.45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2021-06-01 to 2021-07-28 (58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2021-07-29 to 2021-09-15 (49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 (Greece)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23.05, 38.55, 23.85, 39.15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2021-06-05 to 2021-08-02 (59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2021-08-03 to 2021-09-30 (59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 (Italy)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8.45, 40.05, 8.75, 40.27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2021-05-25 to 2021-07-23 (60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2021-07-24 to 2021-08-31 (39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</w:tbl>
    <w:bookmarkEnd w:id="56"/>
    <w:bookmarkStart w:id="57" w:name="X22ccedc7bb5c833a610874f39c5377f7d0b97b2"/>
    <w:p>
      <w:pPr>
        <w:pStyle w:val="Heading2"/>
      </w:pPr>
      <w:r>
        <w:t xml:space="preserve">S3.4 Predictor provenance, compositing and the downscaler</w:t>
      </w:r>
    </w:p>
    <w:p>
      <w:pPr>
        <w:pStyle w:val="FirstParagraph"/>
      </w:pPr>
      <w:r>
        <w:t xml:space="preserve">Ten predictors are used, four baseline and six thermal, all summarised per cell over the predictor</w:t>
      </w:r>
      <w:r>
        <w:t xml:space="preserve"> </w:t>
      </w:r>
      <w:r>
        <w:t xml:space="preserve">window, through the chain shown in Fig. 2. All optical and thermal predictors come from Landsat 8 Collection 2 Level-2</w:t>
      </w:r>
      <w:r>
        <w:t xml:space="preserve"> </w:t>
      </w:r>
      <w:r>
        <w:t xml:space="preserve">(</w:t>
      </w:r>
      <w:r>
        <w:rPr>
          <w:rStyle w:val="VerbatimChar"/>
        </w:rPr>
        <w:t xml:space="preserve">LANDSAT/LC08/C02/T1_L2</w:t>
      </w:r>
      <w:r>
        <w:t xml:space="preserve">), quality-screened per pixel from the</w:t>
      </w:r>
      <w:r>
        <w:t xml:space="preserve"> </w:t>
      </w:r>
      <w:r>
        <w:rPr>
          <w:rStyle w:val="VerbatimChar"/>
        </w:rPr>
        <w:t xml:space="preserve">QA_PIXEL</w:t>
      </w:r>
      <w:r>
        <w:t xml:space="preserve"> </w:t>
      </w:r>
      <w:r>
        <w:t xml:space="preserve">band with the water bit</w:t>
      </w:r>
      <w:r>
        <w:t xml:space="preserve"> </w:t>
      </w:r>
      <w:r>
        <w:t xml:space="preserve">deliberately preserved; the coarse-resolution thermal input is</w:t>
      </w:r>
      <w:r>
        <w:t xml:space="preserve"> </w:t>
      </w:r>
      <w:r>
        <w:rPr>
          <w:rStyle w:val="VerbatimChar"/>
        </w:rPr>
        <w:t xml:space="preserve">MODIS/061/MOD11A1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NDVI</w:t>
      </w:r>
      <w:r>
        <w:t xml:space="preserve">, the predictor-window median of Landsat surface reflectance, is the baseline’s one</w:t>
      </w:r>
      <w:r>
        <w:t xml:space="preserve"> </w:t>
      </w:r>
      <w:r>
        <w:t xml:space="preserve">time-varying member.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Elevation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come from the Copernicus DEM GLO-30, whose heights are referenced to</w:t>
      </w:r>
      <w:r>
        <w:t xml:space="preserve"> </w:t>
      </w:r>
      <w:r>
        <w:t xml:space="preserve">the EGM2008 geoid (EPSG:3855) in metres according to the product handbook; the pipeline applies no</w:t>
      </w:r>
      <w:r>
        <w:t xml:space="preserve"> </w:t>
      </w:r>
      <w:r>
        <w:t xml:space="preserve">datum conversion.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Land cover</w:t>
      </w:r>
      <w:r>
        <w:t xml:space="preserve"> </w:t>
      </w:r>
      <w:r>
        <w:t xml:space="preserve">is ESA WorldCover v200</w:t>
      </w:r>
      <w:r>
        <w:t xml:space="preserve"> </w:t>
      </w:r>
      <w:r>
        <w:t xml:space="preserve">(Zanaga et al. 2022)</w:t>
      </w:r>
      <w:r>
        <w:t xml:space="preserve">, entering as the dominant class code.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LST</w:t>
      </w:r>
      <w:r>
        <w:t xml:space="preserve">, the predictor-window median of Landsat surface temperature in °C.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LST anomaly</w:t>
      </w:r>
      <w:r>
        <w:t xml:space="preserve">, a z-score of the current-window LST median against the four baseline years,</w:t>
      </w:r>
      <w:r>
        <w:t xml:space="preserve"> </w:t>
      </w:r>
      <w:r>
        <w:t xml:space="preserve">set to no-data where the baseline standard deviation is below 1.0 °C or observations are too few.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TVDI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TVDI difference</w:t>
      </w:r>
      <w:r>
        <w:t xml:space="preserve">. The Temperature-Vegetation Dryness Index</w:t>
      </w:r>
      <w:r>
        <w:t xml:space="preserve"> </w:t>
      </w:r>
      <w:r>
        <w:t xml:space="preserve">(Sandholt et al. 2002)</w:t>
      </w:r>
      <w:r>
        <w:t xml:space="preserve"> </w:t>
      </w:r>
      <w:r>
        <w:t xml:space="preserve">is</w:t>
      </w:r>
      <w:r>
        <w:t xml:space="preserve"> </w:t>
      </w:r>
      <w:r>
        <w:t xml:space="preserve">computed in the LST-NDVI feature space, with wet and dry edges taken as the 2nd and 98th LST</w:t>
      </w:r>
      <w:r>
        <w:t xml:space="preserve"> </w:t>
      </w:r>
      <w:r>
        <w:t xml:space="preserve">percentiles within each of twenty NDVI bins and the index clamped to [0, 1]. The edges are</w:t>
      </w:r>
      <w:r>
        <w:t xml:space="preserve"> </w:t>
      </w:r>
      <w:r>
        <w:t xml:space="preserve">percentiles of the LST values a given scene contains, so they are fitted per AOI and per window,</w:t>
      </w:r>
      <w:r>
        <w:t xml:space="preserve"> </w:t>
      </w:r>
      <w:r>
        <w:t xml:space="preserve">and a TVDI of 0.5 denotes a different physical moisture state in each region.</w:t>
      </w:r>
      <w:r>
        <w:t xml:space="preserve"> </w:t>
      </w:r>
      <w:r>
        <w:rPr>
          <w:b/>
          <w:bCs/>
        </w:rPr>
        <w:t xml:space="preserve">TVDI difference</w:t>
      </w:r>
      <w:r>
        <w:t xml:space="preserve"> </w:t>
      </w:r>
      <w:r>
        <w:t xml:space="preserve">is the raw</w:t>
      </w:r>
      <w:r>
        <w:t xml:space="preserve"> </w:t>
      </w:r>
      <w:r>
        <w:t xml:space="preserve">anomaly of that index against the same four window-symmetric baseline years used for the LST</w:t>
      </w:r>
      <w:r>
        <w:t xml:space="preserve"> </w:t>
      </w:r>
      <w:r>
        <w:t xml:space="preserve">anomaly:</w:t>
      </w:r>
      <w:r>
        <w:t xml:space="preserve"> </w:t>
      </w:r>
      <w:r>
        <w:rPr>
          <w:rStyle w:val="VerbatimChar"/>
        </w:rPr>
        <w:t xml:space="preserve">tvdi_difference = current_tvdi − mean(baseline_tvdi)</w:t>
      </w:r>
      <w:r>
        <w:t xml:space="preserve">, in index units rather than</w:t>
      </w:r>
      <w:r>
        <w:t xml:space="preserve"> </w:t>
      </w:r>
      <w:r>
        <w:t xml:space="preserve">standard deviations, which is why it is reported alongside the z-scored channel rather than in</w:t>
      </w:r>
      <w:r>
        <w:t xml:space="preserve"> </w:t>
      </w:r>
      <w:r>
        <w:t xml:space="preserve">place of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Downscaled LST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fused LST</w:t>
      </w:r>
      <w:r>
        <w:t xml:space="preserve">. A MODIS-to-Landsat downscaling model is trained on the</w:t>
      </w:r>
      <w:r>
        <w:t xml:space="preserve"> </w:t>
      </w:r>
      <w:r>
        <w:t xml:space="preserve">predictor window and applied to the full 30 m grid. The fused product equals observed Landsat LST</w:t>
      </w:r>
      <w:r>
        <w:t xml:space="preserve"> </w:t>
      </w:r>
      <w:r>
        <w:t xml:space="preserve">wherever that is valid, and the downscaled surface only where it is not. Gap-filling therefore</w:t>
      </w:r>
      <w:r>
        <w:t xml:space="preserve"> </w:t>
      </w:r>
      <w:r>
        <w:t xml:space="preserve">never replaces or blends a valid observation. The gap-filled share is 0.11 % to 9.70 % by region. The</w:t>
      </w:r>
      <w:r>
        <w:t xml:space="preserve"> </w:t>
      </w:r>
      <w:r>
        <w:t xml:space="preserve">downscaler’s own inputs include coordinates, which is the one route by which a coordinate-derived</w:t>
      </w:r>
      <w:r>
        <w:t xml:space="preserve"> </w:t>
      </w:r>
      <w:r>
        <w:t xml:space="preserve">surface re-enters a feature set from which Section 3.13 excludes coordinates. Section S1.7</w:t>
      </w:r>
      <w:r>
        <w:t xml:space="preserve"> </w:t>
      </w:r>
      <w:r>
        <w:t xml:space="preserve">reports the increment without these two channels.</w:t>
      </w:r>
    </w:p>
    <w:p>
      <w:pPr>
        <w:pStyle w:val="FirstParagraph"/>
      </w:pPr>
      <w:r>
        <w:rPr>
          <w:b/>
          <w:bCs/>
        </w:rPr>
        <w:t xml:space="preserve">The six thermal channels carry about two signals.</w:t>
      </w:r>
      <w:r>
        <w:t xml:space="preserve"> </w:t>
      </w:r>
      <w:r>
        <w:t xml:space="preserve">In the primary population current, fused and</w:t>
      </w:r>
      <w:r>
        <w:t xml:space="preserve"> </w:t>
      </w:r>
      <w:r>
        <w:t xml:space="preserve">downscaled LST correlate at 0.97 to 1.00 in every region, current LST and TVDI at 0.88 to 0.98, and the</w:t>
      </w:r>
      <w:r>
        <w:t xml:space="preserve"> </w:t>
      </w:r>
      <w:r>
        <w:t xml:space="preserve">two anomaly channels at 0.71 to 0.94. Two principal components of the six hold 92 % to 98 % of their</w:t>
      </w:r>
      <w:r>
        <w:t xml:space="preserve"> </w:t>
      </w:r>
      <w:r>
        <w:t xml:space="preserve">variance, and their participation ratio is 1.6 to 1.8 (</w:t>
      </w:r>
      <w:r>
        <w:rPr>
          <w:rStyle w:val="VerbatimChar"/>
        </w:rPr>
        <w:t xml:space="preserve">paper/labelfix_rerun/labels/r4_dimensionality.json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S20. Input data.</w:t>
      </w:r>
      <w:r>
        <w:t xml:space="preserve"> </w:t>
      </w:r>
      <w:r>
        <w:t xml:space="preserve">All retrieved through Google Earth Engine.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22"/>
        <w:gridCol w:w="3077"/>
        <w:gridCol w:w="545"/>
        <w:gridCol w:w="1667"/>
        <w:gridCol w:w="2660"/>
      </w:tblGrid>
      <w:tr>
        <w:trPr>
          <w:tblHeader w:val="on"/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Input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Product and version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Native resolution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Use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Reference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 area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MODIS MCD64A1 Collection 6.1 (</w:t>
            </w:r>
            <w:r>
              <w:rPr>
                <w:rStyle w:val="VerbatimChar"/>
                <w:sz w:val="20"/>
              </w:rPr>
              <w:t xml:space="preserve">MODIS/061/MCD64A1</w:t>
            </w:r>
            <w:r>
              <w:rPr>
                <w:sz w:val="20"/>
              </w:rPr>
              <w:t xml:space="preserve">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500 m, monthly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label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(Giglio et al. 2018, 2021)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Surface reflectance and temperature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Landsat 8 Collection 2 Level-2 (</w:t>
            </w:r>
            <w:r>
              <w:rPr>
                <w:rStyle w:val="VerbatimChar"/>
                <w:sz w:val="20"/>
              </w:rPr>
              <w:t xml:space="preserve">LANDSAT/LC08/C02/T1_L2</w:t>
            </w:r>
            <w:r>
              <w:rPr>
                <w:sz w:val="20"/>
              </w:rPr>
              <w:t xml:space="preserve">),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QA_PIXEL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screening, water bit preserved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30 m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NDVI, current LST, anomaly, TVDI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(U.S. Geological Survey Earth Resources Observation and Science (EROS) Center 2020)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Coarse LST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MODIS MOD11A1 v061 (</w:t>
            </w:r>
            <w:r>
              <w:rPr>
                <w:rStyle w:val="VerbatimChar"/>
                <w:sz w:val="20"/>
              </w:rPr>
              <w:t xml:space="preserve">MODIS/061/MOD11A1</w:t>
            </w:r>
            <w:r>
              <w:rPr>
                <w:sz w:val="20"/>
              </w:rPr>
              <w:t xml:space="preserve">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 km, daily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downscaled and fused LST (gap-fill 0.11 % to 9.70 %)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(Wan et al. 2021)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Terrain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Copernicus DEM GLO-30 (EGM2008 heights)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30 m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elevation, slope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(European Space Agency 2022)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Land cover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ESA WorldCover v200 (2021)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m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dominant class, gate, population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(Zanaga et al. 2022)</w:t>
            </w:r>
          </w:p>
        </w:tc>
      </w:tr>
    </w:tbl>
    <w:p>
      <w:pPr>
        <w:pStyle w:val="BodyText"/>
      </w:pPr>
      <w:r>
        <w:t xml:space="preserve">Compositing is the predictor-window median; the anomaly channels reference four window-symmetric</w:t>
      </w:r>
      <w:r>
        <w:t xml:space="preserve"> </w:t>
      </w:r>
      <w:r>
        <w:t xml:space="preserve">baseline years (Table S19). WorldCover 2021 post-dates four of the five fires (Section 3.4).</w:t>
      </w:r>
    </w:p>
    <w:bookmarkEnd w:id="57"/>
    <w:bookmarkStart w:id="58" w:name="s3.5-limitations-in-full"/>
    <w:p>
      <w:pPr>
        <w:pStyle w:val="Heading2"/>
      </w:pPr>
      <w:r>
        <w:t xml:space="preserve">S3.5 Limitations, in full</w:t>
      </w:r>
    </w:p>
    <w:p>
      <w:pPr>
        <w:pStyle w:val="FirstParagraph"/>
      </w:pPr>
      <w:r>
        <w:t xml:space="preserve">Section 5.6 lists the limitations that affect the conclusions. All fourteen are given here.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meteorological covariates</w:t>
      </w:r>
      <w:r>
        <w:t xml:space="preserve"> </w:t>
      </w:r>
      <w:r>
        <w:t xml:space="preserve">enter the models, so we cannot say how local skill and</w:t>
      </w:r>
      <w:r>
        <w:t xml:space="preserve"> </w:t>
      </w:r>
      <w:r>
        <w:t xml:space="preserve">portability behave for a mixed thermal-plus-weather predictor set.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same-geography comparison covers one region only</w:t>
      </w:r>
      <w:r>
        <w:t xml:space="preserve">, and even there year and seasonal phase</w:t>
      </w:r>
      <w:r>
        <w:t xml:space="preserve"> </w:t>
      </w:r>
      <w:r>
        <w:t xml:space="preserve">are confounded. That confound cannot be resolved in this study area, and the reason is specific: the</w:t>
      </w:r>
      <w:r>
        <w:t xml:space="preserve"> </w:t>
      </w:r>
      <w:r>
        <w:t xml:space="preserve">two events sit 42 days apart in median burn day-of-year, neither year contains a second event at the</w:t>
      </w:r>
      <w:r>
        <w:t xml:space="preserve"> </w:t>
      </w:r>
      <w:r>
        <w:t xml:space="preserve">other’s phase, and a calendar-matched arm would carry nine burned cells against this design’s gate</w:t>
      </w:r>
      <w:r>
        <w:t xml:space="preserve"> </w:t>
      </w:r>
      <w:r>
        <w:t xml:space="preserve">minimum of thirty. The positive-block count for the 2022 arm is separately below the floor this</w:t>
      </w:r>
      <w:r>
        <w:t xml:space="preserve"> </w:t>
      </w:r>
      <w:r>
        <w:t xml:space="preserve">design sets itself, at eleven against sixteen (Section S1.13). Its 331 burned cells also leave the thermal reversals unresolved at interval level, and</w:t>
      </w:r>
      <w:r>
        <w:t xml:space="preserve"> </w:t>
      </w:r>
      <w:r>
        <w:t xml:space="preserve">the pair holds place fixed but not population. Those two arms were computed with the pipeline’s unmodified code and the same pinned environment</w:t>
      </w:r>
      <w:r>
        <w:t xml:space="preserve"> </w:t>
      </w:r>
      <w:r>
        <w:t xml:space="preserve">rather than read from its frozen export.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All labels derive from a single burned-area product</w:t>
      </w:r>
      <w:r>
        <w:t xml:space="preserve">, MCD64A1</w:t>
      </w:r>
      <w:r>
        <w:t xml:space="preserve"> </w:t>
      </w:r>
      <w:r>
        <w:t xml:space="preserve">(Giglio et al. 2018)</w:t>
      </w:r>
      <w:r>
        <w:t xml:space="preserve">, whose omission</w:t>
      </w:r>
      <w:r>
        <w:t xml:space="preserve"> </w:t>
      </w:r>
      <w:r>
        <w:t xml:space="preserve">and commission characteristics</w:t>
      </w:r>
      <w:r>
        <w:t xml:space="preserve"> </w:t>
      </w:r>
      <w:r>
        <w:t xml:space="preserve">(Boschetti et al. 2019)</w:t>
      </w:r>
      <w:r>
        <w:t xml:space="preserve"> </w:t>
      </w:r>
      <w:r>
        <w:t xml:space="preserve">bound every model evaluated here. Its Mediterranean</w:t>
      </w:r>
      <w:r>
        <w:t xml:space="preserve"> </w:t>
      </w:r>
      <w:r>
        <w:t xml:space="preserve">accuracy has been assessed against reference perimeters</w:t>
      </w:r>
      <w:r>
        <w:t xml:space="preserve"> </w:t>
      </w:r>
      <w:r>
        <w:t xml:space="preserve">(Katagis and Gitas 2022)</w:t>
      </w:r>
      <w:r>
        <w:t xml:space="preserve">. A second 500 m product,</w:t>
      </w:r>
      <w:r>
        <w:t xml:space="preserve"> </w:t>
      </w:r>
      <w:r>
        <w:t xml:space="preserve">VIIRS VNP64A1</w:t>
      </w:r>
      <w:r>
        <w:t xml:space="preserve"> </w:t>
      </w:r>
      <w:r>
        <w:t xml:space="preserve">(Giglio 2024)</w:t>
      </w:r>
      <w:r>
        <w:t xml:space="preserve">, covers both years and was not used as a label sensitivity here.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Evia remains the most imbalance-atypical population</w:t>
      </w:r>
      <w:r>
        <w:t xml:space="preserve"> </w:t>
      </w:r>
      <w:r>
        <w:t xml:space="preserve">even after the AOI extension. Its TSG</w:t>
      </w:r>
      <w:r>
        <w:t xml:space="preserve"> </w:t>
      </w:r>
      <w:r>
        <w:t xml:space="preserve">prevalence is 0.287, the highest in the cohort, against 0.070 to 0.212 in the other four.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Each region contributes one fire season</w:t>
      </w:r>
      <w:r>
        <w:t xml:space="preserve">, so regional concept shift is confounded with event</w:t>
      </w:r>
      <w:r>
        <w:t xml:space="preserve"> </w:t>
      </w:r>
      <w:r>
        <w:t xml:space="preserve">meteorology, and distinguishing them requires multi-year labels.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Point estimates depend on the software version.</w:t>
      </w:r>
      <w:r>
        <w:t xml:space="preserve"> </w:t>
      </w:r>
      <w:r>
        <w:t xml:space="preserve">Rerunning the frame-transfer matrix under</w:t>
      </w:r>
      <w:r>
        <w:t xml:space="preserve"> </w:t>
      </w:r>
      <w:r>
        <w:t xml:space="preserve">scikit-learn 1.5.2 instead of 1.9.0 moves single-direction AUCs by up to 0.023 for the thermal model</w:t>
      </w:r>
      <w:r>
        <w:t xml:space="preserve"> </w:t>
      </w:r>
      <w:r>
        <w:t xml:space="preserve">and 0.047 for the baseline, and paired differences by up to 0.045; the means move by at most 0.003,</w:t>
      </w:r>
      <w:r>
        <w:t xml:space="preserve"> </w:t>
      </w:r>
      <w:r>
        <w:t xml:space="preserve">and one direction changes interval support on each of the as-drawn and 10 km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paper/labelfix_rerun/round7/sklearn152/compare_vs_1_9_0.json</w:t>
      </w:r>
      <w:r>
        <w:t xml:space="preserve">). All reported numbers are fixed to</w:t>
      </w:r>
      <w:r>
        <w:t xml:space="preserve"> </w:t>
      </w:r>
      <w:r>
        <w:t xml:space="preserve">one verified version, and exact reproduction requires the archived environment.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Manavgat’s atypical transfer is localised, not explained, and the localisation rests on one</w:t>
      </w:r>
      <w:r>
        <w:rPr>
          <w:b/>
          <w:bCs/>
        </w:rPr>
        <w:t xml:space="preserve"> </w:t>
      </w:r>
      <w:r>
        <w:rPr>
          <w:b/>
          <w:bCs/>
        </w:rPr>
        <w:t xml:space="preserve">region and one event.</w:t>
      </w:r>
      <w:r>
        <w:t xml:space="preserve"> </w:t>
      </w:r>
      <w:r>
        <w:t xml:space="preserve">Manavgat is the weakest target (0.435), carries the largest matched shortfall</w:t>
      </w:r>
      <w:r>
        <w:t xml:space="preserve"> </w:t>
      </w:r>
      <w:r>
        <w:t xml:space="preserve">(+0.319) and has the most outlying univariate profile in the cohort. Two processing candidates have</w:t>
      </w:r>
      <w:r>
        <w:t xml:space="preserve"> </w:t>
      </w:r>
      <w:r>
        <w:t xml:space="preserve">been tested and neither accounts for it: the quality screening of its coarse thermal input moves no</w:t>
      </w:r>
      <w:r>
        <w:t xml:space="preserve"> </w:t>
      </w:r>
      <w:r>
        <w:t xml:space="preserve">signed association by more than 0.005 (Section S1.5), and the evaluation frame leaves its elevation</w:t>
      </w:r>
      <w:r>
        <w:t xml:space="preserve"> </w:t>
      </w:r>
      <w:r>
        <w:t xml:space="preserve">reversal supported (Section 4.4). Holding elevation reverses</w:t>
      </w:r>
      <w:r>
        <w:t xml:space="preserve"> </w:t>
      </w:r>
      <w:r>
        <w:t xml:space="preserve">its raw LST association (Section S1.11). The low-lying burned cells explain part of it, but this rests on one region and one event.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interval-support measures are less stable than the point estimates behind them.</w:t>
      </w:r>
      <w:r>
        <w:t xml:space="preserve"> </w:t>
      </w:r>
      <w:r>
        <w:t xml:space="preserve">Five</w:t>
      </w:r>
      <w:r>
        <w:t xml:space="preserve"> </w:t>
      </w:r>
      <w:r>
        <w:t xml:space="preserve">to six of the pipeline’s interval bounds lie within 0.01 of 0.5, under both labels. A single such</w:t>
      </w:r>
      <w:r>
        <w:t xml:space="preserve"> </w:t>
      </w:r>
      <w:r>
        <w:t xml:space="preserve">flag, Manavgat’s NDVI, moved the full-frame supported-feature cosine from ρ = 0.49 to 0.70 when two</w:t>
      </w:r>
      <w:r>
        <w:t xml:space="preserve"> </w:t>
      </w:r>
      <w:r>
        <w:t xml:space="preserve">equally valid bootstrap streams disagreed on it. The transfer verdicts are steadier.</w:t>
      </w:r>
      <w:r>
        <w:t xml:space="preserve"> </w:t>
      </w:r>
      <w:r>
        <w:t xml:space="preserve">Across five bootstrap seeds, every verdict at 1 km blocking is stable, and the paired split of twelve</w:t>
      </w:r>
      <w:r>
        <w:t xml:space="preserve"> </w:t>
      </w:r>
      <w:r>
        <w:t xml:space="preserve">positive, seven negative and one uncertain holds on every seed. At 5 km blocking, one level verdict</w:t>
      </w:r>
      <w:r>
        <w:t xml:space="preserve"> </w:t>
      </w:r>
      <w:r>
        <w:t xml:space="preserve">and two paired-delta verdicts change with the seed. Every sentence in this paper that leans on an</w:t>
      </w:r>
      <w:r>
        <w:t xml:space="preserve"> </w:t>
      </w:r>
      <w:r>
        <w:t xml:space="preserve">exact count of supported directions should be read at that precision.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five areas of interest are not comparable frames, and this cohort cannot fully repair it</w:t>
      </w:r>
      <w:r>
        <w:t xml:space="preserve"> </w:t>
      </w:r>
      <w:r>
        <w:t xml:space="preserve">(Section 4.4). We report the equalised arm alongside the frame-as-drawn arm rather than replacing one</w:t>
      </w:r>
      <w:r>
        <w:t xml:space="preserve"> </w:t>
      </w:r>
      <w:r>
        <w:t xml:space="preserve">with the other, because the collar radius is itself a choice and 5 km and 10 km do not agree exactly</w:t>
      </w:r>
      <w:r>
        <w:t xml:space="preserve"> </w:t>
      </w:r>
      <w:r>
        <w:t xml:space="preserve">(0.591 against 0.589). The deeper limitation is that the frames were fixed upstream of this work, in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, so we can restrict them but not extend them; a region whose rectangle is already fire-scale,</w:t>
      </w:r>
      <w:r>
        <w:t xml:space="preserve"> </w:t>
      </w:r>
      <w:r>
        <w:t xml:space="preserve">Montiferru, cannot be given a far field for symmetry. Nor can their independence from outcomes be</w:t>
      </w:r>
      <w:r>
        <w:t xml:space="preserve"> </w:t>
      </w:r>
      <w:r>
        <w:t xml:space="preserve">fully documented: only Montiferru’s box is derived by a rule, Manavgat’s is dated before its first gate result, and for Bejís and Muğla the</w:t>
      </w:r>
      <w:r>
        <w:t xml:space="preserve"> </w:t>
      </w:r>
      <w:r>
        <w:t xml:space="preserve">version history cannot show the box fixed before the first gate result (Section 3.1). Any future cohort should fix the frame by an</w:t>
      </w:r>
      <w:r>
        <w:t xml:space="preserve"> </w:t>
      </w:r>
      <w:r>
        <w:t xml:space="preserve">explicit accessible-area rule</w:t>
      </w:r>
      <w:r>
        <w:t xml:space="preserve"> </w:t>
      </w:r>
      <w:r>
        <w:t xml:space="preserve">(Barve et al. 2011)</w:t>
      </w:r>
      <w:r>
        <w:t xml:space="preserve"> </w:t>
      </w:r>
      <w:r>
        <w:t xml:space="preserve">before any predictor is computed, and we treat that as the</w:t>
      </w:r>
      <w:r>
        <w:t xml:space="preserve"> </w:t>
      </w:r>
      <w:r>
        <w:t xml:space="preserve">main design lesson of this paper.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Other classifiers are compared by point estimate only.</w:t>
      </w:r>
      <w:r>
        <w:t xml:space="preserve"> </w:t>
      </w:r>
      <w:r>
        <w:t xml:space="preserve">The headline numbers use a random forest with unlimited depth, the</w:t>
      </w:r>
      <w:r>
        <w:t xml:space="preserve"> </w:t>
      </w:r>
      <w:r>
        <w:t xml:space="preserve">configuration most able to encode local structure and least able to extrapolate. Section S1.8 shows the transfer result is not an artefact of that</w:t>
      </w:r>
      <w:r>
        <w:t xml:space="preserve"> </w:t>
      </w:r>
      <w:r>
        <w:t xml:space="preserve">choice: three further estimators, including a penalised linear one, all land between 0.481 and 0.527</w:t>
      </w:r>
      <w:r>
        <w:t xml:space="preserve"> </w:t>
      </w:r>
      <w:r>
        <w:t xml:space="preserve">and place eleven to thirteen of twenty directions above chance. Those are point estimates without</w:t>
      </w:r>
      <w:r>
        <w:t xml:space="preserve"> </w:t>
      </w:r>
      <w:r>
        <w:t xml:space="preserve">intervals, so the ordering among them is not claimed as a result. Other estimator classes were not tried. Across the four that were tried, the negative result does</w:t>
      </w:r>
      <w:r>
        <w:t xml:space="preserve"> </w:t>
      </w:r>
      <w:r>
        <w:t xml:space="preserve">not depend on the estimator.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Burn timing and elevation are confounded in Manavgat.</w:t>
      </w:r>
      <w:r>
        <w:t xml:space="preserve"> </w:t>
      </w:r>
      <w:r>
        <w:t xml:space="preserve">The cells that burned in the</w:t>
      </w:r>
      <w:r>
        <w:t xml:space="preserve"> </w:t>
      </w:r>
      <w:r>
        <w:t xml:space="preserve">first four days lie at a median of 219 m, against 512 m for the later burns and 1,004 m for</w:t>
      </w:r>
      <w:r>
        <w:t xml:space="preserve"> </w:t>
      </w:r>
      <w:r>
        <w:t xml:space="preserve">unburned cells. The effects of timing and elevation cannot be separated in this data.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quality-screening comparison differs in code version as well as in screening.</w:t>
      </w:r>
      <w:r>
        <w:t xml:space="preserve"> </w:t>
      </w:r>
      <w:r>
        <w:t xml:space="preserve">The</w:t>
      </w:r>
      <w:r>
        <w:t xml:space="preserve"> </w:t>
      </w:r>
      <w:r>
        <w:t xml:space="preserve">current pipeline’s step7 refuses the unscreened MODIS input, because the raster carries no nodata tag</w:t>
      </w:r>
      <w:r>
        <w:t xml:space="preserve"> </w:t>
      </w:r>
      <w:r>
        <w:t xml:space="preserve">and 8.1 % exact zeros. The unscreened arm therefore uses the step7 of export time, and the screened</w:t>
      </w:r>
      <w:r>
        <w:t xml:space="preserve"> </w:t>
      </w:r>
      <w:r>
        <w:t xml:space="preserve">arm the current one. The two agree on elevation to four decimals and on every other signed AUC to</w:t>
      </w:r>
      <w:r>
        <w:t xml:space="preserve"> </w:t>
      </w:r>
      <w:r>
        <w:t xml:space="preserve">within 0.005, the largest move being downscaled LST at −0.0044. The within-region increment moves</w:t>
      </w:r>
      <w:r>
        <w:t xml:space="preserve"> </w:t>
      </w:r>
      <w:r>
        <w:t xml:space="preserve">from +0.067 to +0.068. The confound could therefore have hidden an effect only if two effects had</w:t>
      </w:r>
      <w:r>
        <w:t xml:space="preserve"> </w:t>
      </w:r>
      <w:r>
        <w:t xml:space="preserve">cancelled (Section S1.5).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diagnostic correlations rest on an effective sample of ten region pairs.</w:t>
      </w:r>
      <w:r>
        <w:t xml:space="preserve"> </w:t>
      </w:r>
      <w:r>
        <w:t xml:space="preserve">Five regions</w:t>
      </w:r>
      <w:r>
        <w:t xml:space="preserve"> </w:t>
      </w:r>
      <w:r>
        <w:t xml:space="preserve">give twenty ordered directions, but the two directions of a pair share both regions and are not</w:t>
      </w:r>
      <w:r>
        <w:t xml:space="preserve"> </w:t>
      </w:r>
      <w:r>
        <w:t xml:space="preserve">independent. The diagnostic results of Section S1.22, successes and failures alike, read at that</w:t>
      </w:r>
      <w:r>
        <w:t xml:space="preserve"> </w:t>
      </w:r>
      <w:r>
        <w:t xml:space="preserve">power: with ten pairs a moderate true ordering would usually be missed.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frame cost rests on few scars.</w:t>
      </w:r>
      <w:r>
        <w:t xml:space="preserve"> </w:t>
      </w:r>
      <w:r>
        <w:t xml:space="preserve">The full four-row comparison of Section 4.3 is defined on</w:t>
      </w:r>
      <w:r>
        <w:t xml:space="preserve"> </w:t>
      </w:r>
      <w:r>
        <w:t xml:space="preserve">seven scars in three regions, and its scar-level intervals are pseudo-replicated because row A</w:t>
      </w:r>
      <w:r>
        <w:t xml:space="preserve"> </w:t>
      </w:r>
      <w:r>
        <w:t xml:space="preserve">repeats across a region’s scars. The region-level estimates (+0.137 over three regions, +0.160 over</w:t>
      </w:r>
      <w:r>
        <w:t xml:space="preserve"> </w:t>
      </w:r>
      <w:r>
        <w:t xml:space="preserve">five) are the ones to quote.</w:t>
      </w:r>
    </w:p>
    <w:bookmarkEnd w:id="58"/>
    <w:bookmarkStart w:id="61" w:name="Xdd31c53b461bc182b050058e71b7f599426e20c"/>
    <w:p>
      <w:pPr>
        <w:pStyle w:val="Heading2"/>
      </w:pPr>
      <w:r>
        <w:t xml:space="preserve">S3.6 Leakage control and reproducibility, in full</w:t>
      </w:r>
    </w:p>
    <w:p>
      <w:pPr>
        <w:pStyle w:val="FirstParagraph"/>
      </w:pPr>
      <w:r>
        <w:t xml:space="preserve">An explicit forbidden-column set is enforced at every model fit. Coordinates (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</w:t>
      </w:r>
      <w:r>
        <w:t xml:space="preserve"> </w:t>
      </w:r>
      <w:r>
        <w:t xml:space="preserve">and their normalised forms), every burn-date and label-provenance column, and the agreement</w:t>
      </w:r>
      <w:r>
        <w:t xml:space="preserve"> </w:t>
      </w:r>
      <w:r>
        <w:t xml:space="preserve">fraction are excluded from all feature sets, and the enforcement runs as an assertion rather than a</w:t>
      </w:r>
      <w:r>
        <w:t xml:space="preserve"> </w:t>
      </w:r>
      <w:r>
        <w:t xml:space="preserve">convention. The natural-vegetation mask is used only to define the population, never as a predictor.</w:t>
      </w:r>
      <w:r>
        <w:t xml:space="preserve"> </w:t>
      </w:r>
      <w:r>
        <w:t xml:space="preserve">Spatial blocking prevents a cell from sharing a fold with its own neighbours.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All randomness uses seed 42 and the bootstrap uses 1000 replicates throughout.</w:t>
      </w:r>
      <w:r>
        <w:t xml:space="preserve"> </w:t>
      </w:r>
      <w:r>
        <w:t xml:space="preserve">The transfer and adaptation analysis runs in an environment separate from the upstream pipeline’s.</w:t>
      </w:r>
      <w:r>
        <w:t xml:space="preserve"> </w:t>
      </w:r>
      <w:r>
        <w:t xml:space="preserve">Every within-region model was therefore refitted there and compared against the frozen upstream</w:t>
      </w:r>
      <w:r>
        <w:t xml:space="preserve"> </w:t>
      </w:r>
      <w:r>
        <w:t xml:space="preserve">output, and the independently implemented adaptation was compared against the pipeline’s own. The</w:t>
      </w:r>
      <w:r>
        <w:t xml:space="preserve"> </w:t>
      </w:r>
      <w:r>
        <w:t xml:space="preserve">within-region comparisons agree exactly and the twenty directed CORAL transfers to within 1.3×10⁻⁸</w:t>
      </w:r>
      <w:r>
        <w:t xml:space="preserve"> </w:t>
      </w:r>
      <w:r>
        <w:t xml:space="preserve">against the re-frozen outputs (1.6×10⁻⁷ against the frozen ones), under the repository’s</w:t>
      </w:r>
      <w:r>
        <w:t xml:space="preserve"> </w:t>
      </w:r>
      <w:r>
        <w:t xml:space="preserve">pre-existing tolerance of 10⁻⁶ (Section 3.13). All numbers here were produced under scikit-learn 1.9.0 or verified against it; the</w:t>
      </w:r>
      <w:r>
        <w:t xml:space="preserve"> </w:t>
      </w:r>
      <w:r>
        <w:t xml:space="preserve">version sensitivity is stated in Section S3.5(vi).</w:t>
      </w:r>
    </w:p>
    <w:p>
      <w:pPr>
        <w:pStyle w:val="BodyText"/>
      </w:pPr>
      <w:r>
        <w:rPr>
          <w:b/>
          <w:bCs/>
        </w:rPr>
        <w:t xml:space="preserve">Sensitivity analyses.</w:t>
      </w:r>
      <w:r>
        <w:t xml:space="preserve"> </w:t>
      </w:r>
      <w:r>
        <w:t xml:space="preserve">The within-region results are repeated across three spatial-block sizes,</w:t>
      </w:r>
      <w:r>
        <w:t xml:space="preserve"> </w:t>
      </w:r>
      <w:r>
        <w:t xml:space="preserve">four classifier capacities and, in two regions, a second population; the transfer results across both</w:t>
      </w:r>
      <w:r>
        <w:t xml:space="preserve"> </w:t>
      </w:r>
      <w:r>
        <w:t xml:space="preserve">feature sets, the CORAL sweep, the Evia AOI variant and three evaluation frames; where a</w:t>
      </w:r>
      <w:r>
        <w:t xml:space="preserve"> </w:t>
      </w:r>
      <w:r>
        <w:t xml:space="preserve">conclusion depends on one of those choices the dependence is reported rather than resolved by</w:t>
      </w:r>
      <w:r>
        <w:t xml:space="preserve"> </w:t>
      </w:r>
      <w:r>
        <w:t xml:space="preserve">choosing the favourable setting (Section S1).</w:t>
      </w:r>
    </w:p>
    <w:bookmarkStart w:id="59" w:name="s3.6.1-resampling-units"/>
    <w:p>
      <w:pPr>
        <w:pStyle w:val="Heading3"/>
      </w:pPr>
      <w:r>
        <w:t xml:space="preserve">S3.6.1 Resampling units</w:t>
      </w:r>
    </w:p>
    <w:p>
      <w:pPr>
        <w:pStyle w:val="FirstParagraph"/>
      </w:pPr>
      <w:r>
        <w:t xml:space="preserve">Uncertainty is a spatial-block bootstrap. Let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the blocks of</w:t>
      </w:r>
      <w:r>
        <w:t xml:space="preserve"> </w:t>
      </w:r>
      <w:r>
        <w:t xml:space="preserve">Eq. (1) of the main text holding cells of</w:t>
      </w:r>
      <w:r>
        <w:t xml:space="preserve"> </w:t>
      </w:r>
      <m:oMath>
        <m:r>
          <m:t>F</m:t>
        </m:r>
      </m:oMath>
      <w:r>
        <w:t xml:space="preserve">. Replicate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indices</w:t>
      </w:r>
      <w:r>
        <w:t xml:space="preserve"> </w:t>
      </w:r>
      <m:oMath>
        <m:sSub>
          <m:e>
            <m:r>
              <m:t>u</m:t>
            </m:r>
          </m:e>
          <m:sub>
            <m:r>
              <m:t>b</m:t>
            </m:r>
            <m:r>
              <m:t>m</m:t>
            </m:r>
          </m:sub>
        </m:sSub>
      </m:oMath>
      <w:r>
        <w:t xml:space="preserve"> </w:t>
      </w:r>
      <w:r>
        <w:t xml:space="preserve">uniformly with replacement: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  <m:r>
                <m:t>b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⨄</m:t>
              </m:r>
            </m:e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</m:sSubSup>
          <m:sSub>
            <m:e>
              <m:r>
                <m:t>β</m:t>
              </m:r>
            </m:e>
            <m:sub>
              <m:sSub>
                <m:e>
                  <m:r>
                    <m:t>u</m:t>
                  </m:r>
                </m:e>
                <m:sub>
                  <m:r>
                    <m:t>b</m:t>
                  </m:r>
                  <m:r>
                    <m:t>m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</m:e>
            <m:sub>
              <m:r>
                <m:t>95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0.025</m:t>
                  </m:r>
                </m:sub>
              </m:sSub>
              <m:r>
                <m:rPr>
                  <m:sty m:val="p"/>
                </m:rPr>
                <m:t>{</m:t>
              </m:r>
              <m:r>
                <m:t>θ</m:t>
              </m:r>
              <m:r>
                <m:rPr>
                  <m:sty m:val="p"/>
                </m:rPr>
                <m:t>(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{</m:t>
              </m:r>
              <m:r>
                <m:t>θ</m:t>
              </m:r>
              <m:r>
                <m:rPr>
                  <m:sty m:val="p"/>
                </m:rPr>
                <m:t>(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statistic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the 2.5 and 97.5 percentiles over 1000 replicates, seed 42. A</w:t>
      </w:r>
      <w:r>
        <w:t xml:space="preserve"> </w:t>
      </w:r>
      <w:r>
        <w:t xml:space="preserve">single-class replicate is discarded. Differences are formed within each replicate, so they are</w:t>
      </w:r>
      <w:r>
        <w:t xml:space="preserve"> </w:t>
      </w:r>
      <w:r>
        <w:t xml:space="preserve">paired. The block size of each interval is stated with the result. Because it is blocks that are resampled,</w:t>
      </w:r>
      <w:r>
        <w:t xml:space="preserve"> </w:t>
      </w:r>
      <w:r>
        <w:t xml:space="preserve">what bounds an interval’s reliability is the number of blocks carrying at least one burned cell, and</w:t>
      </w:r>
      <w:r>
        <w:t xml:space="preserve"> </w:t>
      </w:r>
      <w:r>
        <w:t xml:space="preserve">those counts are reported alongside the intervals. Where a verdict rests on too few such blocks it</w:t>
      </w:r>
      <w:r>
        <w:t xml:space="preserve"> </w:t>
      </w:r>
      <w:r>
        <w:t xml:space="preserve">is stated as indicative rather than as an interval.</w:t>
      </w:r>
    </w:p>
    <w:p>
      <w:pPr>
        <w:pStyle w:val="BodyText"/>
      </w:pPr>
      <w:r>
        <w:t xml:space="preserve">The twenty transfer directions are not independent, since each region appears in eight. The</w:t>
      </w:r>
      <w:r>
        <w:t xml:space="preserve"> </w:t>
      </w:r>
      <w:r>
        <w:rPr>
          <w:b/>
          <w:bCs/>
        </w:rPr>
        <w:t xml:space="preserve">pair-cluster bootstrap</w:t>
      </w:r>
      <w:r>
        <w:t xml:space="preserve"> </w:t>
      </w:r>
      <w:r>
        <w:t xml:space="preserve">therefore resamples the ten unordered region pairs, each carrying its set</w:t>
      </w:r>
      <w:r>
        <w:t xml:space="preserve"> </w:t>
      </w:r>
      <m:oMath>
        <m:sSub>
          <m:e>
            <m:r>
              <m:t>π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ordered directions, and averages the carried values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  <m:r>
                <m:t>b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10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b</m:t>
                              </m:r>
                              <m:r>
                                <m:t>m</m:t>
                              </m:r>
                            </m:sub>
                          </m:sSub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10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π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b</m:t>
                      </m:r>
                      <m:r>
                        <m:t>m</m:t>
                      </m:r>
                    </m:sub>
                  </m:sSub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interval is the same percentile form, over 1000 replicates for the direction-level intervals of</w:t>
      </w:r>
      <w:r>
        <w:t xml:space="preserve"> </w:t>
      </w:r>
      <w:r>
        <w:t xml:space="preserve">Sections 4.4 and 4.5, and 20,000 for the unit comparison of Table S31. Clustering by</w:t>
      </w:r>
      <w:r>
        <w:t xml:space="preserve"> </w:t>
      </w:r>
      <w:r>
        <w:t xml:space="preserve">target region replaces</w:t>
      </w:r>
      <w:r>
        <w:t xml:space="preserve"> </w:t>
      </w:r>
      <m:oMath>
        <m:sSub>
          <m:e>
            <m:r>
              <m:t>π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by the four directions sharing a target. A quantity with one value</w:t>
      </w:r>
      <w:r>
        <w:t xml:space="preserve"> </w:t>
      </w:r>
      <w:r>
        <w:t xml:space="preserve">per held-out scar or target region gets a Student t interval over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t> 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/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The effective sample is thus ten pairs or five regions for direction-level intervals, and at most</w:t>
      </w:r>
      <w:r>
        <w:rPr>
          <w:b/>
          <w:bCs/>
        </w:rPr>
        <w:t xml:space="preserve"> </w:t>
      </w:r>
      <w:r>
        <w:rPr>
          <w:b/>
          <w:bCs/>
        </w:rPr>
        <w:t xml:space="preserve">seven scars from three regions for scar-level ones.</w:t>
      </w:r>
    </w:p>
    <w:bookmarkEnd w:id="59"/>
    <w:bookmarkStart w:id="60" w:name="X0ae8e26febd88e9fb8191e199c7ec154398bd1c"/>
    <w:p>
      <w:pPr>
        <w:pStyle w:val="Heading3"/>
      </w:pPr>
      <w:r>
        <w:t xml:space="preserve">S3.6.2 Reproduction of the re-frozen outputs</w:t>
      </w:r>
    </w:p>
    <w:p>
      <w:pPr>
        <w:pStyle w:val="FirstParagraph"/>
      </w:pPr>
      <w:r>
        <w:t xml:space="preserve">The transfer analysis runs in an environment separate from the upstream pipeline’s. The</w:t>
      </w:r>
      <w:r>
        <w:t xml:space="preserve"> </w:t>
      </w:r>
      <w:r>
        <w:t xml:space="preserve">repository’s own reproduction check therefore refitted every within-region model and all twenty</w:t>
      </w:r>
      <w:r>
        <w:t xml:space="preserve"> </w:t>
      </w:r>
      <w:r>
        <w:t xml:space="preserve">directed CORAL transfers against the frozen upstream output. For Manavgat that output is the one</w:t>
      </w:r>
      <w:r>
        <w:t xml:space="preserve"> </w:t>
      </w:r>
      <w:r>
        <w:t xml:space="preserve">re-frozen on the corrected label (Section 3.2), produced with the upstream pipeline at commit</w:t>
      </w:r>
      <w:r>
        <w:t xml:space="preserve"> </w:t>
      </w:r>
      <w:r>
        <w:t xml:space="preserve">6381f4c, run unchanged apart from a one-line patch and a runtime override. The patch lets the</w:t>
      </w:r>
      <w:r>
        <w:t xml:space="preserve"> </w:t>
      </w:r>
      <w:r>
        <w:t xml:space="preserve">window-closure module accept a population column the corrected label adds, and its diff is released</w:t>
      </w:r>
      <w:r>
        <w:t xml:space="preserve"> </w:t>
      </w:r>
      <w:r>
        <w:t xml:space="preserve">with the re-freeze; the override points the Earth Engine calls at the project</w:t>
      </w:r>
      <w:r>
        <w:t xml:space="preserve"> </w:t>
      </w:r>
      <w:r>
        <w:rPr>
          <w:rStyle w:val="VerbatimChar"/>
        </w:rPr>
        <w:t xml:space="preserve">thermaltwin</w:t>
      </w:r>
      <w:r>
        <w:t xml:space="preserve">, which</w:t>
      </w:r>
      <w:r>
        <w:t xml:space="preserve"> </w:t>
      </w:r>
      <w:r>
        <w:t xml:space="preserve">changes infrastructure only. The</w:t>
      </w:r>
      <w:r>
        <w:t xml:space="preserve"> </w:t>
      </w:r>
      <w:r>
        <w:t xml:space="preserve">within-region comparisons agree exactly, and the transfer directions to within 1.3×10⁻⁸, under the</w:t>
      </w:r>
      <w:r>
        <w:t xml:space="preserve"> </w:t>
      </w:r>
      <w:r>
        <w:t xml:space="preserve">repository’s pre-existing tolerance of 10⁻⁶. That 10⁻⁶ tolerance belongs to the CORAL and within-region reproduction check. The frame-transfer</w:t>
      </w:r>
      <w:r>
        <w:t xml:space="preserve"> </w:t>
      </w:r>
      <w:r>
        <w:t xml:space="preserve">script of Section 4.4 fits its forests in parallel, so its values vary from run to run by up to</w:t>
      </w:r>
      <w:r>
        <w:t xml:space="preserve"> </w:t>
      </w:r>
      <w:r>
        <w:t xml:space="preserve">2×10⁻⁶ (1.4×10⁻⁶ in a rerun on 29 September 2026,</w:t>
      </w:r>
      <w:r>
        <w:t xml:space="preserve"> </w:t>
      </w:r>
      <w:r>
        <w:rPr>
          <w:rStyle w:val="VerbatimChar"/>
        </w:rPr>
        <w:t xml:space="preserve">paper/labelfix_rerun/round7/</w:t>
      </w:r>
      <w:r>
        <w:t xml:space="preserve">), within the 10⁻⁵ tolerance applied to it, and are stable at the printed precision. The tolerance that applies if the library</w:t>
      </w:r>
      <w:r>
        <w:t xml:space="preserve"> </w:t>
      </w:r>
      <w:r>
        <w:t xml:space="preserve">version is not pinned is given in Section S3.5(vi).</w:t>
      </w:r>
    </w:p>
    <w:bookmarkEnd w:id="60"/>
    <w:bookmarkEnd w:id="61"/>
    <w:bookmarkStart w:id="63" w:name="Xcb25a90d00f58f7567c934698a002b62f4fc3c6"/>
    <w:p>
      <w:pPr>
        <w:pStyle w:val="Heading2"/>
      </w:pPr>
      <w:r>
        <w:t xml:space="preserve">S3.7 Transfer-gap decomposition and the concept-shift diagnostic, in full</w:t>
      </w:r>
    </w:p>
    <w:p>
      <w:pPr>
        <w:pStyle w:val="FirstParagraph"/>
      </w:pPr>
      <w:r>
        <w:t xml:space="preserve">For each direction the gap between the target’s own within-region skill and the raw transfer result</w:t>
      </w:r>
      <w:r>
        <w:t xml:space="preserve"> </w:t>
      </w:r>
      <w:r>
        <w:t xml:space="preserve">is split in two. One part is what the best label-free adaptation recovers, and the other is what it</w:t>
      </w:r>
      <w:r>
        <w:t xml:space="preserve"> </w:t>
      </w:r>
      <w:r>
        <w:t xml:space="preserve">does not. The recovered fraction is (adapted − raw) / (within − raw), signed and unclipped, with its interval</w:t>
      </w:r>
      <w:r>
        <w:t xml:space="preserve"> </w:t>
      </w:r>
      <w:r>
        <w:t xml:space="preserve">from the same paired bootstrap; it bounds what covariate-level correction can achieve. Section 4.3</w:t>
      </w:r>
      <w:r>
        <w:t xml:space="preserve"> </w:t>
      </w:r>
      <w:r>
        <w:t xml:space="preserve">shows the remainder should not be read as a conditional residual, because much of it is incurred</w:t>
      </w:r>
      <w:r>
        <w:t xml:space="preserve"> </w:t>
      </w:r>
      <w:r>
        <w:t xml:space="preserve">inside a single region (Section S1.10).</w:t>
      </w:r>
    </w:p>
    <w:p>
      <w:pPr>
        <w:pStyle w:val="BodyText"/>
      </w:pPr>
      <w:r>
        <w:t xml:space="preserve">The mechanism is diagnosed by</w:t>
      </w:r>
      <w:r>
        <w:t xml:space="preserve"> </w:t>
      </w:r>
      <w:r>
        <w:rPr>
          <w:b/>
          <w:bCs/>
        </w:rPr>
        <w:t xml:space="preserve">signed univariate association</w:t>
      </w:r>
      <w:r>
        <w:t xml:space="preserve">. For each numeric predictor the raw</w:t>
      </w:r>
      <w:r>
        <w:t xml:space="preserve"> </w:t>
      </w:r>
      <w:r>
        <w:t xml:space="preserve">ROC-AUC of that predictor against</w:t>
      </w:r>
      <w:r>
        <w:t xml:space="preserve"> </w:t>
      </w:r>
      <w:r>
        <w:rPr>
          <w:rStyle w:val="VerbatimChar"/>
        </w:rPr>
        <w:t xml:space="preserve">burned</w:t>
      </w:r>
      <w:r>
        <w:t xml:space="preserve"> </w:t>
      </w:r>
      <w:r>
        <w:t xml:space="preserve">is computed in each region and never folded to</w:t>
      </w:r>
      <w:r>
        <w:t xml:space="preserve"> </w:t>
      </w:r>
      <w:r>
        <w:t xml:space="preserve">max(AUC, 1 − AUC), so a value below 0.5 is read as a direction rather than as weakness. A reversal is</w:t>
      </w:r>
      <w:r>
        <w:t xml:space="preserve"> </w:t>
      </w:r>
      <w:r>
        <w:t xml:space="preserve">called bootstrap-supported only when the two regions’ point estimates fall on opposite sides of 0.5</w:t>
      </w:r>
      <w:r>
        <w:t xml:space="preserve"> </w:t>
      </w:r>
      <w:r>
        <w:rPr>
          <w:b/>
          <w:bCs/>
        </w:rPr>
        <w:t xml:space="preserve">and each region’s own interval excludes 0.5</w:t>
      </w:r>
      <w:r>
        <w:t xml:space="preserve">, under the same 10-cell spatial-block bootstrap.</w:t>
      </w:r>
      <w:r>
        <w:t xml:space="preserve"> </w:t>
      </w:r>
      <w:r>
        <w:t xml:space="preserve">That is stricter than requiring the two regions’ intervals to be disjoint: a feature whose intervals</w:t>
      </w:r>
      <w:r>
        <w:t xml:space="preserve"> </w:t>
      </w:r>
      <w:r>
        <w:t xml:space="preserve">are disjoint but one of which straddles 0.5 has not been shown to point anywhere in that region, so</w:t>
      </w:r>
      <w:r>
        <w:t xml:space="preserve"> </w:t>
      </w:r>
      <w:r>
        <w:t xml:space="preserve">it is recorded as a point reversal only. Section S2 states the rule again beside the counts, and</w:t>
      </w:r>
      <w:r>
        <w:t xml:space="preserve"> </w:t>
      </w:r>
      <w:r>
        <w:rPr>
          <w:rStyle w:val="VerbatimChar"/>
        </w:rPr>
        <w:t xml:space="preserve">conditional_similarity_transfer.json</w:t>
      </w:r>
      <w:r>
        <w:t xml:space="preserve"> </w:t>
      </w:r>
      <w:r>
        <w:t xml:space="preserve">carries it as machine-readable metadata.</w:t>
      </w:r>
    </w:p>
    <w:bookmarkStart w:id="62" w:name="s3.7.1-degenerate-replicates"/>
    <w:p>
      <w:pPr>
        <w:pStyle w:val="Heading3"/>
      </w:pPr>
      <w:r>
        <w:t xml:space="preserve">S3.7.1 Degenerate replicates</w:t>
      </w:r>
    </w:p>
    <w:p>
      <w:pPr>
        <w:pStyle w:val="FirstParagraph"/>
      </w:pPr>
      <w:r>
        <w:t xml:space="preserve">Replicates with</w:t>
      </w:r>
      <w:r>
        <w:t xml:space="preserve"> </w:t>
      </w:r>
      <m:oMath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are dropped.</w:t>
      </w:r>
    </w:p>
    <w:bookmarkEnd w:id="62"/>
    <w:bookmarkEnd w:id="63"/>
    <w:bookmarkStart w:id="64" w:name="X2ca07e7c22cf45b2abe8f9173657513d187df7a"/>
    <w:p>
      <w:pPr>
        <w:pStyle w:val="Heading2"/>
      </w:pPr>
      <w:r>
        <w:t xml:space="preserve">S3.8 Label-blind adaptation, full specification</w:t>
      </w:r>
    </w:p>
    <w:p>
      <w:pPr>
        <w:pStyle w:val="FirstParagraph"/>
      </w:pPr>
      <w:r>
        <w:rPr>
          <w:b/>
          <w:bCs/>
        </w:rPr>
        <w:t xml:space="preserve">Region-wise z-score.</w:t>
      </w:r>
      <w:r>
        <w:t xml:space="preserve"> </w:t>
      </w:r>
      <w:r>
        <w:t xml:space="preserve">Each region’s numeric features are standardised using its own statistics,</w:t>
      </w:r>
      <w:r>
        <w:t xml:space="preserve"> </w:t>
      </w:r>
      <w:r>
        <w:t xml:space="preserve">source statistics from source data and target statistics from target data, never pooled. For</w:t>
      </w:r>
      <w:r>
        <w:t xml:space="preserve"> </w:t>
      </w:r>
      <w:r>
        <w:t xml:space="preserve">feature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region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μ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μ</m:t>
              </m:r>
            </m:e>
            <m:sub>
              <m:r>
                <m:t>j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t>O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j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t>O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j</m:t>
              </m:r>
            </m:sub>
            <m:sup>
              <m:r>
                <m:t>R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O</m:t>
            </m:r>
          </m:e>
          <m:sub>
            <m:r>
              <m:t>j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holds the</w:t>
      </w:r>
      <w:r>
        <w:t xml:space="preserve"> </w:t>
      </w:r>
      <m:oMath>
        <m:sSubSup>
          <m:e>
            <m:r>
              <m:t>n</m:t>
            </m:r>
          </m:e>
          <m:sub>
            <m:r>
              <m:t>j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cells with an observed value (ddof 0). A missing value is</w:t>
      </w:r>
      <w:r>
        <w:t xml:space="preserve"> </w:t>
      </w:r>
      <w:r>
        <w:t xml:space="preserve">first set to</w:t>
      </w:r>
      <w:r>
        <w:t xml:space="preserve"> </w:t>
      </w:r>
      <m:oMath>
        <m:sSubSup>
          <m:e>
            <m:r>
              <m:t>μ</m:t>
            </m:r>
          </m:e>
          <m:sub>
            <m:r>
              <m:t>j</m:t>
            </m:r>
          </m:sub>
          <m:sup>
            <m:r>
              <m:t>R</m:t>
            </m:r>
          </m:sup>
        </m:sSubSup>
      </m:oMath>
      <w:r>
        <w:t xml:space="preserve">, so it becomes zero, and</w:t>
      </w:r>
      <w:r>
        <w:t xml:space="preserve"> </w:t>
      </w:r>
      <m:oMath>
        <m:sSubSup>
          <m:e>
            <m:r>
              <m:t>σ</m:t>
            </m:r>
          </m:e>
          <m:sub>
            <m:r>
              <m:t>j</m:t>
            </m:r>
          </m:sub>
          <m:sup>
            <m:r>
              <m:t>R</m:t>
            </m:r>
          </m:sup>
        </m:sSubSup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is replaced by 1.</w:t>
      </w:r>
      <w:r>
        <w:t xml:space="preserve"> </w:t>
      </w:r>
      <w:r>
        <w:t xml:space="preserve">Land cover is not transformed. Target feature statistics, never target labels, thus enter the</w:t>
      </w:r>
      <w:r>
        <w:t xml:space="preserve"> </w:t>
      </w:r>
      <w:r>
        <w:t xml:space="preserve">adapted arms by design. The</w:t>
      </w:r>
      <w:r>
        <w:t xml:space="preserve"> </w:t>
      </w:r>
      <w:r>
        <w:t xml:space="preserve">classifier is refitted on the z-scored source and applied to the z-scored target. This removes</w:t>
      </w:r>
      <w:r>
        <w:t xml:space="preserve"> </w:t>
      </w:r>
      <w:r>
        <w:t xml:space="preserve">first- and second-order marginal offsets.</w:t>
      </w:r>
    </w:p>
    <w:p>
      <w:pPr>
        <w:pStyle w:val="BodyText"/>
      </w:pPr>
      <w:r>
        <w:rPr>
          <w:b/>
          <w:bCs/>
        </w:rPr>
        <w:t xml:space="preserve">CORAL after region-wise z-score.</w:t>
      </w:r>
      <w:r>
        <w:t xml:space="preserve"> </w:t>
      </w:r>
      <w:r>
        <w:t xml:space="preserve">The source covariance is aligned to the target’s by the standard</w:t>
      </w:r>
      <w:r>
        <w:t xml:space="preserve"> </w:t>
      </w:r>
      <w:r>
        <w:t xml:space="preserve">whitening-recolouring map</w:t>
      </w:r>
      <w:r>
        <w:t xml:space="preserve"> </w:t>
      </w:r>
      <w:r>
        <w:t xml:space="preserve">(Sun et al. 2016)</w:t>
      </w:r>
      <w:r>
        <w:t xml:space="preserve">. With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of z-scored numeric</w:t>
      </w:r>
      <w:r>
        <w:t xml:space="preserve"> </w:t>
      </w:r>
      <w:r>
        <w:t xml:space="preserve">features, one row per cell,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Z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λ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λ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R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(ddof 0). Both means are zero after Eq. (S4), so the general map’s</w:t>
      </w:r>
      <w:r>
        <w:t xml:space="preserve"> </w:t>
      </w:r>
      <w:r>
        <w:t xml:space="preserve">mean terms vanish. Matrix powers use a symmetric eigendecomposition, eigenvalues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 Critically</w:t>
      </w:r>
      <w:r>
        <w:t xml:space="preserve"> </w:t>
      </w:r>
      <w:r>
        <w:rPr>
          <w:b/>
          <w:bCs/>
        </w:rPr>
        <w:t xml:space="preserve">the transform is applied to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; the target stays at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, and the classifier is refitted on</w:t>
      </w:r>
      <w:r>
        <w:t xml:space="preserve"> </w:t>
      </w:r>
      <m:oMath>
        <m:sSubSup>
          <m:e>
            <m:r>
              <m:t>Z</m:t>
            </m:r>
          </m:e>
          <m:sub>
            <m:r>
              <m:t>s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p>
        </m:sSubSup>
      </m:oMath>
      <w:r>
        <w:t xml:space="preserve">. Neither</w:t>
      </w:r>
      <w:r>
        <w:t xml:space="preserve"> </w:t>
      </w:r>
      <w:r>
        <w:t xml:space="preserve">variant sees a target label, and both are verified label-blind at run time. λ sensitivity was assessed over nine</w:t>
      </w:r>
      <w:r>
        <w:t xml:space="preserve"> </w:t>
      </w:r>
      <w:r>
        <w:t xml:space="preserve">values on four of the twenty directions, moving transfer AUC by at most 0.014, and no value of λ was</w:t>
      </w:r>
      <w:r>
        <w:t xml:space="preserve"> </w:t>
      </w:r>
      <w:r>
        <w:t xml:space="preserve">selected on performance; the λ = 1 of the original CORAL formulation lies outside that sweep, while</w:t>
      </w:r>
      <w:r>
        <w:t xml:space="preserve"> </w:t>
      </w:r>
      <w:r>
        <w:t xml:space="preserve">the value used throughout remains λ = 10⁻⁵ (Section S1.2).</w:t>
      </w:r>
    </w:p>
    <w:bookmarkEnd w:id="64"/>
    <w:bookmarkEnd w:id="65"/>
    <w:bookmarkStart w:id="70" w:name="s5-target-label-recovery-curve"/>
    <w:p>
      <w:pPr>
        <w:pStyle w:val="Heading1"/>
      </w:pPr>
      <w:r>
        <w:t xml:space="preserve">S5 Target-label recovery curve</w:t>
      </w:r>
    </w:p>
    <w:bookmarkStart w:id="66" w:name="s5.1-purpose"/>
    <w:p>
      <w:pPr>
        <w:pStyle w:val="Heading2"/>
      </w:pPr>
      <w:r>
        <w:t xml:space="preserve">S5.1 Purpose</w:t>
      </w:r>
    </w:p>
    <w:p>
      <w:pPr>
        <w:pStyle w:val="FirstParagraph"/>
      </w:pPr>
      <w:r>
        <w:t xml:space="preserve">The main text establishes that label-free alignment does not close the transfer gap. The natural</w:t>
      </w:r>
      <w:r>
        <w:t xml:space="preserve"> </w:t>
      </w:r>
      <w:r>
        <w:t xml:space="preserve">constructive question is what a small number of target labels buys, since that is the resource</w:t>
      </w:r>
      <w:r>
        <w:t xml:space="preserve"> </w:t>
      </w:r>
      <w:r>
        <w:t xml:space="preserve">label-free methods cannot substitute for. This analysis prices the failure; it is not a proposed</w:t>
      </w:r>
      <w:r>
        <w:t xml:space="preserve"> </w:t>
      </w:r>
      <w:r>
        <w:t xml:space="preserve">method and not an operational claim, because the labels it uses come from the event being predicted.</w:t>
      </w:r>
      <w:r>
        <w:t xml:space="preserve"> </w:t>
      </w:r>
      <w:r>
        <w:t xml:space="preserve">It covers three of the five regions (Manavgat, Bejís and Muğla), all six directions among them.</w:t>
      </w:r>
      <w:r>
        <w:t xml:space="preserve"> </w:t>
      </w:r>
      <w:r>
        <w:t xml:space="preserve">Source: the pipeline’s few-shot recovery diagnostic on the corrected label, analysis</w:t>
      </w:r>
      <w:r>
        <w:t xml:space="preserve"> </w:t>
      </w:r>
      <w:r>
        <w:rPr>
          <w:rStyle w:val="VerbatimChar"/>
        </w:rPr>
        <w:t xml:space="preserve">7348dfe7…</w:t>
      </w:r>
      <w:r>
        <w:t xml:space="preserve">, released in</w:t>
      </w:r>
      <w:r>
        <w:t xml:space="preserve"> </w:t>
      </w:r>
      <w:r>
        <w:rPr>
          <w:rStyle w:val="VerbatimChar"/>
        </w:rPr>
        <w:t xml:space="preserve">paper/labelfix_rerun/exports/few_shot_recovery_7348dfe7/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recovery_curve.csv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repeat_metrics.csv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); every value below is read from it.</w:t>
      </w:r>
    </w:p>
    <w:bookmarkEnd w:id="66"/>
    <w:bookmarkStart w:id="67" w:name="s5.2-design"/>
    <w:p>
      <w:pPr>
        <w:pStyle w:val="Heading2"/>
      </w:pPr>
      <w:r>
        <w:t xml:space="preserve">S5.2 Design</w:t>
      </w:r>
    </w:p>
    <w:p>
      <w:pPr>
        <w:pStyle w:val="FirstParagraph"/>
      </w:pPr>
      <w:r>
        <w:t xml:space="preserve">The unit of labelling effort is one 10-cell (≈5 km) spatial block of the target. For a budget of k</w:t>
      </w:r>
      <w:r>
        <w:t xml:space="preserve"> </w:t>
      </w:r>
      <w:r>
        <w:t xml:space="preserve">blocks, k target blocks are drawn from the training folds of a 5-fold spatially blocked split of the</w:t>
      </w:r>
      <w:r>
        <w:t xml:space="preserve"> </w:t>
      </w:r>
      <w:r>
        <w:t xml:space="preserve">target, their labels are added to the source training set, and the refitted model is scored on the</w:t>
      </w:r>
      <w:r>
        <w:t xml:space="preserve"> </w:t>
      </w:r>
      <w:r>
        <w:t xml:space="preserve">held-out target folds. Budgets are 0, 1, 2, 4, 8, 16 and 32 blocks, with ten repeats of the block</w:t>
      </w:r>
      <w:r>
        <w:t xml:space="preserve"> </w:t>
      </w:r>
      <w:r>
        <w:t xml:space="preserve">draw for every k &gt; 0. Budget 0 is raw transfer. The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is a target-only model at the same</w:t>
      </w:r>
      <w:r>
        <w:t xml:space="preserve"> </w:t>
      </w:r>
      <w:r>
        <w:t xml:space="preserve">10-cell blocking (0.777 for Muğla, 0.824 for Bejís and 0.882 for Manavgat), which reproduces the</w:t>
      </w:r>
      <w:r>
        <w:t xml:space="preserve"> </w:t>
      </w:r>
      <w:r>
        <w:t xml:space="preserve">pipeline’s own large-block values exactly. The</w:t>
      </w:r>
      <w:r>
        <w:t xml:space="preserve"> </w:t>
      </w:r>
      <w:r>
        <w:rPr>
          <w:b/>
          <w:bCs/>
        </w:rPr>
        <w:t xml:space="preserve">recovered fraction</w:t>
      </w:r>
      <w:r>
        <w:t xml:space="preserve"> </w:t>
      </w:r>
      <w:r>
        <w:t xml:space="preserve">is (few-shot − raw) / (ceiling</w:t>
      </w:r>
      <w:r>
        <w:t xml:space="preserve"> </w:t>
      </w:r>
      <w:r>
        <w:t xml:space="preserve">− raw), the share of the gap between raw transfer and the ceiling that the labels close; it is signed</w:t>
      </w:r>
      <w:r>
        <w:t xml:space="preserve"> </w:t>
      </w:r>
      <w:r>
        <w:t xml:space="preserve">and unclipped. Intervals are</w:t>
      </w:r>
      <w:r>
        <w:t xml:space="preserve"> </w:t>
      </w:r>
      <w:r>
        <w:rPr>
          <w:b/>
          <w:bCs/>
        </w:rPr>
        <w:t xml:space="preserve">selection intervals</w:t>
      </w:r>
      <w:r>
        <w:t xml:space="preserve">, the 2.5th and 97.5th percentiles over the ten</w:t>
      </w:r>
      <w:r>
        <w:t xml:space="preserve"> </w:t>
      </w:r>
      <w:r>
        <w:t xml:space="preserve">block draws; they describe which blocks were drawn and nothing else, and no hypothesis test is made.</w:t>
      </w:r>
    </w:p>
    <w:bookmarkEnd w:id="67"/>
    <w:bookmarkStart w:id="68" w:name="s5.3-result"/>
    <w:p>
      <w:pPr>
        <w:pStyle w:val="Heading2"/>
      </w:pPr>
      <w:r>
        <w:t xml:space="preserve">S5.3 Result</w:t>
      </w:r>
    </w:p>
    <w:p>
      <w:pPr>
        <w:pStyle w:val="FirstParagraph"/>
        <w:keepNext/>
      </w:pPr>
      <w:r>
        <w:rPr>
          <w:b/>
          <w:bCs/>
        </w:rPr>
        <w:t xml:space="preserve">Table S22. Few-shot recovery of target ROC-AUC, thermal model, natural-vegetation population.</w:t>
      </w:r>
      <w:r>
        <w:t xml:space="preserve"> </w:t>
      </w:r>
      <w:r>
        <w:t xml:space="preserve">Raw</w:t>
      </w:r>
      <w:r>
        <w:t xml:space="preserve"> </w:t>
      </w:r>
      <w:r>
        <w:t xml:space="preserve">= source-only transfer (budget 0); ceiling = target-only model at the same 10-cell blocking. Values</w:t>
      </w:r>
      <w:r>
        <w:t xml:space="preserve"> </w:t>
      </w:r>
      <w:r>
        <w:t xml:space="preserve">are the mean over ten block-selection repeats.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09"/>
        <w:gridCol w:w="597"/>
        <w:gridCol w:w="597"/>
        <w:gridCol w:w="597"/>
        <w:gridCol w:w="597"/>
        <w:gridCol w:w="597"/>
        <w:gridCol w:w="716"/>
        <w:gridCol w:w="716"/>
        <w:gridCol w:w="835"/>
        <w:gridCol w:w="1909"/>
      </w:tblGrid>
      <w:tr>
        <w:trPr>
          <w:tblHeader w:val="on"/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Raw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 blk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 blk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 blk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 blk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16 blk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32 blk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Ceiling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Gap closed at 32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Manavgat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0.314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0.565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0.659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0.698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0.750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0.820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0.882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89 %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Bejís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0.603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0.625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0.743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0.789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0.824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85 %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Bejís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0.456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0.541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0.598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0.690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0.752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0.824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83 %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Manavgat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0.345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0.358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0.380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0.437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0.505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0.624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0.882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52 %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Muğla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0.453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0.490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0.532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0.571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39 %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Muğla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0.576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0.598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0.637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At 32 blocks three of six directions close 83 to 89 % of the gap to the ceiling</w:t>
      </w:r>
      <w:r>
        <w:t xml:space="preserve">, two of which</w:t>
      </w:r>
      <w:r>
        <w:t xml:space="preserve"> </w:t>
      </w:r>
      <w:r>
        <w:t xml:space="preserve">started below chance; the other three close 30 to 52 %. Thirty-two blocks carry 2,740 to 2,970</w:t>
      </w:r>
      <w:r>
        <w:t xml:space="preserve"> </w:t>
      </w:r>
      <w:r>
        <w:t xml:space="preserve">labelled cells, 7 to 20 % of the target’s natural-vegetation population. That is not a modest</w:t>
      </w:r>
      <w:r>
        <w:t xml:space="preserve"> </w:t>
      </w:r>
      <w:r>
        <w:t xml:space="preserve">budget: into Bejís the labelled blocks at 32 carry on average 880 of the region’s 1,100 burned cells,</w:t>
      </w:r>
      <w:r>
        <w:t xml:space="preserve"> </w:t>
      </w:r>
      <w:r>
        <w:t xml:space="preserve">and into Manavgat about 1,800 of 2,935.</w:t>
      </w:r>
    </w:p>
    <w:p>
      <w:pPr>
        <w:pStyle w:val="BodyText"/>
      </w:pPr>
      <w:r>
        <w:rPr>
          <w:b/>
          <w:bCs/>
        </w:rPr>
        <w:t xml:space="preserve">Recovery is slow where transfer is worst.</w:t>
      </w:r>
      <w:r>
        <w:t xml:space="preserve"> </w:t>
      </w:r>
      <w:r>
        <w:t xml:space="preserve">Muğla → Manavgat, whose raw transfer sits furthest</w:t>
      </w:r>
      <w:r>
        <w:t xml:space="preserve"> </w:t>
      </w:r>
      <w:r>
        <w:t xml:space="preserve">below its ceiling, is still below 0.5 after 8 labelled blocks and closes 52 % at 32.</w:t>
      </w:r>
    </w:p>
    <w:p>
      <w:pPr>
        <w:pStyle w:val="BodyText"/>
      </w:pPr>
      <w:r>
        <w:rPr>
          <w:b/>
          <w:bCs/>
        </w:rPr>
        <w:t xml:space="preserve">Small budgets hurt the direction that already transfers.</w:t>
      </w:r>
      <w:r>
        <w:t xml:space="preserve"> </w:t>
      </w:r>
      <w:r>
        <w:t xml:space="preserve">Bejís → Muğla transfers above chance</w:t>
      </w:r>
      <w:r>
        <w:t xml:space="preserve"> </w:t>
      </w:r>
      <w:r>
        <w:t xml:space="preserve">raw (0.618), and few-shot recalibration helps it least: the curve is below raw at 1, 2, 4 and 8</w:t>
      </w:r>
      <w:r>
        <w:t xml:space="preserve"> </w:t>
      </w:r>
      <w:r>
        <w:t xml:space="preserve">blocks (0.576 to 0.598), overtakes raw only at 16, and closes 30 % at 32. Where the source model</w:t>
      </w:r>
      <w:r>
        <w:t xml:space="preserve"> </w:t>
      </w:r>
      <w:r>
        <w:t xml:space="preserve">already carries a usable relationship, a small target sample perturbs it before it can replace it.</w:t>
      </w:r>
    </w:p>
    <w:bookmarkEnd w:id="68"/>
    <w:bookmarkStart w:id="69" w:name="s5.4-limits"/>
    <w:p>
      <w:pPr>
        <w:pStyle w:val="Heading2"/>
      </w:pPr>
      <w:r>
        <w:t xml:space="preserve">S5.4 Limits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Three regions, six directions.</w:t>
      </w:r>
      <w:r>
        <w:t xml:space="preserve"> </w:t>
      </w:r>
      <w:r>
        <w:t xml:space="preserve">Evia and Montiferru are absent, so this covers six of the</w:t>
      </w:r>
      <w:r>
        <w:t xml:space="preserve"> </w:t>
      </w:r>
      <w:r>
        <w:t xml:space="preserve">twenty directions and cannot speak to the five-region scope; six directions cannot support a</w:t>
      </w:r>
      <w:r>
        <w:t xml:space="preserve"> </w:t>
      </w:r>
      <w:r>
        <w:t xml:space="preserve">general label budget, so none is offered.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requires labelled target cells</w:t>
      </w:r>
      <w:r>
        <w:t xml:space="preserve"> </w:t>
      </w:r>
      <w:r>
        <w:t xml:space="preserve">from the event being predicted. Nothing here is a</w:t>
      </w:r>
      <w:r>
        <w:t xml:space="preserve"> </w:t>
      </w:r>
      <w:r>
        <w:t xml:space="preserve">label-free method, and nothing here weakens the negative result about label-free alignment.</w:t>
      </w:r>
      <w:r>
        <w:t xml:space="preserve"> </w:t>
      </w:r>
      <w:r>
        <w:t xml:space="preserve">Whether labels from earlier fires in the same region would serve is not tested.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interval is a selection interval, and at the top budgets it narrows because the pool is</w:t>
      </w:r>
      <w:r>
        <w:rPr>
          <w:b/>
          <w:bCs/>
        </w:rPr>
        <w:t xml:space="preserve"> </w:t>
      </w:r>
      <w:r>
        <w:rPr>
          <w:b/>
          <w:bCs/>
        </w:rPr>
        <w:t xml:space="preserve">exhausted, not because the value is well estimated.</w:t>
      </w:r>
      <w:r>
        <w:t xml:space="preserve"> </w:t>
      </w:r>
      <w:r>
        <w:t xml:space="preserve">Per outer fold the target holds on average</w:t>
      </w:r>
      <w:r>
        <w:t xml:space="preserve"> </w:t>
      </w:r>
      <w:r>
        <w:t xml:space="preserve">about 12 blocks containing both classes in Bejís, 29 in Manavgat and 48 in Muğla, so at 16 and 32</w:t>
      </w:r>
      <w:r>
        <w:t xml:space="preserve"> </w:t>
      </w:r>
      <w:r>
        <w:t xml:space="preserve">blocks the draw has nearly exhausted the both-class blocks and repeats select almost the same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direction_budget_feasibility.csv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ceiling is the 10-cell target-only value</w:t>
      </w:r>
      <w:r>
        <w:t xml:space="preserve">, not the ≈1 km within-region figure of Table 1,</w:t>
      </w:r>
      <w:r>
        <w:t xml:space="preserve"> </w:t>
      </w:r>
      <w:r>
        <w:t xml:space="preserve">and is correspondingly lower. The recovered fractions are only interpretable against this</w:t>
      </w:r>
      <w:r>
        <w:t xml:space="preserve"> </w:t>
      </w:r>
      <w:r>
        <w:t xml:space="preserve">matched-blocking ceiling, and on the frames as drawn, which Section 4.4 shows are not comparable</w:t>
      </w:r>
      <w:r>
        <w:t xml:space="preserve"> </w:t>
      </w:r>
      <w:r>
        <w:t xml:space="preserve">across regions.</w:t>
      </w:r>
    </w:p>
    <w:bookmarkEnd w:id="69"/>
    <w:bookmarkEnd w:id="70"/>
    <w:bookmarkStart w:id="72" w:name="s6-code"/>
    <w:p>
      <w:pPr>
        <w:pStyle w:val="Heading1"/>
      </w:pPr>
      <w:r>
        <w:t xml:space="preserve">S6 Code</w:t>
      </w:r>
    </w:p>
    <w:p>
      <w:pPr>
        <w:pStyle w:val="FirstParagraph"/>
        <w:keepNext/>
      </w:pPr>
      <w:r>
        <w:t xml:space="preserve">The analysis code is public at</w:t>
      </w:r>
      <w:r>
        <w:t xml:space="preserve"> </w:t>
      </w:r>
      <w:hyperlink r:id="rId18">
        <w:r>
          <w:rPr>
            <w:rStyle w:val="Hyperlink"/>
          </w:rPr>
          <w:t xml:space="preserve">https://github.com/dryuemco/thermal-twin</w:t>
        </w:r>
      </w:hyperlink>
      <w:r>
        <w:t xml:space="preserve"> </w:t>
      </w:r>
      <w:r>
        <w:t xml:space="preserve">under the MIT licence;</w:t>
      </w:r>
      <w:r>
        <w:t xml:space="preserve"> </w:t>
      </w:r>
      <w:r>
        <w:t xml:space="preserve">this section is a guide to it, and the repository’s README gives the same information. The</w:t>
      </w:r>
      <w:r>
        <w:t xml:space="preserve"> </w:t>
      </w:r>
      <w:r>
        <w:t xml:space="preserve">satellite processing pipeline is a separate public repository,</w:t>
      </w:r>
      <w:r>
        <w:t xml:space="preserve"> </w:t>
      </w:r>
      <w:hyperlink r:id="rId71">
        <w:r>
          <w:rPr>
            <w:rStyle w:val="Hyperlink"/>
          </w:rPr>
          <w:t xml:space="preserve">https://github.com/emrehann17/satellite-thermal-digital-twin</w:t>
        </w:r>
      </w:hyperlink>
      <w:r>
        <w:t xml:space="preserve"> </w:t>
      </w:r>
      <w:r>
        <w:t xml:space="preserve">(MIT licence), at commit</w:t>
      </w:r>
      <w:r>
        <w:t xml:space="preserve"> </w:t>
      </w:r>
      <w:r>
        <w:rPr>
          <w:rStyle w:val="VerbatimChar"/>
        </w:rPr>
        <w:t xml:space="preserve">6381f4c</w:t>
      </w:r>
      <w:r>
        <w:t xml:space="preserve"> </w:t>
      </w:r>
      <w:r>
        <w:t xml:space="preserve">for the re-frozen Manavgat outputs; the other regions’ outputs were produced at earlier commits of</w:t>
      </w:r>
      <w:r>
        <w:t xml:space="preserve"> </w:t>
      </w:r>
      <w:r>
        <w:t xml:space="preserve">that repository and are reproduced by it (Section S3.6.2).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74"/>
        <w:gridCol w:w="8396"/>
      </w:tblGrid>
      <w:tr>
        <w:trPr>
          <w:tblHeader w:val="on"/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Path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paper/code/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Analysis and verification scripts.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_canonical.py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loads every modelling dataset, verifies its SHA-256 and asserts the leakage exclusions of Section 3.13 at every fit.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paper/code/appendix_tables.py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Rebuilds Tables S2 to S7 and S9 to S18 row by row from source files whose SHA-256 values are pinned in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paper/labelfix_rerun/round5/tables/SOURCES.sha256</w:t>
            </w:r>
            <w:r>
              <w:rPr>
                <w:sz w:val="20"/>
              </w:rPr>
              <w:t xml:space="preserve">, and compares them with this document.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paper/figures/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One script per figure. Each asserts every plotted value against the frozen outputs and the manuscript text, and checks its layout.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paper/figures/check_all.py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Runs all figure scripts and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appendix_tables.py</w:t>
            </w:r>
            <w:r>
              <w:rPr>
                <w:sz w:val="20"/>
              </w:rPr>
              <w:t xml:space="preserve">, restores the committed outputs byte for byte, and exits 0 when everything passes.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paper/tex/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Builds the manuscript and this document from their Markdown sources and checks the port: every number survives, and every cross-reference, citation and supplementary reference resolves.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paper/labelfix_rerun/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The corrected-label outputs from which every corrected number is read: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code/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geometry/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inference/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labels/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and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round3/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to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round7/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hold the analysis outputs,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pipeline/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the re-frozen pipeline outputs for Manavgat, and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exports/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the released pipeline diagnostics (few-shot recovery, CORAL λ sweep, window closure), each with its SHA-256 in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exports/SHA256SUMS.txt</w:t>
            </w:r>
            <w:r>
              <w:rPr>
                <w:sz w:val="20"/>
              </w:rPr>
              <w:t xml:space="preserve">.</w:t>
            </w:r>
          </w:p>
        </w:tc>
      </w:tr>
    </w:tbl>
    <w:p>
      <w:pPr>
        <w:pStyle w:val="BodyText"/>
      </w:pPr>
      <w:r>
        <w:t xml:space="preserve">All commands run from the repository root. The environment is Python 3.12.10 with NumPy 2.4.4,</w:t>
      </w:r>
      <w:r>
        <w:t xml:space="preserve"> </w:t>
      </w:r>
      <w:r>
        <w:t xml:space="preserve">pandas 3.0.2 and scikit-learn 1.9.0, pinned in</w:t>
      </w:r>
      <w:r>
        <w:t xml:space="preserve"> </w:t>
      </w:r>
      <w:r>
        <w:rPr>
          <w:rStyle w:val="VerbatimChar"/>
        </w:rPr>
        <w:t xml:space="preserve">ENVIRONMENT.md</w:t>
      </w:r>
      <w:r>
        <w:t xml:space="preserve">; point estimates depend on the</w:t>
      </w:r>
      <w:r>
        <w:t xml:space="preserve"> </w:t>
      </w:r>
      <w:r>
        <w:t xml:space="preserve">scikit-learn version (Section S3.5(vi)). Fig. 1 additionally needs cartopy; without it</w:t>
      </w:r>
      <w:r>
        <w:t xml:space="preserve"> </w:t>
      </w:r>
      <w:r>
        <w:rPr>
          <w:rStyle w:val="VerbatimChar"/>
        </w:rPr>
        <w:t xml:space="preserve">check_all.py</w:t>
      </w:r>
      <w:r>
        <w:t xml:space="preserve"> </w:t>
      </w:r>
      <w:r>
        <w:t xml:space="preserve">reports that figure as skipped. Tables S1, S20 to S34 and the prose values are not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appendix_tables.py</w:t>
      </w:r>
      <w:r>
        <w:t xml:space="preserve">; they name their source files in their captions or text.</w:t>
      </w:r>
    </w:p>
    <w:bookmarkEnd w:id="72"/>
    <w:bookmarkStart w:id="73" w:name="s7-data"/>
    <w:p>
      <w:pPr>
        <w:pStyle w:val="Heading1"/>
      </w:pPr>
      <w:r>
        <w:t xml:space="preserve">S7 Data</w:t>
      </w:r>
    </w:p>
    <w:p>
      <w:pPr>
        <w:pStyle w:val="FirstParagraph"/>
      </w:pPr>
      <w:r>
        <w:t xml:space="preserve">All satellite inputs are public and were retrieved through Google Earth Engine (Table S20). No</w:t>
      </w:r>
      <w:r>
        <w:t xml:space="preserve"> </w:t>
      </w:r>
      <w:r>
        <w:t xml:space="preserve">proprietary or restricted data were used.</w:t>
      </w:r>
    </w:p>
    <w:p>
      <w:pPr>
        <w:pStyle w:val="BodyText"/>
      </w:pPr>
      <w:r>
        <w:t xml:space="preserve">The five modelling datasets the analyses read are in the analysis repository, one per region, as</w:t>
      </w:r>
      <w:r>
        <w:t xml:space="preserve"> </w:t>
      </w:r>
      <w:r>
        <w:rPr>
          <w:rStyle w:val="VerbatimChar"/>
        </w:rPr>
        <w:t xml:space="preserve">paper/data/&lt;region&gt;/step8a_500m_modeling_dataset.parquet</w:t>
      </w:r>
      <w:r>
        <w:t xml:space="preserve">, each verified on load against the SHA-256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paper/code/_canonical.py</w:t>
      </w:r>
      <w:r>
        <w:t xml:space="preserve">. For Bejís, Muğla, North Evia and Montiferru that hash equals</w:t>
      </w:r>
      <w:r>
        <w:t xml:space="preserve"> </w:t>
      </w:r>
      <w:r>
        <w:t xml:space="preserve">the pipeline’s canonical-input record. For Manavgat the file is the corrected-label re-freeze</w:t>
      </w:r>
      <w:r>
        <w:t xml:space="preserve"> </w:t>
      </w:r>
      <w:r>
        <w:t xml:space="preserve">(SHA-256</w:t>
      </w:r>
      <w:r>
        <w:t xml:space="preserve"> </w:t>
      </w:r>
      <w:r>
        <w:rPr>
          <w:rStyle w:val="VerbatimChar"/>
        </w:rPr>
        <w:t xml:space="preserve">5a5e876c…</w:t>
      </w:r>
      <w:r>
        <w:t xml:space="preserve">; Section S3.1.2); the pipeline’s record still names the original-label table</w:t>
      </w:r>
      <w:r>
        <w:t xml:space="preserve"> </w:t>
      </w:r>
      <w:r>
        <w:t xml:space="preserve">(SHA-256</w:t>
      </w:r>
      <w:r>
        <w:t xml:space="preserve"> </w:t>
      </w:r>
      <w:r>
        <w:rPr>
          <w:rStyle w:val="VerbatimChar"/>
        </w:rPr>
        <w:t xml:space="preserve">054a1961…</w:t>
      </w:r>
      <w:r>
        <w:t xml:space="preserve">), which is not in the repository and is regenerated by the pipeline. The frozen</w:t>
      </w:r>
      <w:r>
        <w:t xml:space="preserve"> </w:t>
      </w:r>
      <w:r>
        <w:t xml:space="preserve">numeric outputs every table and figure is built from are in the same repository, identified by the</w:t>
      </w:r>
      <w:r>
        <w:t xml:space="preserve"> </w:t>
      </w:r>
      <w:r>
        <w:t xml:space="preserve">paths and hashes named in the table captions and in</w:t>
      </w:r>
      <w:r>
        <w:t xml:space="preserve"> </w:t>
      </w:r>
      <w:r>
        <w:rPr>
          <w:rStyle w:val="VerbatimChar"/>
        </w:rPr>
        <w:t xml:space="preserve">SOURCES.sha256</w:t>
      </w:r>
      <w:r>
        <w:t xml:space="preserve">. The data derived from Landsat,</w:t>
      </w:r>
      <w:r>
        <w:t xml:space="preserve"> </w:t>
      </w:r>
      <w:r>
        <w:t xml:space="preserve">MODIS, the Copernicus DEM and ESA WorldCover remain subject to those products’ terms, which the</w:t>
      </w:r>
      <w:r>
        <w:t xml:space="preserve"> </w:t>
      </w:r>
      <w:r>
        <w:t xml:space="preserve">Declarations reproduce.</w:t>
      </w:r>
    </w:p>
    <w:bookmarkEnd w:id="73"/>
    <w:bookmarkStart w:id="111" w:name="references"/>
    <w:p>
      <w:pPr>
        <w:pStyle w:val="Heading1"/>
      </w:pPr>
      <w:r>
        <w:t xml:space="preserve">References</w:t>
      </w:r>
    </w:p>
    <w:bookmarkStart w:id="110" w:name="refs"/>
    <w:bookmarkStart w:id="75" w:name="ref-Barve2011"/>
    <w:p>
      <w:pPr>
        <w:pStyle w:val="Bibliography"/>
      </w:pPr>
      <w:r>
        <w:t xml:space="preserve">Barve N, Barve V, Jiménez-Valverde A, et al (2011) The crucial role of the accessible area in ecological niche modeling and species distribution modeling. Ecological Modelling 222:1810–1819.</w:t>
      </w:r>
      <w:r>
        <w:t xml:space="preserve"> </w:t>
      </w:r>
      <w:hyperlink r:id="rId74">
        <w:r>
          <w:rPr>
            <w:rStyle w:val="Hyperlink"/>
          </w:rPr>
          <w:t xml:space="preserve">https://doi.org/10.1016/j.ecolmodel.2011.02.011</w:t>
        </w:r>
      </w:hyperlink>
    </w:p>
    <w:bookmarkEnd w:id="75"/>
    <w:bookmarkStart w:id="77" w:name="ref-Boschetti2019"/>
    <w:p>
      <w:pPr>
        <w:pStyle w:val="Bibliography"/>
      </w:pPr>
      <w:r>
        <w:t xml:space="preserve">Boschetti L, Roy DP, Giglio L, et al (2019) Global validation of the</w:t>
      </w:r>
      <w:r>
        <w:t xml:space="preserve"> </w:t>
      </w:r>
      <w:r>
        <w:t xml:space="preserve">Collection</w:t>
      </w:r>
      <w:r>
        <w:t xml:space="preserve"> </w:t>
      </w:r>
      <w:r>
        <w:t xml:space="preserve">6</w:t>
      </w:r>
      <w:r>
        <w:t xml:space="preserve"> </w:t>
      </w:r>
      <w:r>
        <w:t xml:space="preserve">MODIS</w:t>
      </w:r>
      <w:r>
        <w:t xml:space="preserve"> </w:t>
      </w:r>
      <w:r>
        <w:t xml:space="preserve">burned area product. Remote Sensing of Environment 235:111490.</w:t>
      </w:r>
      <w:r>
        <w:t xml:space="preserve"> </w:t>
      </w:r>
      <w:hyperlink r:id="rId76">
        <w:r>
          <w:rPr>
            <w:rStyle w:val="Hyperlink"/>
          </w:rPr>
          <w:t xml:space="preserve">https://doi.org/10.1016/j.rse.2019.111490</w:t>
        </w:r>
      </w:hyperlink>
    </w:p>
    <w:bookmarkEnd w:id="77"/>
    <w:bookmarkStart w:id="79" w:name="ref-CopernicusDEM"/>
    <w:p>
      <w:pPr>
        <w:pStyle w:val="Bibliography"/>
      </w:pPr>
      <w:r>
        <w:t xml:space="preserve">European Space Agency (2022) Copernicus</w:t>
      </w:r>
      <w:r>
        <w:t xml:space="preserve"> </w:t>
      </w:r>
      <w:r>
        <w:t xml:space="preserve">DEM</w:t>
      </w:r>
      <w:r>
        <w:t xml:space="preserve"> </w:t>
      </w:r>
      <w:r>
        <w:t xml:space="preserve">GLO-30</w:t>
      </w:r>
      <w:r>
        <w:t xml:space="preserve"> </w:t>
      </w:r>
      <w:r>
        <w:t xml:space="preserve">[dataset]. European Space Agency.</w:t>
      </w:r>
      <w:r>
        <w:t xml:space="preserve"> </w:t>
      </w:r>
      <w:hyperlink r:id="rId78">
        <w:r>
          <w:rPr>
            <w:rStyle w:val="Hyperlink"/>
          </w:rPr>
          <w:t xml:space="preserve">https://doi.org/10.5270/ESA-c5d3d65</w:t>
        </w:r>
      </w:hyperlink>
    </w:p>
    <w:bookmarkEnd w:id="79"/>
    <w:bookmarkStart w:id="81" w:name="ref-VNP64A1"/>
    <w:p>
      <w:pPr>
        <w:pStyle w:val="Bibliography"/>
      </w:pPr>
      <w:r>
        <w:t xml:space="preserve">Giglio L (2024)</w:t>
      </w:r>
      <w:r>
        <w:t xml:space="preserve"> </w:t>
      </w:r>
      <w:r>
        <w:t xml:space="preserve">VIIRS/NPP</w:t>
      </w:r>
      <w:r>
        <w:t xml:space="preserve"> </w:t>
      </w:r>
      <w:r>
        <w:t xml:space="preserve">burned area monthly</w:t>
      </w:r>
      <w:r>
        <w:t xml:space="preserve"> </w:t>
      </w:r>
      <w:r>
        <w:t xml:space="preserve">L4</w:t>
      </w:r>
      <w:r>
        <w:t xml:space="preserve"> </w:t>
      </w:r>
      <w:r>
        <w:t xml:space="preserve">global 500m</w:t>
      </w:r>
      <w:r>
        <w:t xml:space="preserve"> </w:t>
      </w:r>
      <w:r>
        <w:t xml:space="preserve">SIN</w:t>
      </w:r>
      <w:r>
        <w:t xml:space="preserve"> </w:t>
      </w:r>
      <w:r>
        <w:t xml:space="preserve">grid</w:t>
      </w:r>
      <w:r>
        <w:t xml:space="preserve"> </w:t>
      </w:r>
      <w:r>
        <w:t xml:space="preserve">V002</w:t>
      </w:r>
      <w:r>
        <w:t xml:space="preserve"> </w:t>
      </w:r>
      <w:r>
        <w:t xml:space="preserve">[dataset]. NASA Land Processes Distributed Active Archive Center.</w:t>
      </w:r>
      <w:r>
        <w:t xml:space="preserve"> </w:t>
      </w:r>
      <w:hyperlink r:id="rId80">
        <w:r>
          <w:rPr>
            <w:rStyle w:val="Hyperlink"/>
          </w:rPr>
          <w:t xml:space="preserve">https://doi.org/10.5067/VIIRS/VNP64A1.002</w:t>
        </w:r>
      </w:hyperlink>
    </w:p>
    <w:bookmarkEnd w:id="81"/>
    <w:bookmarkStart w:id="83" w:name="ref-Giglio2018"/>
    <w:p>
      <w:pPr>
        <w:pStyle w:val="Bibliography"/>
      </w:pPr>
      <w:r>
        <w:t xml:space="preserve">Giglio L, Boschetti L, Roy DP, et al (2018) The</w:t>
      </w:r>
      <w:r>
        <w:t xml:space="preserve"> </w:t>
      </w:r>
      <w:r>
        <w:t xml:space="preserve">Collection</w:t>
      </w:r>
      <w:r>
        <w:t xml:space="preserve"> </w:t>
      </w:r>
      <w:r>
        <w:t xml:space="preserve">6</w:t>
      </w:r>
      <w:r>
        <w:t xml:space="preserve"> </w:t>
      </w:r>
      <w:r>
        <w:t xml:space="preserve">MODIS</w:t>
      </w:r>
      <w:r>
        <w:t xml:space="preserve"> </w:t>
      </w:r>
      <w:r>
        <w:t xml:space="preserve">burned area mapping algorithm and product. Remote Sensing of Environment 217:72–85.</w:t>
      </w:r>
      <w:r>
        <w:t xml:space="preserve"> </w:t>
      </w:r>
      <w:hyperlink r:id="rId82">
        <w:r>
          <w:rPr>
            <w:rStyle w:val="Hyperlink"/>
          </w:rPr>
          <w:t xml:space="preserve">https://doi.org/10.1016/j.rse.2018.08.005</w:t>
        </w:r>
      </w:hyperlink>
    </w:p>
    <w:bookmarkEnd w:id="83"/>
    <w:bookmarkStart w:id="85" w:name="ref-MCD64A1"/>
    <w:p>
      <w:pPr>
        <w:pStyle w:val="Bibliography"/>
      </w:pPr>
      <w:r>
        <w:t xml:space="preserve">Giglio L, Justice C, Boschetti L, Roy D (2021)</w:t>
      </w:r>
      <w:r>
        <w:t xml:space="preserve"> </w:t>
      </w:r>
      <w:r>
        <w:t xml:space="preserve">MODIS/Terra+Aqua</w:t>
      </w:r>
      <w:r>
        <w:t xml:space="preserve"> </w:t>
      </w:r>
      <w:r>
        <w:t xml:space="preserve">burned area monthly</w:t>
      </w:r>
      <w:r>
        <w:t xml:space="preserve"> </w:t>
      </w:r>
      <w:r>
        <w:t xml:space="preserve">L3</w:t>
      </w:r>
      <w:r>
        <w:t xml:space="preserve"> </w:t>
      </w:r>
      <w:r>
        <w:t xml:space="preserve">global 500m</w:t>
      </w:r>
      <w:r>
        <w:t xml:space="preserve"> </w:t>
      </w:r>
      <w:r>
        <w:t xml:space="preserve">SIN</w:t>
      </w:r>
      <w:r>
        <w:t xml:space="preserve"> </w:t>
      </w:r>
      <w:r>
        <w:t xml:space="preserve">grid</w:t>
      </w:r>
      <w:r>
        <w:t xml:space="preserve"> </w:t>
      </w:r>
      <w:r>
        <w:t xml:space="preserve">V061</w:t>
      </w:r>
      <w:r>
        <w:t xml:space="preserve"> </w:t>
      </w:r>
      <w:r>
        <w:t xml:space="preserve">[dataset]. NASA Land Processes Distributed Active Archive Center.</w:t>
      </w:r>
      <w:r>
        <w:t xml:space="preserve"> </w:t>
      </w:r>
      <w:hyperlink r:id="rId84">
        <w:r>
          <w:rPr>
            <w:rStyle w:val="Hyperlink"/>
          </w:rPr>
          <w:t xml:space="preserve">https://doi.org/10.5067/MODIS/MCD64A1.061</w:t>
        </w:r>
      </w:hyperlink>
    </w:p>
    <w:bookmarkEnd w:id="85"/>
    <w:bookmarkStart w:id="87" w:name="ref-Gorelick2017"/>
    <w:p>
      <w:pPr>
        <w:pStyle w:val="Bibliography"/>
      </w:pPr>
      <w:r>
        <w:t xml:space="preserve">Gorelick N, Hancher M, Dixon M, et al (2017)</w:t>
      </w:r>
      <w:r>
        <w:t xml:space="preserve"> </w:t>
      </w:r>
      <w:r>
        <w:t xml:space="preserve">Google</w:t>
      </w:r>
      <w:r>
        <w:t xml:space="preserve"> </w:t>
      </w:r>
      <w:r>
        <w:t xml:space="preserve">Earth</w:t>
      </w:r>
      <w:r>
        <w:t xml:space="preserve"> </w:t>
      </w:r>
      <w:r>
        <w:t xml:space="preserve">Engine</w:t>
      </w:r>
      <w:r>
        <w:t xml:space="preserve">: Planetary-scale geospatial analysis for everyone. Remote Sensing of Environment 202:18–27.</w:t>
      </w:r>
      <w:r>
        <w:t xml:space="preserve"> </w:t>
      </w:r>
      <w:hyperlink r:id="rId86">
        <w:r>
          <w:rPr>
            <w:rStyle w:val="Hyperlink"/>
          </w:rPr>
          <w:t xml:space="preserve">https://doi.org/10.1016/j.rse.2017.06.031</w:t>
        </w:r>
      </w:hyperlink>
    </w:p>
    <w:bookmarkEnd w:id="87"/>
    <w:bookmarkStart w:id="89" w:name="ref-Katagis2022"/>
    <w:p>
      <w:pPr>
        <w:pStyle w:val="Bibliography"/>
      </w:pPr>
      <w:r>
        <w:t xml:space="preserve">Katagis T, Gitas IZ (2022) Assessing the accuracy of</w:t>
      </w:r>
      <w:r>
        <w:t xml:space="preserve"> </w:t>
      </w:r>
      <w:r>
        <w:t xml:space="preserve">MODIS</w:t>
      </w:r>
      <w:r>
        <w:t xml:space="preserve"> </w:t>
      </w:r>
      <w:r>
        <w:t xml:space="preserve">MCD64A1</w:t>
      </w:r>
      <w:r>
        <w:t xml:space="preserve"> </w:t>
      </w:r>
      <w:r>
        <w:t xml:space="preserve">C6</w:t>
      </w:r>
      <w:r>
        <w:t xml:space="preserve"> </w:t>
      </w:r>
      <w:r>
        <w:t xml:space="preserve">and</w:t>
      </w:r>
      <w:r>
        <w:t xml:space="preserve"> </w:t>
      </w:r>
      <w:r>
        <w:t xml:space="preserve">FireCCI51</w:t>
      </w:r>
      <w:r>
        <w:t xml:space="preserve"> </w:t>
      </w:r>
      <w:r>
        <w:t xml:space="preserve">burned area products in</w:t>
      </w:r>
      <w:r>
        <w:t xml:space="preserve"> </w:t>
      </w:r>
      <w:r>
        <w:t xml:space="preserve">Mediterranean</w:t>
      </w:r>
      <w:r>
        <w:t xml:space="preserve"> </w:t>
      </w:r>
      <w:r>
        <w:t xml:space="preserve">ecosystems. Remote Sensing 14:602.</w:t>
      </w:r>
      <w:r>
        <w:t xml:space="preserve"> </w:t>
      </w:r>
      <w:hyperlink r:id="rId88">
        <w:r>
          <w:rPr>
            <w:rStyle w:val="Hyperlink"/>
          </w:rPr>
          <w:t xml:space="preserve">https://doi.org/10.3390/rs14030602</w:t>
        </w:r>
      </w:hyperlink>
    </w:p>
    <w:bookmarkEnd w:id="89"/>
    <w:bookmarkStart w:id="91" w:name="ref-Ludwig2023"/>
    <w:p>
      <w:pPr>
        <w:pStyle w:val="Bibliography"/>
      </w:pPr>
      <w:r>
        <w:t xml:space="preserve">Ludwig M, Moreno-Martinez A, Hölzel N, et al (2023) Assessing and improving the transferability of current global spatial prediction models. Global Ecology and Biogeography 32:356–368.</w:t>
      </w:r>
      <w:r>
        <w:t xml:space="preserve"> </w:t>
      </w:r>
      <w:hyperlink r:id="rId90">
        <w:r>
          <w:rPr>
            <w:rStyle w:val="Hyperlink"/>
          </w:rPr>
          <w:t xml:space="preserve">https://doi.org/10.1111/geb.13635</w:t>
        </w:r>
      </w:hyperlink>
    </w:p>
    <w:bookmarkEnd w:id="91"/>
    <w:bookmarkStart w:id="93" w:name="ref-Meyer2021"/>
    <w:p>
      <w:pPr>
        <w:pStyle w:val="Bibliography"/>
      </w:pPr>
      <w:r>
        <w:t xml:space="preserve">Meyer H, Pebesma E (2021) Predicting into unknown space?</w:t>
      </w:r>
      <w:r>
        <w:t xml:space="preserve"> </w:t>
      </w:r>
      <w:r>
        <w:t xml:space="preserve">Estimating</w:t>
      </w:r>
      <w:r>
        <w:t xml:space="preserve"> </w:t>
      </w:r>
      <w:r>
        <w:t xml:space="preserve">the area of applicability of spatial prediction models. Methods in Ecology and Evolution 12:1620–1633.</w:t>
      </w:r>
      <w:r>
        <w:t xml:space="preserve"> </w:t>
      </w:r>
      <w:hyperlink r:id="rId92">
        <w:r>
          <w:rPr>
            <w:rStyle w:val="Hyperlink"/>
          </w:rPr>
          <w:t xml:space="preserve">https://doi.org/10.1111/2041-210X.13650</w:t>
        </w:r>
      </w:hyperlink>
    </w:p>
    <w:bookmarkEnd w:id="93"/>
    <w:bookmarkStart w:id="95" w:name="ref-Meyer2022"/>
    <w:p>
      <w:pPr>
        <w:pStyle w:val="Bibliography"/>
      </w:pPr>
      <w:r>
        <w:t xml:space="preserve">Meyer H, Pebesma E (2022) Machine learning-based global maps of ecological variables and the challenge of assessing them. Nature Communications 13:2208.</w:t>
      </w:r>
      <w:r>
        <w:t xml:space="preserve"> </w:t>
      </w:r>
      <w:hyperlink r:id="rId94">
        <w:r>
          <w:rPr>
            <w:rStyle w:val="Hyperlink"/>
          </w:rPr>
          <w:t xml:space="preserve">https://doi.org/10.1038/s41467-022-29838-9</w:t>
        </w:r>
      </w:hyperlink>
    </w:p>
    <w:bookmarkEnd w:id="95"/>
    <w:bookmarkStart w:id="97" w:name="ref-Sandholt2002"/>
    <w:p>
      <w:pPr>
        <w:pStyle w:val="Bibliography"/>
      </w:pPr>
      <w:r>
        <w:t xml:space="preserve">Sandholt I, Rasmussen K, Andersen J (2002) A simple interpretation of the surface temperature/vegetation index space for assessment of surface moisture status. Remote Sensing of Environment 79:213–224.</w:t>
      </w:r>
      <w:r>
        <w:t xml:space="preserve"> </w:t>
      </w:r>
      <w:hyperlink r:id="rId96">
        <w:r>
          <w:rPr>
            <w:rStyle w:val="Hyperlink"/>
          </w:rPr>
          <w:t xml:space="preserve">https://doi.org/10.1016/S0034-4257(01)00274-7</w:t>
        </w:r>
      </w:hyperlink>
    </w:p>
    <w:bookmarkEnd w:id="97"/>
    <w:bookmarkStart w:id="99" w:name="ref-Schoener1968"/>
    <w:p>
      <w:pPr>
        <w:pStyle w:val="Bibliography"/>
      </w:pPr>
      <w:r>
        <w:t xml:space="preserve">Schoener TW (1968) The</w:t>
      </w:r>
      <w:r>
        <w:t xml:space="preserve"> </w:t>
      </w:r>
      <w:r>
        <w:t xml:space="preserve">Anolis</w:t>
      </w:r>
      <w:r>
        <w:t xml:space="preserve"> </w:t>
      </w:r>
      <w:r>
        <w:t xml:space="preserve">lizards of</w:t>
      </w:r>
      <w:r>
        <w:t xml:space="preserve"> </w:t>
      </w:r>
      <w:r>
        <w:t xml:space="preserve">Bimini</w:t>
      </w:r>
      <w:r>
        <w:t xml:space="preserve">: Resource partitioning in a complex fauna. Ecology 49:704–726.</w:t>
      </w:r>
      <w:r>
        <w:t xml:space="preserve"> </w:t>
      </w:r>
      <w:hyperlink r:id="rId98">
        <w:r>
          <w:rPr>
            <w:rStyle w:val="Hyperlink"/>
          </w:rPr>
          <w:t xml:space="preserve">https://doi.org/10.2307/1935534</w:t>
        </w:r>
      </w:hyperlink>
    </w:p>
    <w:bookmarkEnd w:id="99"/>
    <w:bookmarkStart w:id="101" w:name="ref-Sun2016"/>
    <w:p>
      <w:pPr>
        <w:pStyle w:val="Bibliography"/>
      </w:pPr>
      <w:r>
        <w:t xml:space="preserve">Sun B, Feng J, Saenko K (2016)</w:t>
      </w:r>
      <w:r>
        <w:t xml:space="preserve"> </w:t>
      </w:r>
      <w:hyperlink r:id="rId100">
        <w:r>
          <w:rPr>
            <w:rStyle w:val="Hyperlink"/>
          </w:rPr>
          <w:t xml:space="preserve">Return of frustratingly easy domain adaptation</w:t>
        </w:r>
      </w:hyperlink>
      <w:r>
        <w:t xml:space="preserve">. In: Proceedings of the thirtieth</w:t>
      </w:r>
      <w:r>
        <w:t xml:space="preserve"> </w:t>
      </w:r>
      <w:r>
        <w:t xml:space="preserve">AAAI</w:t>
      </w:r>
      <w:r>
        <w:t xml:space="preserve"> </w:t>
      </w:r>
      <w:r>
        <w:t xml:space="preserve">conference on artificial intelligence (</w:t>
      </w:r>
      <w:r>
        <w:t xml:space="preserve">AAAI</w:t>
      </w:r>
      <w:r>
        <w:t xml:space="preserve">-16). AAAI Press, Phoenix, Arizona, USA, pp 2058–2065</w:t>
      </w:r>
    </w:p>
    <w:bookmarkEnd w:id="101"/>
    <w:bookmarkStart w:id="103" w:name="ref-LandsatC2L2"/>
    <w:p>
      <w:pPr>
        <w:pStyle w:val="Bibliography"/>
      </w:pPr>
      <w:r>
        <w:t xml:space="preserve">U.S. Geological Survey Earth Resources Observation and Science (EROS) Center (2020) Landsat 8-9 operational land imager / thermal infrared sensor level-2, collection 2 [dataset]. US Geological Survey.</w:t>
      </w:r>
      <w:r>
        <w:t xml:space="preserve"> </w:t>
      </w:r>
      <w:hyperlink r:id="rId102">
        <w:r>
          <w:rPr>
            <w:rStyle w:val="Hyperlink"/>
          </w:rPr>
          <w:t xml:space="preserve">https://doi.org/10.5066/P9OGBGM6</w:t>
        </w:r>
      </w:hyperlink>
    </w:p>
    <w:bookmarkEnd w:id="103"/>
    <w:bookmarkStart w:id="105" w:name="ref-MOD11A1"/>
    <w:p>
      <w:pPr>
        <w:pStyle w:val="Bibliography"/>
      </w:pPr>
      <w:r>
        <w:t xml:space="preserve">Wan Z, Hook S, Hulley G (2021)</w:t>
      </w:r>
      <w:r>
        <w:t xml:space="preserve"> </w:t>
      </w:r>
      <w:r>
        <w:t xml:space="preserve">MODIS/Terra</w:t>
      </w:r>
      <w:r>
        <w:t xml:space="preserve"> </w:t>
      </w:r>
      <w:r>
        <w:t xml:space="preserve">land surface temperature/emissivity daily</w:t>
      </w:r>
      <w:r>
        <w:t xml:space="preserve"> </w:t>
      </w:r>
      <w:r>
        <w:t xml:space="preserve">L3</w:t>
      </w:r>
      <w:r>
        <w:t xml:space="preserve"> </w:t>
      </w:r>
      <w:r>
        <w:t xml:space="preserve">global 1km</w:t>
      </w:r>
      <w:r>
        <w:t xml:space="preserve"> </w:t>
      </w:r>
      <w:r>
        <w:t xml:space="preserve">SIN</w:t>
      </w:r>
      <w:r>
        <w:t xml:space="preserve"> </w:t>
      </w:r>
      <w:r>
        <w:t xml:space="preserve">grid</w:t>
      </w:r>
      <w:r>
        <w:t xml:space="preserve"> </w:t>
      </w:r>
      <w:r>
        <w:t xml:space="preserve">V061</w:t>
      </w:r>
      <w:r>
        <w:t xml:space="preserve"> </w:t>
      </w:r>
      <w:r>
        <w:t xml:space="preserve">[dataset]. NASA Land Processes Distributed Active Archive Center.</w:t>
      </w:r>
      <w:r>
        <w:t xml:space="preserve"> </w:t>
      </w:r>
      <w:hyperlink r:id="rId104">
        <w:r>
          <w:rPr>
            <w:rStyle w:val="Hyperlink"/>
          </w:rPr>
          <w:t xml:space="preserve">https://doi.org/10.5067/MODIS/MOD11A1.061</w:t>
        </w:r>
      </w:hyperlink>
    </w:p>
    <w:bookmarkEnd w:id="105"/>
    <w:bookmarkStart w:id="107" w:name="ref-Warren2008"/>
    <w:p>
      <w:pPr>
        <w:pStyle w:val="Bibliography"/>
      </w:pPr>
      <w:r>
        <w:t xml:space="preserve">Warren DL, Glor RE, Turelli M (2008) Environmental niche equivalency versus conservatism: Quantitative approaches to niche evolution. Evolution 62:2868–2883.</w:t>
      </w:r>
      <w:r>
        <w:t xml:space="preserve"> </w:t>
      </w:r>
      <w:hyperlink r:id="rId106">
        <w:r>
          <w:rPr>
            <w:rStyle w:val="Hyperlink"/>
          </w:rPr>
          <w:t xml:space="preserve">https://doi.org/10.1111/j.1558-5646.2008.00482.x</w:t>
        </w:r>
      </w:hyperlink>
    </w:p>
    <w:bookmarkEnd w:id="107"/>
    <w:bookmarkStart w:id="109" w:name="ref-Zanaga2022"/>
    <w:p>
      <w:pPr>
        <w:pStyle w:val="Bibliography"/>
      </w:pPr>
      <w:r>
        <w:t xml:space="preserve">Zanaga D, Van De Kerchove R, Daems D, et al (2022)</w:t>
      </w:r>
      <w:r>
        <w:t xml:space="preserve"> </w:t>
      </w:r>
      <w:r>
        <w:t xml:space="preserve">ESA</w:t>
      </w:r>
      <w:r>
        <w:t xml:space="preserve"> </w:t>
      </w:r>
      <w:r>
        <w:t xml:space="preserve">WorldCover</w:t>
      </w:r>
      <w:r>
        <w:t xml:space="preserve"> </w:t>
      </w:r>
      <w:r>
        <w:t xml:space="preserve">10 m 2021 v200. Zenodo.</w:t>
      </w:r>
      <w:r>
        <w:t xml:space="preserve"> </w:t>
      </w:r>
      <w:hyperlink r:id="rId108">
        <w:r>
          <w:rPr>
            <w:rStyle w:val="Hyperlink"/>
          </w:rPr>
          <w:t xml:space="preserve">https://doi.org/10.5281/zenodo.7254221</w:t>
        </w:r>
      </w:hyperlink>
    </w:p>
    <w:bookmarkEnd w:id="109"/>
    <w:bookmarkEnd w:id="110"/>
    <w:bookmarkEnd w:id="111"/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96" Type="http://schemas.openxmlformats.org/officeDocument/2006/relationships/hyperlink" Target="https://doi.org/10.1016/S0034-4257(01)00274-7" TargetMode="External"/><Relationship Id="rId74" Type="http://schemas.openxmlformats.org/officeDocument/2006/relationships/hyperlink" Target="https://doi.org/10.1016/j.ecolmodel.2011.02.011" TargetMode="External"/><Relationship Id="rId86" Type="http://schemas.openxmlformats.org/officeDocument/2006/relationships/hyperlink" Target="https://doi.org/10.1016/j.rse.2017.06.031" TargetMode="External"/><Relationship Id="rId82" Type="http://schemas.openxmlformats.org/officeDocument/2006/relationships/hyperlink" Target="https://doi.org/10.1016/j.rse.2018.08.005" TargetMode="External"/><Relationship Id="rId76" Type="http://schemas.openxmlformats.org/officeDocument/2006/relationships/hyperlink" Target="https://doi.org/10.1016/j.rse.2019.111490" TargetMode="External"/><Relationship Id="rId94" Type="http://schemas.openxmlformats.org/officeDocument/2006/relationships/hyperlink" Target="https://doi.org/10.1038/s41467-022-29838-9" TargetMode="External"/><Relationship Id="rId92" Type="http://schemas.openxmlformats.org/officeDocument/2006/relationships/hyperlink" Target="https://doi.org/10.1111/2041-210X.13650" TargetMode="External"/><Relationship Id="rId90" Type="http://schemas.openxmlformats.org/officeDocument/2006/relationships/hyperlink" Target="https://doi.org/10.1111/geb.13635" TargetMode="External"/><Relationship Id="rId106" Type="http://schemas.openxmlformats.org/officeDocument/2006/relationships/hyperlink" Target="https://doi.org/10.1111/j.1558-5646.2008.00482.x" TargetMode="External"/><Relationship Id="rId100" Type="http://schemas.openxmlformats.org/officeDocument/2006/relationships/hyperlink" Target="https://doi.org/10.1609/aaai.v30i1.10306" TargetMode="External"/><Relationship Id="rId98" Type="http://schemas.openxmlformats.org/officeDocument/2006/relationships/hyperlink" Target="https://doi.org/10.2307/1935534" TargetMode="External"/><Relationship Id="rId88" Type="http://schemas.openxmlformats.org/officeDocument/2006/relationships/hyperlink" Target="https://doi.org/10.3390/rs14030602" TargetMode="External"/><Relationship Id="rId102" Type="http://schemas.openxmlformats.org/officeDocument/2006/relationships/hyperlink" Target="https://doi.org/10.5066/P9OGBGM6" TargetMode="External"/><Relationship Id="rId84" Type="http://schemas.openxmlformats.org/officeDocument/2006/relationships/hyperlink" Target="https://doi.org/10.5067/MODIS/MCD64A1.061" TargetMode="External"/><Relationship Id="rId104" Type="http://schemas.openxmlformats.org/officeDocument/2006/relationships/hyperlink" Target="https://doi.org/10.5067/MODIS/MOD11A1.061" TargetMode="External"/><Relationship Id="rId80" Type="http://schemas.openxmlformats.org/officeDocument/2006/relationships/hyperlink" Target="https://doi.org/10.5067/VIIRS/VNP64A1.002" TargetMode="External"/><Relationship Id="rId78" Type="http://schemas.openxmlformats.org/officeDocument/2006/relationships/hyperlink" Target="https://doi.org/10.5270/ESA-c5d3d65" TargetMode="External"/><Relationship Id="rId108" Type="http://schemas.openxmlformats.org/officeDocument/2006/relationships/hyperlink" Target="https://doi.org/10.5281/zenodo.7254221" TargetMode="External"/><Relationship Id="rId18" Type="http://schemas.openxmlformats.org/officeDocument/2006/relationships/hyperlink" Target="https://github.com/dryuemco/thermal-twin" TargetMode="External"/><Relationship Id="rId71" Type="http://schemas.openxmlformats.org/officeDocument/2006/relationships/hyperlink" Target="https://github.com/emrehann17/satellite-thermal-digital-twin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doi.org/10.1016/S0034-4257(01)00274-7" TargetMode="External"/><Relationship Id="rId74" Type="http://schemas.openxmlformats.org/officeDocument/2006/relationships/hyperlink" Target="https://doi.org/10.1016/j.ecolmodel.2011.02.011" TargetMode="External"/><Relationship Id="rId86" Type="http://schemas.openxmlformats.org/officeDocument/2006/relationships/hyperlink" Target="https://doi.org/10.1016/j.rse.2017.06.031" TargetMode="External"/><Relationship Id="rId82" Type="http://schemas.openxmlformats.org/officeDocument/2006/relationships/hyperlink" Target="https://doi.org/10.1016/j.rse.2018.08.005" TargetMode="External"/><Relationship Id="rId76" Type="http://schemas.openxmlformats.org/officeDocument/2006/relationships/hyperlink" Target="https://doi.org/10.1016/j.rse.2019.111490" TargetMode="External"/><Relationship Id="rId94" Type="http://schemas.openxmlformats.org/officeDocument/2006/relationships/hyperlink" Target="https://doi.org/10.1038/s41467-022-29838-9" TargetMode="External"/><Relationship Id="rId92" Type="http://schemas.openxmlformats.org/officeDocument/2006/relationships/hyperlink" Target="https://doi.org/10.1111/2041-210X.13650" TargetMode="External"/><Relationship Id="rId90" Type="http://schemas.openxmlformats.org/officeDocument/2006/relationships/hyperlink" Target="https://doi.org/10.1111/geb.13635" TargetMode="External"/><Relationship Id="rId106" Type="http://schemas.openxmlformats.org/officeDocument/2006/relationships/hyperlink" Target="https://doi.org/10.1111/j.1558-5646.2008.00482.x" TargetMode="External"/><Relationship Id="rId100" Type="http://schemas.openxmlformats.org/officeDocument/2006/relationships/hyperlink" Target="https://doi.org/10.1609/aaai.v30i1.10306" TargetMode="External"/><Relationship Id="rId98" Type="http://schemas.openxmlformats.org/officeDocument/2006/relationships/hyperlink" Target="https://doi.org/10.2307/1935534" TargetMode="External"/><Relationship Id="rId88" Type="http://schemas.openxmlformats.org/officeDocument/2006/relationships/hyperlink" Target="https://doi.org/10.3390/rs14030602" TargetMode="External"/><Relationship Id="rId102" Type="http://schemas.openxmlformats.org/officeDocument/2006/relationships/hyperlink" Target="https://doi.org/10.5066/P9OGBGM6" TargetMode="External"/><Relationship Id="rId84" Type="http://schemas.openxmlformats.org/officeDocument/2006/relationships/hyperlink" Target="https://doi.org/10.5067/MODIS/MCD64A1.061" TargetMode="External"/><Relationship Id="rId104" Type="http://schemas.openxmlformats.org/officeDocument/2006/relationships/hyperlink" Target="https://doi.org/10.5067/MODIS/MOD11A1.061" TargetMode="External"/><Relationship Id="rId80" Type="http://schemas.openxmlformats.org/officeDocument/2006/relationships/hyperlink" Target="https://doi.org/10.5067/VIIRS/VNP64A1.002" TargetMode="External"/><Relationship Id="rId78" Type="http://schemas.openxmlformats.org/officeDocument/2006/relationships/hyperlink" Target="https://doi.org/10.5270/ESA-c5d3d65" TargetMode="External"/><Relationship Id="rId108" Type="http://schemas.openxmlformats.org/officeDocument/2006/relationships/hyperlink" Target="https://doi.org/10.5281/zenodo.7254221" TargetMode="External"/><Relationship Id="rId18" Type="http://schemas.openxmlformats.org/officeDocument/2006/relationships/hyperlink" Target="https://github.com/dryuemco/thermal-twin" TargetMode="External"/><Relationship Id="rId71" Type="http://schemas.openxmlformats.org/officeDocument/2006/relationships/hyperlink" Target="https://github.com/emrehann17/satellite-thermal-digital-tw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Evaluation geometry and the limits of cross-region transfer in pre-fire thermal wildfire prediction</dc:title>
  <dc:creator>Emrehan Metin; Yunus Emre Cogurcu</dc:creator>
  <dc:language>en-GB</dc:language>
  <cp:keywords/>
  <dcterms:created xsi:type="dcterms:W3CDTF">2026-09-29T06:00:48Z</dcterms:created>
  <dcterms:modified xsi:type="dcterms:W3CDTF">2026-09-29T06:00:48Z</dcterms:modified>
  <cp:lastModifiedBy/>
  <dc:description/>
  <dc:subject/>
  <cp:category/>
  <dc:identifier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C:\Users\CORSAIR\projects\thermal-twin-main\paper\REFERENCES.bib</vt:lpwstr>
  </property>
  <property fmtid="{D5CDD505-2E9C-101B-9397-08002B2CF9AE}" pid="3" name="csl">
    <vt:lpwstr>C:\Users\CORSAIR\projects\thermal-twin-main\paper\tex\springer-basic-author-date.csl</vt:lpwstr>
  </property>
  <property fmtid="{D5CDD505-2E9C-101B-9397-08002B2CF9AE}" pid="4" name="subtitle">
    <vt:lpwstr>Evaluation geometry and the limits of cross-region transfer in pre-fire thermal wildfire prediction</vt:lpwstr>
  </property>
</Properties>
</file>