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Wildfire susceptibility models built from satellite predictors are usually validated in the region</w:t>
      </w:r>
      <w:r>
        <w:t xml:space="preserve"> </w:t>
      </w:r>
      <w:r>
        <w:t xml:space="preserve">where they were trained, and their skill in other regions is rarely measured. We added six pre-fire</w:t>
      </w:r>
      <w:r>
        <w:t xml:space="preserve"> </w:t>
      </w:r>
      <w:r>
        <w:t xml:space="preserve">land surface temperature and dryness predictors from Landsat and MODIS to a static baseline, trained</w:t>
      </w:r>
      <w:r>
        <w:t xml:space="preserve"> </w:t>
      </w:r>
      <w:r>
        <w:t xml:space="preserve">random forests in five Mediterranean regions with one large fire season each (Manavgat and Muğla,</w:t>
      </w:r>
      <w:r>
        <w:t xml:space="preserve"> </w:t>
      </w:r>
      <w:r>
        <w:t xml:space="preserve">Türkiye; Bejís, Spain; North Evia, Greece; Montiferru, Italy), and measured two things that are</w:t>
      </w:r>
      <w:r>
        <w:t xml:space="preserve"> </w:t>
      </w:r>
      <w:r>
        <w:t xml:space="preserve">usually assumed. First, the evaluation area changes the score: the same model lost 0.160 ROC-AUC</w:t>
      </w:r>
      <w:r>
        <w:t xml:space="preserve"> </w:t>
      </w:r>
      <w:r>
        <w:t xml:space="preserve">when it was scored on the burn scar and a 2 km collar instead of the whole study area. Second, local</w:t>
      </w:r>
      <w:r>
        <w:t xml:space="preserve"> </w:t>
      </w:r>
      <w:r>
        <w:t xml:space="preserve">skill transferred at most weakly: the thermal predictors added +0.045 to +0.148 within regions but</w:t>
      </w:r>
      <w:r>
        <w:t xml:space="preserve"> </w:t>
      </w:r>
      <w:r>
        <w:t xml:space="preserve">only +0.007 across twenty transfer directions, and none of twenty similarity measures predicted</w:t>
      </w:r>
      <w:r>
        <w:t xml:space="preserve"> </w:t>
      </w:r>
      <w:r>
        <w:t xml:space="preserve">which transfers would work.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the science and technology of fire</w:t>
      </w:r>
      <w:r>
        <w:t xml:space="preserve"> </w:t>
      </w:r>
      <w:r>
        <w:t xml:space="preserve">susceptibility mapping: how pre-fire satellite observations of the land surface relate to where fires</w:t>
      </w:r>
      <w:r>
        <w:t xml:space="preserve"> </w:t>
      </w:r>
      <w:r>
        <w:t xml:space="preserve">burn, and how such models should be evaluated before fire managers use a model built in another</w:t>
      </w:r>
      <w:r>
        <w:t xml:space="preserve"> </w:t>
      </w:r>
      <w:r>
        <w:t xml:space="preserve">region. All satellite inputs are public, and the analysis code, the modelling datasets and the frozen</w:t>
      </w:r>
      <w:r>
        <w:t xml:space="preserve"> </w:t>
      </w:r>
      <w:r>
        <w:t xml:space="preserve">outputs behind every reported number are archived at 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2026-09-30T18:44:09Z</dcterms:created>
  <dcterms:modified xsi:type="dcterms:W3CDTF">2026-09-30T18:44:09Z</dcterms:modified>
  <cp:lastModifiedBy/>
  <dc:description/>
  <dc:subject/>
  <cp:category/>
  <dc:identifier/>
  <cp:revision>1</cp:revision>
</cp:coreProperties>
</file>