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t xml:space="preserve">Three findings carry this paper, stated here as claims and established in Section 4, which carries</w:t>
      </w:r>
      <w:r>
        <w:t xml:space="preserve"> </w:t>
      </w:r>
      <w:r>
        <w:t xml:space="preserve">every interval.</w:t>
      </w:r>
    </w:p>
    <w:p>
      <w:pPr>
        <w:pStyle w:val="BodyText"/>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218"/>
        <w:gridCol w:w="731"/>
        <w:gridCol w:w="1170"/>
        <w:gridCol w:w="1024"/>
        <w:gridCol w:w="878"/>
        <w:gridCol w:w="2340"/>
      </w:tblGrid>
      <w:tr>
        <w:trPr>
          <w:tblHeader w:val="on"/>
        </w:trPr>
        <w:tc>
          <w:tcPr>
            <w:tcW w:type="dxa" w:w="3218"/>
          </w:tcPr>
          <w:p>
            <w:pPr>
              <w:pStyle w:val="Compact"/>
            </w:pPr>
            <w:r>
              <w:t xml:space="preserve">Region</w:t>
            </w:r>
          </w:p>
        </w:tc>
        <w:tc>
          <w:tcPr>
            <w:tcW w:type="dxa" w:w="731"/>
          </w:tcPr>
          <w:p>
            <w:pPr>
              <w:pStyle w:val="Compact"/>
            </w:pPr>
            <w:r>
              <w:t xml:space="preserve">Block</w:t>
            </w:r>
          </w:p>
        </w:tc>
        <w:tc>
          <w:tcPr>
            <w:tcW w:type="dxa" w:w="1170"/>
          </w:tcPr>
          <w:p>
            <w:pPr>
              <w:pStyle w:val="Compact"/>
            </w:pPr>
            <w:r>
              <w:t xml:space="preserve">Baseline</w:t>
            </w:r>
          </w:p>
        </w:tc>
        <w:tc>
          <w:tcPr>
            <w:tcW w:type="dxa" w:w="1024"/>
          </w:tcPr>
          <w:p>
            <w:pPr>
              <w:pStyle w:val="Compact"/>
            </w:pPr>
            <w:r>
              <w:t xml:space="preserve">Thermal</w:t>
            </w:r>
          </w:p>
        </w:tc>
        <w:tc>
          <w:tcPr>
            <w:tcW w:type="dxa" w:w="878"/>
          </w:tcPr>
          <w:p>
            <w:pPr>
              <w:pStyle w:val="Compact"/>
            </w:pPr>
            <w:r>
              <w:t xml:space="preserve">ΔAUC</w:t>
            </w:r>
          </w:p>
        </w:tc>
        <w:tc>
          <w:tcPr>
            <w:tcW w:type="dxa" w:w="2340"/>
          </w:tcPr>
          <w:p>
            <w:pPr>
              <w:pStyle w:val="Compact"/>
            </w:pPr>
            <w:r>
              <w:t xml:space="preserve">95% CI</w:t>
            </w:r>
          </w:p>
        </w:tc>
      </w:tr>
      <w:tr>
        <w:tc>
          <w:tcPr>
            <w:tcW w:type="dxa" w:w="3218"/>
          </w:tcPr>
          <w:p>
            <w:pPr>
              <w:pStyle w:val="Compact"/>
            </w:pPr>
            <w:r>
              <w:t xml:space="preserve">Manavgat 2021</w:t>
            </w:r>
          </w:p>
        </w:tc>
        <w:tc>
          <w:tcPr>
            <w:tcW w:type="dxa" w:w="731"/>
          </w:tcPr>
          <w:p>
            <w:pPr>
              <w:pStyle w:val="Compact"/>
            </w:pPr>
            <w:r>
              <w:t xml:space="preserve">2</w:t>
            </w:r>
          </w:p>
        </w:tc>
        <w:tc>
          <w:tcPr>
            <w:tcW w:type="dxa" w:w="1170"/>
          </w:tcPr>
          <w:p>
            <w:pPr>
              <w:pStyle w:val="Compact"/>
            </w:pPr>
            <w:r>
              <w:t xml:space="preserve">0.841</w:t>
            </w:r>
          </w:p>
        </w:tc>
        <w:tc>
          <w:tcPr>
            <w:tcW w:type="dxa" w:w="1024"/>
          </w:tcPr>
          <w:p>
            <w:pPr>
              <w:pStyle w:val="Compact"/>
            </w:pPr>
            <w:r>
              <w:t xml:space="preserve">0.908</w:t>
            </w:r>
          </w:p>
        </w:tc>
        <w:tc>
          <w:tcPr>
            <w:tcW w:type="dxa" w:w="878"/>
          </w:tcPr>
          <w:p>
            <w:pPr>
              <w:pStyle w:val="Compact"/>
            </w:pPr>
            <w:r>
              <w:t xml:space="preserve">+0.067</w:t>
            </w:r>
          </w:p>
        </w:tc>
        <w:tc>
          <w:tcPr>
            <w:tcW w:type="dxa" w:w="2340"/>
          </w:tcPr>
          <w:p>
            <w:pPr>
              <w:pStyle w:val="Compact"/>
            </w:pPr>
            <w:r>
              <w:t xml:space="preserve">[+0.060, +0.073]</w:t>
            </w:r>
          </w:p>
        </w:tc>
      </w:tr>
      <w:tr>
        <w:tc>
          <w:tcPr>
            <w:tcW w:type="dxa" w:w="3218"/>
          </w:tcPr>
          <w:p>
            <w:pPr>
              <w:pStyle w:val="Compact"/>
            </w:pPr>
          </w:p>
        </w:tc>
        <w:tc>
          <w:tcPr>
            <w:tcW w:type="dxa" w:w="731"/>
          </w:tcPr>
          <w:p>
            <w:pPr>
              <w:pStyle w:val="Compact"/>
            </w:pPr>
            <w:r>
              <w:t xml:space="preserve">10</w:t>
            </w:r>
          </w:p>
        </w:tc>
        <w:tc>
          <w:tcPr>
            <w:tcW w:type="dxa" w:w="1170"/>
          </w:tcPr>
          <w:p>
            <w:pPr>
              <w:pStyle w:val="Compact"/>
            </w:pPr>
            <w:r>
              <w:t xml:space="preserve">0.820</w:t>
            </w:r>
          </w:p>
        </w:tc>
        <w:tc>
          <w:tcPr>
            <w:tcW w:type="dxa" w:w="1024"/>
          </w:tcPr>
          <w:p>
            <w:pPr>
              <w:pStyle w:val="Compact"/>
            </w:pPr>
            <w:r>
              <w:t xml:space="preserve">0.882</w:t>
            </w:r>
          </w:p>
        </w:tc>
        <w:tc>
          <w:tcPr>
            <w:tcW w:type="dxa" w:w="878"/>
          </w:tcPr>
          <w:p>
            <w:pPr>
              <w:pStyle w:val="Compact"/>
            </w:pPr>
            <w:r>
              <w:t xml:space="preserve">+0.062</w:t>
            </w:r>
          </w:p>
        </w:tc>
        <w:tc>
          <w:tcPr>
            <w:tcW w:type="dxa" w:w="2340"/>
          </w:tcPr>
          <w:p>
            <w:pPr>
              <w:pStyle w:val="Compact"/>
            </w:pPr>
            <w:r>
              <w:t xml:space="preserve">[+0.040, +0.082]</w:t>
            </w:r>
          </w:p>
        </w:tc>
      </w:tr>
      <w:tr>
        <w:tc>
          <w:tcPr>
            <w:tcW w:type="dxa" w:w="3218"/>
          </w:tcPr>
          <w:p>
            <w:pPr>
              <w:pStyle w:val="Compact"/>
            </w:pPr>
          </w:p>
        </w:tc>
        <w:tc>
          <w:tcPr>
            <w:tcW w:type="dxa" w:w="731"/>
          </w:tcPr>
          <w:p>
            <w:pPr>
              <w:pStyle w:val="Compact"/>
            </w:pPr>
            <w:r>
              <w:t xml:space="preserve">20</w:t>
            </w:r>
          </w:p>
        </w:tc>
        <w:tc>
          <w:tcPr>
            <w:tcW w:type="dxa" w:w="1170"/>
          </w:tcPr>
          <w:p>
            <w:pPr>
              <w:pStyle w:val="Compact"/>
            </w:pPr>
            <w:r>
              <w:t xml:space="preserve">0.798</w:t>
            </w:r>
          </w:p>
        </w:tc>
        <w:tc>
          <w:tcPr>
            <w:tcW w:type="dxa" w:w="1024"/>
          </w:tcPr>
          <w:p>
            <w:pPr>
              <w:pStyle w:val="Compact"/>
            </w:pPr>
            <w:r>
              <w:t xml:space="preserve">0.845</w:t>
            </w:r>
          </w:p>
        </w:tc>
        <w:tc>
          <w:tcPr>
            <w:tcW w:type="dxa" w:w="878"/>
          </w:tcPr>
          <w:p>
            <w:pPr>
              <w:pStyle w:val="Compact"/>
            </w:pPr>
            <w:r>
              <w:t xml:space="preserve">+0.047</w:t>
            </w:r>
          </w:p>
        </w:tc>
        <w:tc>
          <w:tcPr>
            <w:tcW w:type="dxa" w:w="2340"/>
          </w:tcPr>
          <w:p>
            <w:pPr>
              <w:pStyle w:val="Compact"/>
            </w:pPr>
            <w:r>
              <w:t xml:space="preserve">[+0.016, +0.081]</w:t>
            </w:r>
          </w:p>
        </w:tc>
      </w:tr>
      <w:tr>
        <w:tc>
          <w:tcPr>
            <w:tcW w:type="dxa" w:w="3218"/>
          </w:tcPr>
          <w:p>
            <w:pPr>
              <w:pStyle w:val="Compact"/>
            </w:pPr>
            <w:r>
              <w:t xml:space="preserve">Bejís 2022</w:t>
            </w:r>
          </w:p>
        </w:tc>
        <w:tc>
          <w:tcPr>
            <w:tcW w:type="dxa" w:w="731"/>
          </w:tcPr>
          <w:p>
            <w:pPr>
              <w:pStyle w:val="Compact"/>
            </w:pPr>
            <w:r>
              <w:t xml:space="preserve">2</w:t>
            </w:r>
          </w:p>
        </w:tc>
        <w:tc>
          <w:tcPr>
            <w:tcW w:type="dxa" w:w="1170"/>
          </w:tcPr>
          <w:p>
            <w:pPr>
              <w:pStyle w:val="Compact"/>
            </w:pPr>
            <w:r>
              <w:t xml:space="preserve">0.862</w:t>
            </w:r>
          </w:p>
        </w:tc>
        <w:tc>
          <w:tcPr>
            <w:tcW w:type="dxa" w:w="1024"/>
          </w:tcPr>
          <w:p>
            <w:pPr>
              <w:pStyle w:val="Compact"/>
            </w:pPr>
            <w:r>
              <w:t xml:space="preserve">0.918</w:t>
            </w:r>
          </w:p>
        </w:tc>
        <w:tc>
          <w:tcPr>
            <w:tcW w:type="dxa" w:w="878"/>
          </w:tcPr>
          <w:p>
            <w:pPr>
              <w:pStyle w:val="Compact"/>
            </w:pPr>
            <w:r>
              <w:t xml:space="preserve">+0.056</w:t>
            </w:r>
          </w:p>
        </w:tc>
        <w:tc>
          <w:tcPr>
            <w:tcW w:type="dxa" w:w="2340"/>
          </w:tcPr>
          <w:p>
            <w:pPr>
              <w:pStyle w:val="Compact"/>
            </w:pPr>
            <w:r>
              <w:t xml:space="preserve">[+0.048, +0.065]</w:t>
            </w:r>
          </w:p>
        </w:tc>
      </w:tr>
      <w:tr>
        <w:tc>
          <w:tcPr>
            <w:tcW w:type="dxa" w:w="3218"/>
          </w:tcPr>
          <w:p>
            <w:pPr>
              <w:pStyle w:val="Compact"/>
            </w:pPr>
          </w:p>
        </w:tc>
        <w:tc>
          <w:tcPr>
            <w:tcW w:type="dxa" w:w="731"/>
          </w:tcPr>
          <w:p>
            <w:pPr>
              <w:pStyle w:val="Compact"/>
            </w:pPr>
            <w:r>
              <w:t xml:space="preserve">10</w:t>
            </w:r>
          </w:p>
        </w:tc>
        <w:tc>
          <w:tcPr>
            <w:tcW w:type="dxa" w:w="1170"/>
          </w:tcPr>
          <w:p>
            <w:pPr>
              <w:pStyle w:val="Compact"/>
            </w:pPr>
            <w:r>
              <w:t xml:space="preserve">0.779</w:t>
            </w:r>
          </w:p>
        </w:tc>
        <w:tc>
          <w:tcPr>
            <w:tcW w:type="dxa" w:w="1024"/>
          </w:tcPr>
          <w:p>
            <w:pPr>
              <w:pStyle w:val="Compact"/>
            </w:pPr>
            <w:r>
              <w:t xml:space="preserve">0.824</w:t>
            </w:r>
          </w:p>
        </w:tc>
        <w:tc>
          <w:tcPr>
            <w:tcW w:type="dxa" w:w="878"/>
          </w:tcPr>
          <w:p>
            <w:pPr>
              <w:pStyle w:val="Compact"/>
            </w:pPr>
            <w:r>
              <w:t xml:space="preserve">+0.045</w:t>
            </w:r>
          </w:p>
        </w:tc>
        <w:tc>
          <w:tcPr>
            <w:tcW w:type="dxa" w:w="2340"/>
          </w:tcPr>
          <w:p>
            <w:pPr>
              <w:pStyle w:val="Compact"/>
            </w:pPr>
            <w:r>
              <w:t xml:space="preserve">[+0.018, +0.069]</w:t>
            </w:r>
          </w:p>
        </w:tc>
      </w:tr>
      <w:tr>
        <w:tc>
          <w:tcPr>
            <w:tcW w:type="dxa" w:w="3218"/>
          </w:tcPr>
          <w:p>
            <w:pPr>
              <w:pStyle w:val="Compact"/>
            </w:pPr>
          </w:p>
        </w:tc>
        <w:tc>
          <w:tcPr>
            <w:tcW w:type="dxa" w:w="731"/>
          </w:tcPr>
          <w:p>
            <w:pPr>
              <w:pStyle w:val="Compact"/>
            </w:pPr>
            <w:r>
              <w:t xml:space="preserve">20</w:t>
            </w:r>
          </w:p>
        </w:tc>
        <w:tc>
          <w:tcPr>
            <w:tcW w:type="dxa" w:w="1170"/>
          </w:tcPr>
          <w:p>
            <w:pPr>
              <w:pStyle w:val="Compact"/>
            </w:pPr>
            <w:r>
              <w:t xml:space="preserve">0.739</w:t>
            </w:r>
          </w:p>
        </w:tc>
        <w:tc>
          <w:tcPr>
            <w:tcW w:type="dxa" w:w="1024"/>
          </w:tcPr>
          <w:p>
            <w:pPr>
              <w:pStyle w:val="Compact"/>
            </w:pPr>
            <w:r>
              <w:t xml:space="preserve">0.795</w:t>
            </w:r>
          </w:p>
        </w:tc>
        <w:tc>
          <w:tcPr>
            <w:tcW w:type="dxa" w:w="878"/>
          </w:tcPr>
          <w:p>
            <w:pPr>
              <w:pStyle w:val="Compact"/>
            </w:pPr>
            <w:r>
              <w:t xml:space="preserve">+0.057</w:t>
            </w:r>
          </w:p>
        </w:tc>
        <w:tc>
          <w:tcPr>
            <w:tcW w:type="dxa" w:w="2340"/>
          </w:tcPr>
          <w:p>
            <w:pPr>
              <w:pStyle w:val="Compact"/>
            </w:pPr>
            <w:r>
              <w:t xml:space="preserve">[+0.031, +0.090]</w:t>
            </w:r>
          </w:p>
        </w:tc>
      </w:tr>
      <w:tr>
        <w:tc>
          <w:tcPr>
            <w:tcW w:type="dxa" w:w="3218"/>
          </w:tcPr>
          <w:p>
            <w:pPr>
              <w:pStyle w:val="Compact"/>
            </w:pPr>
            <w:r>
              <w:t xml:space="preserve">Muğla 2021</w:t>
            </w:r>
          </w:p>
        </w:tc>
        <w:tc>
          <w:tcPr>
            <w:tcW w:type="dxa" w:w="731"/>
          </w:tcPr>
          <w:p>
            <w:pPr>
              <w:pStyle w:val="Compact"/>
            </w:pPr>
            <w:r>
              <w:t xml:space="preserve">2</w:t>
            </w:r>
          </w:p>
        </w:tc>
        <w:tc>
          <w:tcPr>
            <w:tcW w:type="dxa" w:w="1170"/>
          </w:tcPr>
          <w:p>
            <w:pPr>
              <w:pStyle w:val="Compact"/>
            </w:pPr>
            <w:r>
              <w:t xml:space="preserve">0.743</w:t>
            </w:r>
          </w:p>
        </w:tc>
        <w:tc>
          <w:tcPr>
            <w:tcW w:type="dxa" w:w="1024"/>
          </w:tcPr>
          <w:p>
            <w:pPr>
              <w:pStyle w:val="Compact"/>
            </w:pPr>
            <w:r>
              <w:t xml:space="preserve">0.859</w:t>
            </w:r>
          </w:p>
        </w:tc>
        <w:tc>
          <w:tcPr>
            <w:tcW w:type="dxa" w:w="878"/>
          </w:tcPr>
          <w:p>
            <w:pPr>
              <w:pStyle w:val="Compact"/>
            </w:pPr>
            <w:r>
              <w:t xml:space="preserve">+0.116</w:t>
            </w:r>
          </w:p>
        </w:tc>
        <w:tc>
          <w:tcPr>
            <w:tcW w:type="dxa" w:w="2340"/>
          </w:tcPr>
          <w:p>
            <w:pPr>
              <w:pStyle w:val="Compact"/>
            </w:pPr>
            <w:r>
              <w:t xml:space="preserve">[+0.106, +0.125]</w:t>
            </w:r>
          </w:p>
        </w:tc>
      </w:tr>
      <w:tr>
        <w:tc>
          <w:tcPr>
            <w:tcW w:type="dxa" w:w="3218"/>
          </w:tcPr>
          <w:p>
            <w:pPr>
              <w:pStyle w:val="Compact"/>
            </w:pPr>
          </w:p>
        </w:tc>
        <w:tc>
          <w:tcPr>
            <w:tcW w:type="dxa" w:w="731"/>
          </w:tcPr>
          <w:p>
            <w:pPr>
              <w:pStyle w:val="Compact"/>
            </w:pPr>
            <w:r>
              <w:t xml:space="preserve">10</w:t>
            </w:r>
          </w:p>
        </w:tc>
        <w:tc>
          <w:tcPr>
            <w:tcW w:type="dxa" w:w="1170"/>
          </w:tcPr>
          <w:p>
            <w:pPr>
              <w:pStyle w:val="Compact"/>
            </w:pPr>
            <w:r>
              <w:t xml:space="preserve">0.698</w:t>
            </w:r>
          </w:p>
        </w:tc>
        <w:tc>
          <w:tcPr>
            <w:tcW w:type="dxa" w:w="1024"/>
          </w:tcPr>
          <w:p>
            <w:pPr>
              <w:pStyle w:val="Compact"/>
            </w:pPr>
            <w:r>
              <w:t xml:space="preserve">0.777</w:t>
            </w:r>
          </w:p>
        </w:tc>
        <w:tc>
          <w:tcPr>
            <w:tcW w:type="dxa" w:w="878"/>
          </w:tcPr>
          <w:p>
            <w:pPr>
              <w:pStyle w:val="Compact"/>
            </w:pPr>
            <w:r>
              <w:t xml:space="preserve">+0.079</w:t>
            </w:r>
          </w:p>
        </w:tc>
        <w:tc>
          <w:tcPr>
            <w:tcW w:type="dxa" w:w="2340"/>
          </w:tcPr>
          <w:p>
            <w:pPr>
              <w:pStyle w:val="Compact"/>
            </w:pPr>
            <w:r>
              <w:t xml:space="preserve">[+0.050, +0.105]</w:t>
            </w:r>
          </w:p>
        </w:tc>
      </w:tr>
      <w:tr>
        <w:tc>
          <w:tcPr>
            <w:tcW w:type="dxa" w:w="3218"/>
          </w:tcPr>
          <w:p>
            <w:pPr>
              <w:pStyle w:val="Compact"/>
            </w:pPr>
          </w:p>
        </w:tc>
        <w:tc>
          <w:tcPr>
            <w:tcW w:type="dxa" w:w="731"/>
          </w:tcPr>
          <w:p>
            <w:pPr>
              <w:pStyle w:val="Compact"/>
            </w:pPr>
            <w:r>
              <w:t xml:space="preserve">20</w:t>
            </w:r>
          </w:p>
        </w:tc>
        <w:tc>
          <w:tcPr>
            <w:tcW w:type="dxa" w:w="1170"/>
          </w:tcPr>
          <w:p>
            <w:pPr>
              <w:pStyle w:val="Compact"/>
            </w:pPr>
            <w:r>
              <w:t xml:space="preserve">0.673</w:t>
            </w:r>
          </w:p>
        </w:tc>
        <w:tc>
          <w:tcPr>
            <w:tcW w:type="dxa" w:w="1024"/>
          </w:tcPr>
          <w:p>
            <w:pPr>
              <w:pStyle w:val="Compact"/>
            </w:pPr>
            <w:r>
              <w:t xml:space="preserve">0.733</w:t>
            </w:r>
          </w:p>
        </w:tc>
        <w:tc>
          <w:tcPr>
            <w:tcW w:type="dxa" w:w="878"/>
          </w:tcPr>
          <w:p>
            <w:pPr>
              <w:pStyle w:val="Compact"/>
            </w:pPr>
            <w:r>
              <w:t xml:space="preserve">+0.061</w:t>
            </w:r>
          </w:p>
        </w:tc>
        <w:tc>
          <w:tcPr>
            <w:tcW w:type="dxa" w:w="2340"/>
          </w:tcPr>
          <w:p>
            <w:pPr>
              <w:pStyle w:val="Compact"/>
            </w:pPr>
            <w:r>
              <w:t xml:space="preserve">[+0.030, +0.094]</w:t>
            </w:r>
          </w:p>
        </w:tc>
      </w:tr>
      <w:tr>
        <w:tc>
          <w:tcPr>
            <w:tcW w:type="dxa" w:w="3218"/>
          </w:tcPr>
          <w:p>
            <w:pPr>
              <w:pStyle w:val="Compact"/>
            </w:pPr>
            <w:r>
              <w:t xml:space="preserve">North Evia 2021 (ext.)</w:t>
            </w:r>
          </w:p>
        </w:tc>
        <w:tc>
          <w:tcPr>
            <w:tcW w:type="dxa" w:w="731"/>
          </w:tcPr>
          <w:p>
            <w:pPr>
              <w:pStyle w:val="Compact"/>
            </w:pPr>
            <w:r>
              <w:t xml:space="preserve">2</w:t>
            </w:r>
          </w:p>
        </w:tc>
        <w:tc>
          <w:tcPr>
            <w:tcW w:type="dxa" w:w="1170"/>
          </w:tcPr>
          <w:p>
            <w:pPr>
              <w:pStyle w:val="Compact"/>
            </w:pPr>
            <w:r>
              <w:t xml:space="preserve">0.759</w:t>
            </w:r>
          </w:p>
        </w:tc>
        <w:tc>
          <w:tcPr>
            <w:tcW w:type="dxa" w:w="1024"/>
          </w:tcPr>
          <w:p>
            <w:pPr>
              <w:pStyle w:val="Compact"/>
            </w:pPr>
            <w:r>
              <w:t xml:space="preserve">0.912</w:t>
            </w:r>
          </w:p>
        </w:tc>
        <w:tc>
          <w:tcPr>
            <w:tcW w:type="dxa" w:w="878"/>
          </w:tcPr>
          <w:p>
            <w:pPr>
              <w:pStyle w:val="Compact"/>
            </w:pPr>
            <w:r>
              <w:t xml:space="preserve">+0.153</w:t>
            </w:r>
          </w:p>
        </w:tc>
        <w:tc>
          <w:tcPr>
            <w:tcW w:type="dxa" w:w="2340"/>
          </w:tcPr>
          <w:p>
            <w:pPr>
              <w:pStyle w:val="Compact"/>
            </w:pPr>
            <w:r>
              <w:t xml:space="preserve">[+0.142, +0.166]</w:t>
            </w:r>
          </w:p>
        </w:tc>
      </w:tr>
      <w:tr>
        <w:tc>
          <w:tcPr>
            <w:tcW w:type="dxa" w:w="3218"/>
          </w:tcPr>
          <w:p>
            <w:pPr>
              <w:pStyle w:val="Compact"/>
            </w:pPr>
          </w:p>
        </w:tc>
        <w:tc>
          <w:tcPr>
            <w:tcW w:type="dxa" w:w="731"/>
          </w:tcPr>
          <w:p>
            <w:pPr>
              <w:pStyle w:val="Compact"/>
            </w:pPr>
            <w:r>
              <w:t xml:space="preserve">10</w:t>
            </w:r>
          </w:p>
        </w:tc>
        <w:tc>
          <w:tcPr>
            <w:tcW w:type="dxa" w:w="1170"/>
          </w:tcPr>
          <w:p>
            <w:pPr>
              <w:pStyle w:val="Compact"/>
            </w:pPr>
            <w:r>
              <w:t xml:space="preserve">0.716</w:t>
            </w:r>
          </w:p>
        </w:tc>
        <w:tc>
          <w:tcPr>
            <w:tcW w:type="dxa" w:w="1024"/>
          </w:tcPr>
          <w:p>
            <w:pPr>
              <w:pStyle w:val="Compact"/>
            </w:pPr>
            <w:r>
              <w:t xml:space="preserve">0.864</w:t>
            </w:r>
          </w:p>
        </w:tc>
        <w:tc>
          <w:tcPr>
            <w:tcW w:type="dxa" w:w="878"/>
          </w:tcPr>
          <w:p>
            <w:pPr>
              <w:pStyle w:val="Compact"/>
            </w:pPr>
            <w:r>
              <w:t xml:space="preserve">+0.148</w:t>
            </w:r>
          </w:p>
        </w:tc>
        <w:tc>
          <w:tcPr>
            <w:tcW w:type="dxa" w:w="2340"/>
          </w:tcPr>
          <w:p>
            <w:pPr>
              <w:pStyle w:val="Compact"/>
            </w:pPr>
            <w:r>
              <w:t xml:space="preserve">[+0.119, +0.182]</w:t>
            </w:r>
          </w:p>
        </w:tc>
      </w:tr>
      <w:tr>
        <w:tc>
          <w:tcPr>
            <w:tcW w:type="dxa" w:w="3218"/>
          </w:tcPr>
          <w:p>
            <w:pPr>
              <w:pStyle w:val="Compact"/>
            </w:pPr>
          </w:p>
        </w:tc>
        <w:tc>
          <w:tcPr>
            <w:tcW w:type="dxa" w:w="731"/>
          </w:tcPr>
          <w:p>
            <w:pPr>
              <w:pStyle w:val="Compact"/>
            </w:pPr>
            <w:r>
              <w:t xml:space="preserve">20</w:t>
            </w:r>
          </w:p>
        </w:tc>
        <w:tc>
          <w:tcPr>
            <w:tcW w:type="dxa" w:w="1170"/>
          </w:tcPr>
          <w:p>
            <w:pPr>
              <w:pStyle w:val="Compact"/>
            </w:pPr>
            <w:r>
              <w:t xml:space="preserve">0.679</w:t>
            </w:r>
          </w:p>
        </w:tc>
        <w:tc>
          <w:tcPr>
            <w:tcW w:type="dxa" w:w="1024"/>
          </w:tcPr>
          <w:p>
            <w:pPr>
              <w:pStyle w:val="Compact"/>
            </w:pPr>
            <w:r>
              <w:t xml:space="preserve">0.833</w:t>
            </w:r>
          </w:p>
        </w:tc>
        <w:tc>
          <w:tcPr>
            <w:tcW w:type="dxa" w:w="878"/>
          </w:tcPr>
          <w:p>
            <w:pPr>
              <w:pStyle w:val="Compact"/>
            </w:pPr>
            <w:r>
              <w:t xml:space="preserve">+0.154</w:t>
            </w:r>
          </w:p>
        </w:tc>
        <w:tc>
          <w:tcPr>
            <w:tcW w:type="dxa" w:w="2340"/>
          </w:tcPr>
          <w:p>
            <w:pPr>
              <w:pStyle w:val="Compact"/>
            </w:pPr>
            <w:r>
              <w:t xml:space="preserve">[+0.124, +0.189]</w:t>
            </w:r>
          </w:p>
        </w:tc>
      </w:tr>
      <w:tr>
        <w:tc>
          <w:tcPr>
            <w:tcW w:type="dxa" w:w="3218"/>
          </w:tcPr>
          <w:p>
            <w:pPr>
              <w:pStyle w:val="Compact"/>
            </w:pPr>
            <w:r>
              <w:t xml:space="preserve">Montiferru 2021</w:t>
            </w:r>
          </w:p>
        </w:tc>
        <w:tc>
          <w:tcPr>
            <w:tcW w:type="dxa" w:w="731"/>
          </w:tcPr>
          <w:p>
            <w:pPr>
              <w:pStyle w:val="Compact"/>
            </w:pPr>
            <w:r>
              <w:t xml:space="preserve">2</w:t>
            </w:r>
          </w:p>
        </w:tc>
        <w:tc>
          <w:tcPr>
            <w:tcW w:type="dxa" w:w="1170"/>
          </w:tcPr>
          <w:p>
            <w:pPr>
              <w:pStyle w:val="Compact"/>
            </w:pPr>
            <w:r>
              <w:t xml:space="preserve">0.781</w:t>
            </w:r>
          </w:p>
        </w:tc>
        <w:tc>
          <w:tcPr>
            <w:tcW w:type="dxa" w:w="1024"/>
          </w:tcPr>
          <w:p>
            <w:pPr>
              <w:pStyle w:val="Compact"/>
            </w:pPr>
            <w:r>
              <w:t xml:space="preserve">0.883</w:t>
            </w:r>
          </w:p>
        </w:tc>
        <w:tc>
          <w:tcPr>
            <w:tcW w:type="dxa" w:w="878"/>
          </w:tcPr>
          <w:p>
            <w:pPr>
              <w:pStyle w:val="Compact"/>
            </w:pPr>
            <w:r>
              <w:t xml:space="preserve">+0.101</w:t>
            </w:r>
          </w:p>
        </w:tc>
        <w:tc>
          <w:tcPr>
            <w:tcW w:type="dxa" w:w="2340"/>
          </w:tcPr>
          <w:p>
            <w:pPr>
              <w:pStyle w:val="Compact"/>
            </w:pPr>
            <w:r>
              <w:t xml:space="preserve">[+0.080, +0.125]</w:t>
            </w:r>
          </w:p>
        </w:tc>
      </w:tr>
      <w:tr>
        <w:tc>
          <w:tcPr>
            <w:tcW w:type="dxa" w:w="3218"/>
          </w:tcPr>
          <w:p>
            <w:pPr>
              <w:pStyle w:val="Compact"/>
            </w:pPr>
          </w:p>
        </w:tc>
        <w:tc>
          <w:tcPr>
            <w:tcW w:type="dxa" w:w="731"/>
          </w:tcPr>
          <w:p>
            <w:pPr>
              <w:pStyle w:val="Compact"/>
            </w:pPr>
            <w:r>
              <w:t xml:space="preserve">10</w:t>
            </w:r>
          </w:p>
        </w:tc>
        <w:tc>
          <w:tcPr>
            <w:tcW w:type="dxa" w:w="1170"/>
          </w:tcPr>
          <w:p>
            <w:pPr>
              <w:pStyle w:val="Compact"/>
            </w:pPr>
            <w:r>
              <w:t xml:space="preserve">0.620</w:t>
            </w:r>
          </w:p>
        </w:tc>
        <w:tc>
          <w:tcPr>
            <w:tcW w:type="dxa" w:w="1024"/>
          </w:tcPr>
          <w:p>
            <w:pPr>
              <w:pStyle w:val="Compact"/>
            </w:pPr>
            <w:r>
              <w:t xml:space="preserve">0.720</w:t>
            </w:r>
          </w:p>
        </w:tc>
        <w:tc>
          <w:tcPr>
            <w:tcW w:type="dxa" w:w="878"/>
          </w:tcPr>
          <w:p>
            <w:pPr>
              <w:pStyle w:val="Compact"/>
            </w:pPr>
            <w:r>
              <w:t xml:space="preserve">+0.099</w:t>
            </w:r>
          </w:p>
        </w:tc>
        <w:tc>
          <w:tcPr>
            <w:tcW w:type="dxa" w:w="2340"/>
          </w:tcPr>
          <w:p>
            <w:pPr>
              <w:pStyle w:val="Compact"/>
            </w:pPr>
            <w:r>
              <w:t xml:space="preserve">[+0.017, +0.186]</w:t>
            </w:r>
          </w:p>
        </w:tc>
      </w:tr>
      <w:tr>
        <w:tc>
          <w:tcPr>
            <w:tcW w:type="dxa" w:w="3218"/>
          </w:tcPr>
          <w:p>
            <w:pPr>
              <w:pStyle w:val="Compact"/>
            </w:pPr>
          </w:p>
        </w:tc>
        <w:tc>
          <w:tcPr>
            <w:tcW w:type="dxa" w:w="731"/>
          </w:tcPr>
          <w:p>
            <w:pPr>
              <w:pStyle w:val="Compact"/>
            </w:pPr>
            <w:r>
              <w:t xml:space="preserve">20</w:t>
            </w:r>
          </w:p>
        </w:tc>
        <w:tc>
          <w:tcPr>
            <w:tcW w:type="dxa" w:w="1170"/>
          </w:tcPr>
          <w:p>
            <w:pPr>
              <w:pStyle w:val="Compact"/>
            </w:pPr>
            <w:r>
              <w:t xml:space="preserve">0.555</w:t>
            </w:r>
          </w:p>
        </w:tc>
        <w:tc>
          <w:tcPr>
            <w:tcW w:type="dxa" w:w="1024"/>
          </w:tcPr>
          <w:p>
            <w:pPr>
              <w:pStyle w:val="Compact"/>
            </w:pPr>
            <w:r>
              <w:t xml:space="preserve">0.681</w:t>
            </w:r>
          </w:p>
        </w:tc>
        <w:tc>
          <w:tcPr>
            <w:tcW w:type="dxa" w:w="878"/>
          </w:tcPr>
          <w:p>
            <w:pPr>
              <w:pStyle w:val="Compact"/>
            </w:pPr>
            <w:r>
              <w:t xml:space="preserve">+0.126</w:t>
            </w:r>
          </w:p>
        </w:tc>
        <w:tc>
          <w:tcPr>
            <w:tcW w:type="dxa" w:w="2340"/>
          </w:tcPr>
          <w:p>
            <w:pPr>
              <w:pStyle w:val="Compact"/>
            </w:pPr>
            <w:r>
              <w:t xml:space="preserve">[+0.053, +0.228]</w:t>
            </w:r>
          </w:p>
        </w:tc>
      </w:tr>
    </w:tbl>
    <w:p>
      <w:pPr>
        <w:pStyle w:val="BodyText"/>
      </w:pPr>
      <w:r>
        <w:rPr>
          <w:i/>
          <w:iCs/>
        </w:rPr>
        <w:t xml:space="preserve">Table note (resampling units).</w:t>
      </w:r>
      <w:r>
        <w:t xml:space="preserve"> </w:t>
      </w:r>
      <w:r>
        <w:t xml:space="preserve">The 20-cell row is indicative (above). 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Section 1.3 states the three findings and Section 4 establishes them; this section argues from them.</w:t>
      </w:r>
      <w:r>
        <w:t xml:space="preserve"> </w:t>
      </w:r>
      <w:r>
        <w:t xml:space="preserve">The first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That is the size of the predictor-block increments this</w:t>
      </w:r>
      <w:r>
        <w:t xml:space="preserve"> </w:t>
      </w:r>
      <w:r>
        <w:t xml:space="preserve">design itself measures.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The static baseline transfers no better on either frame, so this is not a peculiarity of</w:t>
      </w:r>
      <w:r>
        <w:t xml:space="preserve"> </w:t>
      </w:r>
      <w:r>
        <w:t xml:space="preserve">thermal predictors.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8" w:name="declarations"/>
    <w:p>
      <w:pPr>
        <w:pStyle w:val="Heading1"/>
      </w:pPr>
      <w:r>
        <w:t xml:space="preserve">Declarations</w:t>
      </w:r>
    </w:p>
    <w:bookmarkStart w:id="61"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frozen numeric outputs and the Supplementary Material are at [repository URL</w:t>
      </w:r>
      <w:r>
        <w:t xml:space="preserve"> </w:t>
      </w:r>
      <w:r>
        <w:t xml:space="preserve">to be added].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1"/>
    <w:bookmarkStart w:id="62"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2"/>
    <w:bookmarkStart w:id="63"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3"/>
    <w:bookmarkStart w:id="64" w:name="competing-interests"/>
    <w:p>
      <w:pPr>
        <w:pStyle w:val="Heading2"/>
      </w:pPr>
      <w:r>
        <w:t xml:space="preserve">Competing interests</w:t>
      </w:r>
    </w:p>
    <w:p>
      <w:pPr>
        <w:pStyle w:val="FirstParagraph"/>
      </w:pPr>
      <w:r>
        <w:t xml:space="preserve">The authors declare no competing interests.</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6"/>
    <w:bookmarkStart w:id="67"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7"/>
    <w:bookmarkEnd w:id="68"/>
    <w:bookmarkStart w:id="146" w:name="references"/>
    <w:p>
      <w:pPr>
        <w:pStyle w:val="Heading1"/>
      </w:pPr>
      <w:r>
        <w:t xml:space="preserve">References</w:t>
      </w:r>
    </w:p>
    <w:bookmarkStart w:id="145" w:name="refs"/>
    <w:bookmarkStart w:id="70"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69">
        <w:r>
          <w:rPr>
            <w:rStyle w:val="Hyperlink"/>
          </w:rPr>
          <w:t xml:space="preserve">https://doi.org/10.1007/s12145-023-00953-5</w:t>
        </w:r>
      </w:hyperlink>
    </w:p>
    <w:bookmarkEnd w:id="70"/>
    <w:bookmarkStart w:id="72"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1">
        <w:r>
          <w:rPr>
            <w:rStyle w:val="Hyperlink"/>
          </w:rPr>
          <w:t xml:space="preserve">https://doi.org/10.1073/pnas.1211466110</w:t>
        </w:r>
      </w:hyperlink>
    </w:p>
    <w:bookmarkEnd w:id="72"/>
    <w:bookmarkStart w:id="74"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3">
        <w:r>
          <w:rPr>
            <w:rStyle w:val="Hyperlink"/>
          </w:rPr>
          <w:t xml:space="preserve">https://doi.org/10.1016/j.ecolmodel.2011.02.011</w:t>
        </w:r>
      </w:hyperlink>
    </w:p>
    <w:bookmarkEnd w:id="74"/>
    <w:bookmarkStart w:id="76"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5">
        <w:r>
          <w:rPr>
            <w:rStyle w:val="Hyperlink"/>
          </w:rPr>
          <w:t xml:space="preserve">https://doi.org/10.1016/j.rse.2019.111490</w:t>
        </w:r>
      </w:hyperlink>
    </w:p>
    <w:bookmarkEnd w:id="76"/>
    <w:bookmarkStart w:id="78" w:name="ref-Breiman2001"/>
    <w:p>
      <w:pPr>
        <w:pStyle w:val="Bibliography"/>
      </w:pPr>
      <w:r>
        <w:t xml:space="preserve">Breiman, L., 2001. Random forests. Machine Learning 45, 5–32.</w:t>
      </w:r>
      <w:r>
        <w:t xml:space="preserve"> </w:t>
      </w:r>
      <w:hyperlink r:id="rId77">
        <w:r>
          <w:rPr>
            <w:rStyle w:val="Hyperlink"/>
          </w:rPr>
          <w:t xml:space="preserve">https://doi.org/10.1023/A:1010933404324</w:t>
        </w:r>
      </w:hyperlink>
    </w:p>
    <w:bookmarkEnd w:id="78"/>
    <w:bookmarkStart w:id="80"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79">
        <w:r>
          <w:rPr>
            <w:rStyle w:val="Hyperlink"/>
          </w:rPr>
          <w:t xml:space="preserve">https://doi.org/10.1016/j.rse.2004.01.019</w:t>
        </w:r>
      </w:hyperlink>
    </w:p>
    <w:bookmarkEnd w:id="80"/>
    <w:bookmarkStart w:id="82"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1">
        <w:r>
          <w:rPr>
            <w:rStyle w:val="Hyperlink"/>
          </w:rPr>
          <w:t xml:space="preserve">https://doi.org/10.3390/geomatics6010013</w:t>
        </w:r>
      </w:hyperlink>
    </w:p>
    <w:bookmarkEnd w:id="82"/>
    <w:bookmarkStart w:id="84"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3">
        <w:r>
          <w:rPr>
            <w:rStyle w:val="Hyperlink"/>
          </w:rPr>
          <w:t xml:space="preserve">https://doi.org/10.5194/nhess-25-4713-2025</w:t>
        </w:r>
      </w:hyperlink>
    </w:p>
    <w:bookmarkEnd w:id="84"/>
    <w:bookmarkStart w:id="86"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5">
        <w:r>
          <w:rPr>
            <w:rStyle w:val="Hyperlink"/>
          </w:rPr>
          <w:t xml:space="preserve">https://doi.org/10.1016/j.rse.2018.08.005</w:t>
        </w:r>
      </w:hyperlink>
    </w:p>
    <w:bookmarkEnd w:id="86"/>
    <w:bookmarkStart w:id="88"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7">
        <w:r>
          <w:rPr>
            <w:rStyle w:val="Hyperlink"/>
          </w:rPr>
          <w:t xml:space="preserve">https://doi.org/10.1016/j.rse.2017.06.031</w:t>
        </w:r>
      </w:hyperlink>
    </w:p>
    <w:bookmarkEnd w:id="88"/>
    <w:bookmarkStart w:id="90"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89">
        <w:r>
          <w:rPr>
            <w:rStyle w:val="Hyperlink"/>
          </w:rPr>
          <w:t xml:space="preserve">https://doi.org/10.1016/j.rse.2026.115336</w:t>
        </w:r>
      </w:hyperlink>
    </w:p>
    <w:bookmarkEnd w:id="90"/>
    <w:bookmarkStart w:id="92"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1">
        <w:r>
          <w:rPr>
            <w:rStyle w:val="Hyperlink"/>
          </w:rPr>
          <w:t xml:space="preserve">https://doi.org/10.1016/j.ecoinf.2022.101647</w:t>
        </w:r>
      </w:hyperlink>
    </w:p>
    <w:bookmarkEnd w:id="92"/>
    <w:bookmarkStart w:id="94"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3">
        <w:r>
          <w:rPr>
            <w:rStyle w:val="Hyperlink"/>
          </w:rPr>
          <w:t xml:space="preserve">https://doi.org/10.3934/environsci.2026004</w:t>
        </w:r>
      </w:hyperlink>
    </w:p>
    <w:bookmarkEnd w:id="94"/>
    <w:bookmarkStart w:id="96"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5">
        <w:r>
          <w:rPr>
            <w:rStyle w:val="Hyperlink"/>
          </w:rPr>
          <w:t xml:space="preserve">https://doi.org/10.52202/075280-2204</w:t>
        </w:r>
      </w:hyperlink>
    </w:p>
    <w:bookmarkEnd w:id="96"/>
    <w:bookmarkStart w:id="9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7">
        <w:r>
          <w:rPr>
            <w:rStyle w:val="Hyperlink"/>
          </w:rPr>
          <w:t xml:space="preserve">https://doi.org/10.48550/arXiv.2511.11589</w:t>
        </w:r>
      </w:hyperlink>
    </w:p>
    <w:bookmarkEnd w:id="98"/>
    <w:bookmarkStart w:id="10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99">
        <w:r>
          <w:rPr>
            <w:rStyle w:val="Hyperlink"/>
          </w:rPr>
          <w:t xml:space="preserve">https://doi.org/10.1111/j.1466-8238.2007.00358.x</w:t>
        </w:r>
      </w:hyperlink>
    </w:p>
    <w:bookmarkEnd w:id="100"/>
    <w:bookmarkStart w:id="102"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1">
        <w:r>
          <w:rPr>
            <w:rStyle w:val="Hyperlink"/>
          </w:rPr>
          <w:t xml:space="preserve">https://doi.org/10.3390/rs10111777</w:t>
        </w:r>
      </w:hyperlink>
    </w:p>
    <w:bookmarkEnd w:id="102"/>
    <w:bookmarkStart w:id="104"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3">
        <w:r>
          <w:rPr>
            <w:rStyle w:val="Hyperlink"/>
          </w:rPr>
          <w:t xml:space="preserve">https://doi.org/10.1016/j.isprsjprs.2021.09.016</w:t>
        </w:r>
      </w:hyperlink>
    </w:p>
    <w:bookmarkEnd w:id="104"/>
    <w:bookmarkStart w:id="106"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5">
        <w:r>
          <w:rPr>
            <w:rStyle w:val="Hyperlink"/>
          </w:rPr>
          <w:t xml:space="preserve">https://doi.org/10.1016/j.isprsjprs.2019.10.013</w:t>
        </w:r>
      </w:hyperlink>
    </w:p>
    <w:bookmarkEnd w:id="106"/>
    <w:bookmarkStart w:id="108"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7">
        <w:r>
          <w:rPr>
            <w:rStyle w:val="Hyperlink"/>
          </w:rPr>
          <w:t xml:space="preserve">https://doi.org/10.1016/j.envsoft.2017.12.001</w:t>
        </w:r>
      </w:hyperlink>
    </w:p>
    <w:bookmarkEnd w:id="108"/>
    <w:bookmarkStart w:id="110"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09">
        <w:r>
          <w:rPr>
            <w:rStyle w:val="Hyperlink"/>
          </w:rPr>
          <w:t xml:space="preserve">https://doi.org/10.1016/j.patcog.2011.06.019</w:t>
        </w:r>
      </w:hyperlink>
    </w:p>
    <w:bookmarkEnd w:id="110"/>
    <w:bookmarkStart w:id="112"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1">
        <w:r>
          <w:rPr>
            <w:rStyle w:val="Hyperlink"/>
          </w:rPr>
          <w:t xml:space="preserve">https://doi.org/10.5194/essd-13-4349-2021</w:t>
        </w:r>
      </w:hyperlink>
    </w:p>
    <w:bookmarkEnd w:id="112"/>
    <w:bookmarkStart w:id="114" w:name="ref-Pausas2021"/>
    <w:p>
      <w:pPr>
        <w:pStyle w:val="Bibliography"/>
      </w:pPr>
      <w:r>
        <w:t xml:space="preserve">Pausas, J.G., Keeley, J.E., 2021. Wildfires and global change. Frontiers in Ecology and the Environment 19, 387–395.</w:t>
      </w:r>
      <w:r>
        <w:t xml:space="preserve"> </w:t>
      </w:r>
      <w:hyperlink r:id="rId113">
        <w:r>
          <w:rPr>
            <w:rStyle w:val="Hyperlink"/>
          </w:rPr>
          <w:t xml:space="preserve">https://doi.org/10.1002/fee.2359</w:t>
        </w:r>
      </w:hyperlink>
    </w:p>
    <w:bookmarkEnd w:id="114"/>
    <w:bookmarkStart w:id="116"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5">
        <w:r>
          <w:rPr>
            <w:rStyle w:val="Hyperlink"/>
          </w:rPr>
          <w:t xml:space="preserve">https://doi.org/10.1109/TGRS.2012.2192740</w:t>
        </w:r>
      </w:hyperlink>
    </w:p>
    <w:bookmarkEnd w:id="116"/>
    <w:bookmarkStart w:id="118"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7">
        <w:r>
          <w:rPr>
            <w:rStyle w:val="Hyperlink"/>
          </w:rPr>
          <w:t xml:space="preserve">https://doi.org/10.1038/s41467-020-18321-y</w:t>
        </w:r>
      </w:hyperlink>
    </w:p>
    <w:bookmarkEnd w:id="118"/>
    <w:bookmarkStart w:id="120"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19">
        <w:r>
          <w:rPr>
            <w:rStyle w:val="Hyperlink"/>
          </w:rPr>
          <w:t xml:space="preserve">https://doi.org/10.1186/s42408-022-00150-7</w:t>
        </w:r>
      </w:hyperlink>
    </w:p>
    <w:bookmarkEnd w:id="120"/>
    <w:bookmarkStart w:id="122"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1">
        <w:r>
          <w:rPr>
            <w:rStyle w:val="Hyperlink"/>
          </w:rPr>
          <w:t xml:space="preserve">https://doi.org/10.1111/ecog.02881</w:t>
        </w:r>
      </w:hyperlink>
    </w:p>
    <w:bookmarkEnd w:id="122"/>
    <w:bookmarkStart w:id="124" w:name="ref-Rousseau2022"/>
    <w:p>
      <w:pPr>
        <w:pStyle w:val="Bibliography"/>
      </w:pPr>
      <w:r>
        <w:t xml:space="preserve">Rousseau, J.S., Betts, M.G., 2022. Factors influencing transferability in species distribution models. Ecography 2022, e06060.</w:t>
      </w:r>
      <w:r>
        <w:t xml:space="preserve"> </w:t>
      </w:r>
      <w:hyperlink r:id="rId123">
        <w:r>
          <w:rPr>
            <w:rStyle w:val="Hyperlink"/>
          </w:rPr>
          <w:t xml:space="preserve">https://doi.org/10.1111/ecog.06060</w:t>
        </w:r>
      </w:hyperlink>
    </w:p>
    <w:bookmarkEnd w:id="124"/>
    <w:bookmarkStart w:id="126"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5">
        <w:r>
          <w:rPr>
            <w:rStyle w:val="Hyperlink"/>
          </w:rPr>
          <w:t xml:space="preserve">https://doi.org/10.1016/S0034-4257(01)00274-7</w:t>
        </w:r>
      </w:hyperlink>
    </w:p>
    <w:bookmarkEnd w:id="126"/>
    <w:bookmarkStart w:id="128"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7">
        <w:r>
          <w:rPr>
            <w:rStyle w:val="Hyperlink"/>
          </w:rPr>
          <w:t xml:space="preserve">https://doi.org/10.1609/aaai.v30i1.10306</w:t>
        </w:r>
      </w:hyperlink>
    </w:p>
    <w:bookmarkEnd w:id="128"/>
    <w:bookmarkStart w:id="130"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29">
        <w:r>
          <w:rPr>
            <w:rStyle w:val="Hyperlink"/>
          </w:rPr>
          <w:t xml:space="preserve">https://doi.org/10.1109/MGRS.2016.2548504</w:t>
        </w:r>
      </w:hyperlink>
    </w:p>
    <w:bookmarkEnd w:id="130"/>
    <w:bookmarkStart w:id="132"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1">
        <w:r>
          <w:rPr>
            <w:rStyle w:val="Hyperlink"/>
          </w:rPr>
          <w:t xml:space="preserve">https://doi.org/10.1111/2041-210X.13107</w:t>
        </w:r>
      </w:hyperlink>
    </w:p>
    <w:bookmarkEnd w:id="132"/>
    <w:bookmarkStart w:id="134"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3">
        <w:r>
          <w:rPr>
            <w:rStyle w:val="Hyperlink"/>
          </w:rPr>
          <w:t xml:space="preserve">https://doi.org/10.1016/j.ecolmodel.2008.11.010</w:t>
        </w:r>
      </w:hyperlink>
    </w:p>
    <w:bookmarkEnd w:id="134"/>
    <w:bookmarkStart w:id="136" w:name="ref-Vesk2021"/>
    <w:p>
      <w:pPr>
        <w:pStyle w:val="Bibliography"/>
      </w:pPr>
      <w:r>
        <w:t xml:space="preserve">Vesk, P.A., Morris, W.K., Neal, W.C., Mokany, K., Pollock, L.J., 2021. Transferability of trait-based species distribution models. Ecography 44, 134–147.</w:t>
      </w:r>
      <w:r>
        <w:t xml:space="preserve"> </w:t>
      </w:r>
      <w:hyperlink r:id="rId135">
        <w:r>
          <w:rPr>
            <w:rStyle w:val="Hyperlink"/>
          </w:rPr>
          <w:t xml:space="preserve">https://doi.org/10.1111/ecog.05179</w:t>
        </w:r>
      </w:hyperlink>
    </w:p>
    <w:bookmarkEnd w:id="136"/>
    <w:bookmarkStart w:id="138"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7">
        <w:r>
          <w:rPr>
            <w:rStyle w:val="Hyperlink"/>
          </w:rPr>
          <w:t xml:space="preserve">https://doi.org/10.1007/s44163-026-00921-0</w:t>
        </w:r>
      </w:hyperlink>
    </w:p>
    <w:bookmarkEnd w:id="138"/>
    <w:bookmarkStart w:id="140" w:name="ref-Xu2026"/>
    <w:p>
      <w:pPr>
        <w:pStyle w:val="Bibliography"/>
      </w:pPr>
      <w:r>
        <w:t xml:space="preserve">Xu, Y., Dai, Y., Chang, L., Wang, Q., Dong, Y., 2026. Does your wildfire prediction model actually work, or just score well?</w:t>
      </w:r>
      <w:r>
        <w:t xml:space="preserve"> </w:t>
      </w:r>
      <w:hyperlink r:id="rId139">
        <w:r>
          <w:rPr>
            <w:rStyle w:val="Hyperlink"/>
          </w:rPr>
          <w:t xml:space="preserve">https://doi.org/10.48550/arXiv.2605.18911</w:t>
        </w:r>
      </w:hyperlink>
    </w:p>
    <w:bookmarkEnd w:id="140"/>
    <w:bookmarkStart w:id="142"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1">
        <w:r>
          <w:rPr>
            <w:rStyle w:val="Hyperlink"/>
          </w:rPr>
          <w:t xml:space="preserve">https://doi.org/10.1016/j.rse.2013.05.029</w:t>
        </w:r>
      </w:hyperlink>
    </w:p>
    <w:bookmarkEnd w:id="142"/>
    <w:bookmarkStart w:id="144"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3">
        <w:r>
          <w:rPr>
            <w:rStyle w:val="Hyperlink"/>
          </w:rPr>
          <w:t xml:space="preserve">https://doi.org/10.5281/zenodo.7254221</w:t>
        </w:r>
      </w:hyperlink>
    </w:p>
    <w:bookmarkEnd w:id="144"/>
    <w:bookmarkEnd w:id="145"/>
    <w:bookmarkEnd w:id="146"/>
    <w:bookmarkStart w:id="147"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7"/>
    <w:sectPr>
      <w:footerReference r:id="rId9"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3" Type="http://schemas.openxmlformats.org/officeDocument/2006/relationships/hyperlink" Target="https://doi.org/10.1002/fee.2359" TargetMode="External"/><Relationship Id="rId69" Type="http://schemas.openxmlformats.org/officeDocument/2006/relationships/hyperlink" Target="https://doi.org/10.1007/s12145-023-00953-5" TargetMode="External"/><Relationship Id="rId137" Type="http://schemas.openxmlformats.org/officeDocument/2006/relationships/hyperlink" Target="https://doi.org/10.1007/s44163-026-00921-0" TargetMode="External"/><Relationship Id="rId125" Type="http://schemas.openxmlformats.org/officeDocument/2006/relationships/hyperlink" Target="https://doi.org/10.1016/S0034-4257(01)00274-7" TargetMode="External"/><Relationship Id="rId91" Type="http://schemas.openxmlformats.org/officeDocument/2006/relationships/hyperlink" Target="https://doi.org/10.1016/j.ecoinf.2022.101647" TargetMode="External"/><Relationship Id="rId133" Type="http://schemas.openxmlformats.org/officeDocument/2006/relationships/hyperlink" Target="https://doi.org/10.1016/j.ecolmodel.2008.11.010" TargetMode="External"/><Relationship Id="rId73" Type="http://schemas.openxmlformats.org/officeDocument/2006/relationships/hyperlink" Target="https://doi.org/10.1016/j.ecolmodel.2011.02.011" TargetMode="External"/><Relationship Id="rId107"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09" Type="http://schemas.openxmlformats.org/officeDocument/2006/relationships/hyperlink" Target="https://doi.org/10.1016/j.patcog.2011.06.019" TargetMode="External"/><Relationship Id="rId79" Type="http://schemas.openxmlformats.org/officeDocument/2006/relationships/hyperlink" Target="https://doi.org/10.1016/j.rse.2004.01.019" TargetMode="External"/><Relationship Id="rId141" Type="http://schemas.openxmlformats.org/officeDocument/2006/relationships/hyperlink" Target="https://doi.org/10.1016/j.rse.2013.05.029" TargetMode="External"/><Relationship Id="rId87" Type="http://schemas.openxmlformats.org/officeDocument/2006/relationships/hyperlink" Target="https://doi.org/10.1016/j.rse.2017.06.031" TargetMode="External"/><Relationship Id="rId85" Type="http://schemas.openxmlformats.org/officeDocument/2006/relationships/hyperlink" Target="https://doi.org/10.1016/j.rse.2018.08.005" TargetMode="External"/><Relationship Id="rId75" Type="http://schemas.openxmlformats.org/officeDocument/2006/relationships/hyperlink" Target="https://doi.org/10.1016/j.rse.2019.111490" TargetMode="External"/><Relationship Id="rId89" Type="http://schemas.openxmlformats.org/officeDocument/2006/relationships/hyperlink" Target="https://doi.org/10.1016/j.rse.2026.115336" TargetMode="External"/><Relationship Id="rId77" Type="http://schemas.openxmlformats.org/officeDocument/2006/relationships/hyperlink" Target="https://doi.org/10.1023/A:1010933404324" TargetMode="External"/><Relationship Id="rId117" Type="http://schemas.openxmlformats.org/officeDocument/2006/relationships/hyperlink" Target="https://doi.org/10.1038/s41467-020-18321-y" TargetMode="External"/><Relationship Id="rId71" Type="http://schemas.openxmlformats.org/officeDocument/2006/relationships/hyperlink" Target="https://doi.org/10.1073/pnas.1211466110" TargetMode="External"/><Relationship Id="rId129" Type="http://schemas.openxmlformats.org/officeDocument/2006/relationships/hyperlink" Target="https://doi.org/10.1109/MGRS.2016.2548504" TargetMode="External"/><Relationship Id="rId115" Type="http://schemas.openxmlformats.org/officeDocument/2006/relationships/hyperlink" Target="https://doi.org/10.1109/TGRS.2012.2192740" TargetMode="External"/><Relationship Id="rId131" Type="http://schemas.openxmlformats.org/officeDocument/2006/relationships/hyperlink" Target="https://doi.org/10.1111/2041-210X.13107" TargetMode="External"/><Relationship Id="rId121" Type="http://schemas.openxmlformats.org/officeDocument/2006/relationships/hyperlink" Target="https://doi.org/10.1111/ecog.02881" TargetMode="External"/><Relationship Id="rId135" Type="http://schemas.openxmlformats.org/officeDocument/2006/relationships/hyperlink" Target="https://doi.org/10.1111/ecog.05179" TargetMode="External"/><Relationship Id="rId123"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19" Type="http://schemas.openxmlformats.org/officeDocument/2006/relationships/hyperlink" Target="https://doi.org/10.1186/s42408-022-00150-7" TargetMode="External"/><Relationship Id="rId127" Type="http://schemas.openxmlformats.org/officeDocument/2006/relationships/hyperlink" Target="https://doi.org/10.1609/aaai.v30i1.10306" TargetMode="External"/><Relationship Id="rId81"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39" Type="http://schemas.openxmlformats.org/officeDocument/2006/relationships/hyperlink" Target="https://doi.org/10.48550/arXiv.2605.18911" TargetMode="External"/><Relationship Id="rId111" Type="http://schemas.openxmlformats.org/officeDocument/2006/relationships/hyperlink" Target="https://doi.org/10.5194/essd-13-4349-2021" TargetMode="External"/><Relationship Id="rId83"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143" Type="http://schemas.openxmlformats.org/officeDocument/2006/relationships/hyperlink" Target="https://doi.org/10.5281/zenodo.7254221"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doi.org/10.1002/fee.2359" TargetMode="External"/><Relationship Id="rId69" Type="http://schemas.openxmlformats.org/officeDocument/2006/relationships/hyperlink" Target="https://doi.org/10.1007/s12145-023-00953-5" TargetMode="External"/><Relationship Id="rId137" Type="http://schemas.openxmlformats.org/officeDocument/2006/relationships/hyperlink" Target="https://doi.org/10.1007/s44163-026-00921-0" TargetMode="External"/><Relationship Id="rId125" Type="http://schemas.openxmlformats.org/officeDocument/2006/relationships/hyperlink" Target="https://doi.org/10.1016/S0034-4257(01)00274-7" TargetMode="External"/><Relationship Id="rId91" Type="http://schemas.openxmlformats.org/officeDocument/2006/relationships/hyperlink" Target="https://doi.org/10.1016/j.ecoinf.2022.101647" TargetMode="External"/><Relationship Id="rId133" Type="http://schemas.openxmlformats.org/officeDocument/2006/relationships/hyperlink" Target="https://doi.org/10.1016/j.ecolmodel.2008.11.010" TargetMode="External"/><Relationship Id="rId73" Type="http://schemas.openxmlformats.org/officeDocument/2006/relationships/hyperlink" Target="https://doi.org/10.1016/j.ecolmodel.2011.02.011" TargetMode="External"/><Relationship Id="rId107"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09" Type="http://schemas.openxmlformats.org/officeDocument/2006/relationships/hyperlink" Target="https://doi.org/10.1016/j.patcog.2011.06.019" TargetMode="External"/><Relationship Id="rId79" Type="http://schemas.openxmlformats.org/officeDocument/2006/relationships/hyperlink" Target="https://doi.org/10.1016/j.rse.2004.01.019" TargetMode="External"/><Relationship Id="rId141" Type="http://schemas.openxmlformats.org/officeDocument/2006/relationships/hyperlink" Target="https://doi.org/10.1016/j.rse.2013.05.029" TargetMode="External"/><Relationship Id="rId87" Type="http://schemas.openxmlformats.org/officeDocument/2006/relationships/hyperlink" Target="https://doi.org/10.1016/j.rse.2017.06.031" TargetMode="External"/><Relationship Id="rId85" Type="http://schemas.openxmlformats.org/officeDocument/2006/relationships/hyperlink" Target="https://doi.org/10.1016/j.rse.2018.08.005" TargetMode="External"/><Relationship Id="rId75" Type="http://schemas.openxmlformats.org/officeDocument/2006/relationships/hyperlink" Target="https://doi.org/10.1016/j.rse.2019.111490" TargetMode="External"/><Relationship Id="rId89" Type="http://schemas.openxmlformats.org/officeDocument/2006/relationships/hyperlink" Target="https://doi.org/10.1016/j.rse.2026.115336" TargetMode="External"/><Relationship Id="rId77" Type="http://schemas.openxmlformats.org/officeDocument/2006/relationships/hyperlink" Target="https://doi.org/10.1023/A:1010933404324" TargetMode="External"/><Relationship Id="rId117" Type="http://schemas.openxmlformats.org/officeDocument/2006/relationships/hyperlink" Target="https://doi.org/10.1038/s41467-020-18321-y" TargetMode="External"/><Relationship Id="rId71" Type="http://schemas.openxmlformats.org/officeDocument/2006/relationships/hyperlink" Target="https://doi.org/10.1073/pnas.1211466110" TargetMode="External"/><Relationship Id="rId129" Type="http://schemas.openxmlformats.org/officeDocument/2006/relationships/hyperlink" Target="https://doi.org/10.1109/MGRS.2016.2548504" TargetMode="External"/><Relationship Id="rId115" Type="http://schemas.openxmlformats.org/officeDocument/2006/relationships/hyperlink" Target="https://doi.org/10.1109/TGRS.2012.2192740" TargetMode="External"/><Relationship Id="rId131" Type="http://schemas.openxmlformats.org/officeDocument/2006/relationships/hyperlink" Target="https://doi.org/10.1111/2041-210X.13107" TargetMode="External"/><Relationship Id="rId121" Type="http://schemas.openxmlformats.org/officeDocument/2006/relationships/hyperlink" Target="https://doi.org/10.1111/ecog.02881" TargetMode="External"/><Relationship Id="rId135" Type="http://schemas.openxmlformats.org/officeDocument/2006/relationships/hyperlink" Target="https://doi.org/10.1111/ecog.05179" TargetMode="External"/><Relationship Id="rId123"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19" Type="http://schemas.openxmlformats.org/officeDocument/2006/relationships/hyperlink" Target="https://doi.org/10.1186/s42408-022-00150-7" TargetMode="External"/><Relationship Id="rId127" Type="http://schemas.openxmlformats.org/officeDocument/2006/relationships/hyperlink" Target="https://doi.org/10.1609/aaai.v30i1.10306" TargetMode="External"/><Relationship Id="rId81"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39" Type="http://schemas.openxmlformats.org/officeDocument/2006/relationships/hyperlink" Target="https://doi.org/10.48550/arXiv.2605.18911" TargetMode="External"/><Relationship Id="rId111" Type="http://schemas.openxmlformats.org/officeDocument/2006/relationships/hyperlink" Target="https://doi.org/10.5194/essd-13-4349-2021" TargetMode="External"/><Relationship Id="rId83"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143" Type="http://schemas.openxmlformats.org/officeDocument/2006/relationships/hyperlink" Target="https://doi.org/10.5281/zenodo.7254221"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2026-09-23T20:15:29Z</dcterms:created>
  <dcterms:modified xsi:type="dcterms:W3CDTF">2026-09-23T20:15:29Z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