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[BEFORE SENDING: date and sign this letter, and confirm that Emrehan Metin has approved this version</w:t>
      </w:r>
      <w:r>
        <w:t xml:space="preserve"> </w:t>
      </w:r>
      <w:r>
        <w:t xml:space="preserve">of the manuscript (the title and the text changed for Fire Ecology); then delete this line.]</w:t>
      </w:r>
    </w:p>
    <w:p>
      <w:pPr>
        <w:pStyle w:val="BodyText"/>
      </w:pPr>
      <w:r>
        <w:t xml:space="preserve">Adana, [DATE]</w:t>
      </w:r>
    </w:p>
    <w:p>
      <w:pPr>
        <w:pStyle w:val="BodyText"/>
      </w:pPr>
      <w:r>
        <w:t xml:space="preserve">To the Editor-in-Chief,</w:t>
      </w:r>
      <w:r>
        <w:t xml:space="preserve"> </w:t>
      </w:r>
      <w:r>
        <w:rPr>
          <w:i/>
          <w:iCs/>
        </w:rPr>
        <w:t xml:space="preserve">Fire Ecology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the manuscript</w:t>
      </w:r>
      <w:r>
        <w:t xml:space="preserve"> </w:t>
      </w:r>
      <w:r>
        <w:t xml:space="preserve">“Evaluation area and the limits of wildfire model transfer”</w:t>
      </w:r>
      <w:r>
        <w:t xml:space="preserve"> </w:t>
      </w:r>
      <w:r>
        <w:t xml:space="preserve">for consideration as a Research article in</w:t>
      </w:r>
      <w:r>
        <w:t xml:space="preserve"> </w:t>
      </w:r>
      <w:r>
        <w:rPr>
          <w:i/>
          <w:iCs/>
        </w:rPr>
        <w:t xml:space="preserve">Fire Ecology</w:t>
      </w:r>
      <w:r>
        <w:t xml:space="preserve">. The</w:t>
      </w:r>
      <w:r>
        <w:t xml:space="preserve"> </w:t>
      </w:r>
      <w:r>
        <w:t xml:space="preserve">main text has 8,536 words, with figures, tables and references excluded.</w:t>
      </w:r>
    </w:p>
    <w:p>
      <w:pPr>
        <w:pStyle w:val="BodyText"/>
      </w:pPr>
      <w:r>
        <w:t xml:space="preserve">The manuscript belongs to two of the journal’s listed topics, wildfire planning</w:t>
      </w:r>
      <w:r>
        <w:t xml:space="preserve"> </w:t>
      </w:r>
      <w:r>
        <w:t xml:space="preserve">and risk management, and fire science and modeling. Fire susceptibility maps support prevention</w:t>
      </w:r>
      <w:r>
        <w:t xml:space="preserve"> </w:t>
      </w:r>
      <w:r>
        <w:t xml:space="preserve">planning in Mediterranean landscapes, and agencies without a long local fire record, for example after</w:t>
      </w:r>
      <w:r>
        <w:t xml:space="preserve"> </w:t>
      </w:r>
      <w:r>
        <w:t xml:space="preserve">a first large fire, often have to use a map trained elsewhere. We tested whether such maps transfer,</w:t>
      </w:r>
      <w:r>
        <w:t xml:space="preserve"> </w:t>
      </w:r>
      <w:r>
        <w:t xml:space="preserve">using five large Mediterranean fire seasons of 2021 and 2022: Manavgat and Muğla (Türkiye), Bejís</w:t>
      </w:r>
      <w:r>
        <w:t xml:space="preserve"> </w:t>
      </w:r>
      <w:r>
        <w:t xml:space="preserve">(Spain), North Evia (Greece) and Montiferru (Italy). Fire is the process studied throughout: the</w:t>
      </w:r>
      <w:r>
        <w:t xml:space="preserve"> </w:t>
      </w:r>
      <w:r>
        <w:t xml:space="preserve">response is the burned footprint of each season, and the predictors describe the land surface and its</w:t>
      </w:r>
      <w:r>
        <w:t xml:space="preserve"> </w:t>
      </w:r>
      <w:r>
        <w:t xml:space="preserve">vegetation before the fire.</w:t>
      </w:r>
    </w:p>
    <w:p>
      <w:pPr>
        <w:pStyle w:val="BodyText"/>
      </w:pPr>
      <w:r>
        <w:t xml:space="preserve">Pre-fire satellite land surface temperature and dryness</w:t>
      </w:r>
      <w:r>
        <w:t xml:space="preserve"> </w:t>
      </w:r>
      <w:r>
        <w:t xml:space="preserve">predictors improved susceptibility within every region (+0.045 to +0.148 ROC-AUC at 5 km blocking), but</w:t>
      </w:r>
      <w:r>
        <w:t xml:space="preserve"> </w:t>
      </w:r>
      <w:r>
        <w:t xml:space="preserve">the gain carried to other regions was close to zero (+0.007 [−0.020, +0.038]), and none of twenty</w:t>
      </w:r>
      <w:r>
        <w:t xml:space="preserve"> </w:t>
      </w:r>
      <w:r>
        <w:t xml:space="preserve">similarity measures told in advance which transfers would work. Hotter surfaces burned less in four of</w:t>
      </w:r>
      <w:r>
        <w:t xml:space="preserve"> </w:t>
      </w:r>
      <w:r>
        <w:t xml:space="preserve">five regions, which is consistent with land surface temperature tracking canopy cover and terrain</w:t>
      </w:r>
      <w:r>
        <w:t xml:space="preserve"> </w:t>
      </w:r>
      <w:r>
        <w:t xml:space="preserve">more closely than fuel dryness. The study also shows that the area on which a model is scored changes its</w:t>
      </w:r>
      <w:r>
        <w:t xml:space="preserve"> </w:t>
      </w:r>
      <w:r>
        <w:t xml:space="preserve">apparent skill: the same models lost 0.160 ROC-AUC when scored next to the fire instead of</w:t>
      </w:r>
      <w:r>
        <w:t xml:space="preserve"> </w:t>
      </w:r>
      <w:r>
        <w:t xml:space="preserve">region-wide. For fire managers, this means that a borrowed susceptibility model should be tested</w:t>
      </w:r>
      <w:r>
        <w:t xml:space="preserve"> </w:t>
      </w:r>
      <w:r>
        <w:t xml:space="preserve">against burned areas in the target region before it guides prevention planning, and that every</w:t>
      </w:r>
      <w:r>
        <w:t xml:space="preserve"> </w:t>
      </w:r>
      <w:r>
        <w:t xml:space="preserve">reported score should name the area it refers to. Each region contributes one fire season, and the manuscript</w:t>
      </w:r>
      <w:r>
        <w:t xml:space="preserve"> </w:t>
      </w:r>
      <w:r>
        <w:t xml:space="preserve">states throughout that the results describe large single-season events.</w:t>
      </w:r>
    </w:p>
    <w:p>
      <w:pPr>
        <w:pStyle w:val="BodyText"/>
      </w:pPr>
      <w:r>
        <w:t xml:space="preserve">The authors declare that they have no competing interests. The manuscript is not</w:t>
      </w:r>
      <w:r>
        <w:t xml:space="preserve"> </w:t>
      </w:r>
      <w:r>
        <w:t xml:space="preserve">part of a special collection. All authors have approved the manuscript for submission. The content of</w:t>
      </w:r>
      <w:r>
        <w:t xml:space="preserve"> </w:t>
      </w:r>
      <w:r>
        <w:t xml:space="preserve">the manuscript has not been published, and it is not under consideration for publication elsewhere.</w:t>
      </w:r>
      <w:r>
        <w:t xml:space="preserve"> </w:t>
      </w:r>
      <w:r>
        <w:t xml:space="preserve">An earlier version was submitted to</w:t>
      </w:r>
      <w:r>
        <w:t xml:space="preserve"> </w:t>
      </w:r>
      <w:r>
        <w:rPr>
          <w:i/>
          <w:iCs/>
        </w:rPr>
        <w:t xml:space="preserve">Fire</w:t>
      </w:r>
      <w:r>
        <w:t xml:space="preserve"> </w:t>
      </w:r>
      <w:r>
        <w:t xml:space="preserve">(MDPI; manuscript fire-4642098, submitted on 6 October</w:t>
      </w:r>
      <w:r>
        <w:t xml:space="preserve"> </w:t>
      </w:r>
      <w:r>
        <w:t xml:space="preserve">2026), which declined it without peer review on 9 October 2026. It has since been restructured and</w:t>
      </w:r>
      <w:r>
        <w:t xml:space="preserve"> </w:t>
      </w:r>
      <w:r>
        <w:t xml:space="preserve">shortened for</w:t>
      </w:r>
      <w:r>
        <w:t xml:space="preserve"> </w:t>
      </w:r>
      <w:r>
        <w:rPr>
          <w:i/>
          <w:iCs/>
        </w:rPr>
        <w:t xml:space="preserve">Fire Ecology</w:t>
      </w:r>
      <w:r>
        <w:t xml:space="preserve">. The use of generative AI is stated in the Acknowledgements. All satellite</w:t>
      </w:r>
      <w:r>
        <w:t xml:space="preserve"> </w:t>
      </w:r>
      <w:r>
        <w:t xml:space="preserve">inputs are public, and the analysis code, the modelling datasets and the frozen outputs behind every</w:t>
      </w:r>
      <w:r>
        <w:t xml:space="preserve"> </w:t>
      </w:r>
      <w:r>
        <w:t xml:space="preserve">reported number are archived at Zenodo, so every result can be re-run.</w:t>
      </w:r>
    </w:p>
    <w:p>
      <w:pPr>
        <w:pStyle w:val="BodyText"/>
      </w:pPr>
      <w:r>
        <w:t xml:space="preserve">We suggest the following reviewers:</w:t>
      </w:r>
    </w:p>
    <w:p>
      <w:pPr>
        <w:pStyle w:val="BodyText"/>
      </w:pPr>
      <w:r>
        <w:t xml:space="preserve">[Five suggested reviewers with affiliation and e-mail: inserted from the local file suggested_reviewers.md, which is not public.]</w:t>
      </w:r>
    </w:p>
    <w:p>
      <w:pPr>
        <w:pStyle w:val="BodyText"/>
      </w:pPr>
      <w:r>
        <w:t xml:space="preserve">We do not ask for any reviewer to be excluded.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Yunus Emre Cogurcu (corresponding author)</w:t>
      </w:r>
      <w:r>
        <w:br/>
      </w:r>
      <w:r>
        <w:t xml:space="preserve">Department of Computer Engineering, Faculty of Engineering, Çukurova University, 01330 Sarıçam,</w:t>
      </w:r>
      <w:r>
        <w:t xml:space="preserve"> </w:t>
      </w:r>
      <w:r>
        <w:t xml:space="preserve">Adana, Türkiye</w:t>
      </w:r>
      <w:r>
        <w:br/>
      </w:r>
      <w:r>
        <w:t xml:space="preserve">ycogurcu@cu.edu.tr</w:t>
      </w:r>
    </w:p>
    <w:sectPr>
      <w:footerReference r:id="rId9" w:type="default"/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60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60" w:before="180" w:line="240" w:lineRule="auto"/>
    </w:pPr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after="160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60" w:before="36" w:line="240" w:lineRule="auto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b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480" w:lineRule="auto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1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Emrehan Metin; Yunus Emre Cogurcu</dc:creator>
  <cp:keywords/>
  <dcterms:created xsi:type="dcterms:W3CDTF">2026-10-23T19:37:27Z</dcterms:created>
  <dcterms:modified xsi:type="dcterms:W3CDTF">2026-10-23T19:37:27Z</dcterms:modified>
  <cp:lastModifiedBy/>
  <dc:description/>
  <dc:subject/>
  <cp:category/>
  <dc:identifier/>
  <cp:revision>1</cp:revision>
</cp:coreProperties>
</file>