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[BEFORE SENDING: Fire requires the first statement below to be true. Send this letter only when</w:t>
      </w:r>
      <w:r>
        <w:t xml:space="preserve"> </w:t>
      </w:r>
      <w:r>
        <w:t xml:space="preserve">the manuscript is not under consideration at Natural Hazards or any other journal; then delete this</w:t>
      </w:r>
      <w:r>
        <w:t xml:space="preserve"> </w:t>
      </w:r>
      <w:r>
        <w:t xml:space="preserve">line, date and sign.]</w:t>
      </w:r>
    </w:p>
    <w:p>
      <w:pPr>
        <w:pStyle w:val="BodyText"/>
      </w:pPr>
      <w:r>
        <w:t xml:space="preserve">Adana, [DATE]</w:t>
      </w:r>
    </w:p>
    <w:p>
      <w:pPr>
        <w:pStyle w:val="BodyText"/>
      </w:pPr>
      <w:r>
        <w:t xml:space="preserve">To the Editor-in-Chief,</w:t>
      </w:r>
      <w:r>
        <w:t xml:space="preserve"> </w:t>
      </w:r>
      <w:r>
        <w:rPr>
          <w:i/>
          <w:iCs/>
        </w:rPr>
        <w:t xml:space="preserve">Fire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the manuscript</w:t>
      </w:r>
      <w:r>
        <w:t xml:space="preserve"> </w:t>
      </w:r>
      <w:r>
        <w:t xml:space="preserve">“Evaluation area and the limits of cross-region transfer of single-season wildfire models with pre-fire thermal predictors: five large Mediterranean fires”</w:t>
      </w:r>
      <w:r>
        <w:t xml:space="preserve"> </w:t>
      </w:r>
      <w:r>
        <w:t xml:space="preserve">for consideration as an Article in</w:t>
      </w:r>
      <w:r>
        <w:t xml:space="preserve"> </w:t>
      </w:r>
      <w:r>
        <w:rPr>
          <w:i/>
          <w:iCs/>
        </w:rPr>
        <w:t xml:space="preserve">Fire</w:t>
      </w:r>
      <w:r>
        <w:t xml:space="preserve">.</w:t>
      </w:r>
    </w:p>
    <w:p>
      <w:pPr>
        <w:pStyle w:val="BodyText"/>
      </w:pPr>
      <w:r>
        <w:t xml:space="preserve">Fire agencies in regions without a long burned-area record often have to use susceptibility models</w:t>
      </w:r>
      <w:r>
        <w:t xml:space="preserve"> </w:t>
      </w:r>
      <w:r>
        <w:t xml:space="preserve">built elsewhere, yet such models are almost always validated only in the region where they were</w:t>
      </w:r>
      <w:r>
        <w:t xml:space="preserve"> </w:t>
      </w:r>
      <w:r>
        <w:t xml:space="preserve">trained. We tested this directly for five large Mediterranean fire seasons of 2021 and 2022 (Manavgat</w:t>
      </w:r>
      <w:r>
        <w:t xml:space="preserve"> </w:t>
      </w:r>
      <w:r>
        <w:t xml:space="preserve">and Muğla, Türkiye; Bejís, Spain; North Evia, Greece; Montiferru, Italy). Pre-fire satellite land</w:t>
      </w:r>
      <w:r>
        <w:t xml:space="preserve"> </w:t>
      </w:r>
      <w:r>
        <w:t xml:space="preserve">surface temperature and dryness predictors improved random-forest susceptibility within every region</w:t>
      </w:r>
      <w:r>
        <w:t xml:space="preserve"> </w:t>
      </w:r>
      <w:r>
        <w:t xml:space="preserve">(+0.045 to +0.148 ROC-AUC), but the gain carried to other regions was close to zero (+0.007), and no</w:t>
      </w:r>
      <w:r>
        <w:t xml:space="preserve"> </w:t>
      </w:r>
      <w:r>
        <w:t xml:space="preserve">similarity measure told in advance which transfers would work. The paper also shows that the area on</w:t>
      </w:r>
      <w:r>
        <w:t xml:space="preserve"> </w:t>
      </w:r>
      <w:r>
        <w:t xml:space="preserve">which a model is scored changes its apparent skill substantially, and that pre-fire land surface</w:t>
      </w:r>
      <w:r>
        <w:t xml:space="preserve"> </w:t>
      </w:r>
      <w:r>
        <w:t xml:space="preserve">temperature behaved as a descriptor of the land surface rather than as a dryness signal: hotter</w:t>
      </w:r>
      <w:r>
        <w:t xml:space="preserve"> </w:t>
      </w:r>
      <w:r>
        <w:t xml:space="preserve">surfaces burned less in four of the five regions.</w:t>
      </w:r>
    </w:p>
    <w:p>
      <w:pPr>
        <w:pStyle w:val="BodyText"/>
      </w:pPr>
      <w:r>
        <w:t xml:space="preserve">The manuscript fits the scope of</w:t>
      </w:r>
      <w:r>
        <w:t xml:space="preserve"> </w:t>
      </w:r>
      <w:r>
        <w:rPr>
          <w:i/>
          <w:iCs/>
        </w:rPr>
        <w:t xml:space="preserve">Fire</w:t>
      </w:r>
      <w:r>
        <w:t xml:space="preserve"> </w:t>
      </w:r>
      <w:r>
        <w:t xml:space="preserve">because it concerns how fire susceptibility maps, which serve</w:t>
      </w:r>
      <w:r>
        <w:t xml:space="preserve"> </w:t>
      </w:r>
      <w:r>
        <w:t xml:space="preserve">prevention planning, should be evaluated before they are used in a new region. It builds on</w:t>
      </w:r>
      <w:r>
        <w:t xml:space="preserve"> </w:t>
      </w:r>
      <w:r>
        <w:t xml:space="preserve">susceptibility and fuel-moisture work published in</w:t>
      </w:r>
      <w:r>
        <w:t xml:space="preserve"> </w:t>
      </w:r>
      <w:r>
        <w:rPr>
          <w:i/>
          <w:iCs/>
        </w:rPr>
        <w:t xml:space="preserve">Fire</w:t>
      </w:r>
      <w:r>
        <w:t xml:space="preserve"> </w:t>
      </w:r>
      <w:r>
        <w:t xml:space="preserve">(Trucchia et al., 2022; Marino et al., 2024)</w:t>
      </w:r>
      <w:r>
        <w:t xml:space="preserve"> </w:t>
      </w:r>
      <w:r>
        <w:t xml:space="preserve">and complements weather-driven danger rating such as the Fire Weather Index used by EFFIS, by isolating</w:t>
      </w:r>
      <w:r>
        <w:t xml:space="preserve"> </w:t>
      </w:r>
      <w:r>
        <w:t xml:space="preserve">the pre-fire surface component. Each region contributes one fire season, and we state throughout that</w:t>
      </w:r>
      <w:r>
        <w:t xml:space="preserve"> </w:t>
      </w:r>
      <w:r>
        <w:t xml:space="preserve">the results describe large single-season events. All satellite inputs are public, and the analysis</w:t>
      </w:r>
      <w:r>
        <w:t xml:space="preserve"> </w:t>
      </w:r>
      <w:r>
        <w:t xml:space="preserve">code, the modelling datasets and the frozen outputs behind every reported number are archived at</w:t>
      </w:r>
      <w:r>
        <w:t xml:space="preserve"> </w:t>
      </w:r>
      <w:r>
        <w:t xml:space="preserve">Zenodo, so every result can be re-run.</w:t>
      </w:r>
    </w:p>
    <w:p>
      <w:pPr>
        <w:pStyle w:val="BodyText"/>
      </w:pPr>
      <w:r>
        <w:t xml:space="preserve">We confirm that neither the manuscript nor any parts of its content are currently under consideration</w:t>
      </w:r>
      <w:r>
        <w:t xml:space="preserve"> </w:t>
      </w:r>
      <w:r>
        <w:t xml:space="preserve">for publication with or published in another journal. All authors have approved the manuscript and</w:t>
      </w:r>
      <w:r>
        <w:t xml:space="preserve"> </w:t>
      </w:r>
      <w:r>
        <w:t xml:space="preserve">agree with its submission to</w:t>
      </w:r>
      <w:r>
        <w:t xml:space="preserve"> </w:t>
      </w:r>
      <w:r>
        <w:rPr>
          <w:i/>
          <w:iCs/>
        </w:rPr>
        <w:t xml:space="preserve">Fire</w:t>
      </w:r>
      <w:r>
        <w:t xml:space="preserve">. The manuscript has not been submitted to an MDPI journal before.</w:t>
      </w:r>
      <w:r>
        <w:t xml:space="preserve"> </w:t>
      </w:r>
      <w:r>
        <w:t xml:space="preserve">Suggested reviewers are entered in the submission system.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Yunus Emre Cogurcu (corresponding author)</w:t>
      </w:r>
      <w:r>
        <w:br/>
      </w:r>
      <w:r>
        <w:t xml:space="preserve">Department of Computer Engineering, Faculty of Engineering, Çukurova University, 01330 Sarıçam,</w:t>
      </w:r>
      <w:r>
        <w:t xml:space="preserve"> </w:t>
      </w:r>
      <w:r>
        <w:t xml:space="preserve">Adana, Türkiye</w:t>
      </w:r>
      <w:r>
        <w:br/>
      </w:r>
      <w:r>
        <w:t xml:space="preserve">ycogurcu@cu.edu.tr</w:t>
      </w:r>
    </w:p>
    <w:sectPr>
      <w:footerReference r:id="rId9" w:type="default"/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60" w:before="180" w:line="240" w:lineRule="auto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60" w:before="36" w:line="240" w:lineRule="auto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b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1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Emrehan Metin; Yunus Emre Cogurcu</dc:creator>
  <cp:keywords/>
  <dcterms:created xsi:type="dcterms:W3CDTF">2026-09-30T21:35:06Z</dcterms:created>
  <dcterms:modified xsi:type="dcterms:W3CDTF">2026-09-30T21:35:06Z</dcterms:modified>
  <cp:lastModifiedBy/>
  <dc:description/>
  <dc:subject/>
  <cp:category/>
  <dc:identifier/>
  <cp:revision>1</cp:revision>
</cp:coreProperties>
</file>