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[Before sending, date and sign this letter and confirm that Emrehan Metin has approved this version</w:t>
      </w:r>
      <w:r>
        <w:t xml:space="preserve"> </w:t>
      </w:r>
      <w:r>
        <w:t xml:space="preserve">of the manuscript, then delete this line.]</w:t>
      </w:r>
    </w:p>
    <w:p>
      <w:pPr>
        <w:pStyle w:val="BodyText"/>
      </w:pPr>
      <w:r>
        <w:t xml:space="preserve">Adana, [DATE]</w:t>
      </w:r>
    </w:p>
    <w:p>
      <w:pPr>
        <w:pStyle w:val="BodyText"/>
      </w:pPr>
      <w:r>
        <w:t xml:space="preserve">To the Editor-in-Chief,</w:t>
      </w:r>
      <w:r>
        <w:t xml:space="preserve"> </w:t>
      </w:r>
      <w:r>
        <w:rPr>
          <w:i/>
          <w:iCs/>
        </w:rPr>
        <w:t xml:space="preserve">Natural Hazards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We submit the manuscript</w:t>
      </w:r>
      <w:r>
        <w:t xml:space="preserve"> </w:t>
      </w:r>
      <w:r>
        <w:t xml:space="preserve">“Evaluation area and the limits of cross-region transfer of wildfire susceptibility models in five Mediterranean fires”</w:t>
      </w:r>
      <w:r>
        <w:t xml:space="preserve"> </w:t>
      </w:r>
      <w:r>
        <w:t xml:space="preserve">for consideration as an original research article in</w:t>
      </w:r>
      <w:r>
        <w:t xml:space="preserve"> </w:t>
      </w:r>
      <w:r>
        <w:rPr>
          <w:i/>
          <w:iCs/>
        </w:rPr>
        <w:t xml:space="preserve">Natural</w:t>
      </w:r>
      <w:r>
        <w:rPr>
          <w:i/>
          <w:iCs/>
        </w:rPr>
        <w:t xml:space="preserve"> </w:t>
      </w:r>
      <w:r>
        <w:rPr>
          <w:i/>
          <w:iCs/>
        </w:rPr>
        <w:t xml:space="preserve">Hazards</w:t>
      </w:r>
      <w:r>
        <w:t xml:space="preserve">, in the risk assessment section. The main text has 8,716 words, with tables, figure</w:t>
      </w:r>
      <w:r>
        <w:t xml:space="preserve"> </w:t>
      </w:r>
      <w:r>
        <w:t xml:space="preserve">captions, references and declarations excluded.</w:t>
      </w:r>
    </w:p>
    <w:p>
      <w:pPr>
        <w:pStyle w:val="BodyText"/>
      </w:pPr>
      <w:r>
        <w:t xml:space="preserve">Wildfire susceptibility maps are a common input to prevention planning, and most of them are trained</w:t>
      </w:r>
      <w:r>
        <w:t xml:space="preserve"> </w:t>
      </w:r>
      <w:r>
        <w:t xml:space="preserve">and evaluated in a single region. Agencies without a long local fire record, for example after a first</w:t>
      </w:r>
      <w:r>
        <w:t xml:space="preserve"> </w:t>
      </w:r>
      <w:r>
        <w:t xml:space="preserve">large fire, may have to use a map developed elsewhere. We tested whether such maps transfer between</w:t>
      </w:r>
      <w:r>
        <w:t xml:space="preserve"> </w:t>
      </w:r>
      <w:r>
        <w:t xml:space="preserve">regions, using five large Mediterranean fire seasons of 2021 and 2022 in Manavgat and Muğla (Türkiye),</w:t>
      </w:r>
      <w:r>
        <w:t xml:space="preserve"> </w:t>
      </w:r>
      <w:r>
        <w:t xml:space="preserve">Bejís (Spain), North Evia (Greece) and Montiferru (Italy).</w:t>
      </w:r>
    </w:p>
    <w:p>
      <w:pPr>
        <w:pStyle w:val="BodyText"/>
      </w:pPr>
      <w:r>
        <w:t xml:space="preserve">The manuscript reports three results on how susceptibility models are evaluated and used. First, the</w:t>
      </w:r>
      <w:r>
        <w:t xml:space="preserve"> </w:t>
      </w:r>
      <w:r>
        <w:t xml:space="preserve">area on which a model is scored changes its apparent skill, and the same models lost 0.160 ROC-AUC</w:t>
      </w:r>
      <w:r>
        <w:t xml:space="preserve"> </w:t>
      </w:r>
      <w:r>
        <w:t xml:space="preserve">when scored on the burn scar and a 2 km collar instead of region-wide. Second, pre-fire satellite land</w:t>
      </w:r>
      <w:r>
        <w:t xml:space="preserve"> </w:t>
      </w:r>
      <w:r>
        <w:t xml:space="preserve">surface temperature and dryness predictors improved susceptibility within every region (+0.045 to</w:t>
      </w:r>
      <w:r>
        <w:t xml:space="preserve"> </w:t>
      </w:r>
      <w:r>
        <w:t xml:space="preserve">+0.148 ROC-AUC at 5 km blocking), but the gain carried to other regions was close to zero (+0.007</w:t>
      </w:r>
      <w:r>
        <w:t xml:space="preserve"> </w:t>
      </w:r>
      <w:r>
        <w:t xml:space="preserve">[−0.020, +0.038]), and none of twenty similarity measures told in advance which transfers would work.</w:t>
      </w:r>
      <w:r>
        <w:t xml:space="preserve"> </w:t>
      </w:r>
      <w:r>
        <w:t xml:space="preserve">Third, hotter surfaces burned less in four of five regions, which is consistent with land surface</w:t>
      </w:r>
      <w:r>
        <w:t xml:space="preserve"> </w:t>
      </w:r>
      <w:r>
        <w:t xml:space="preserve">temperature describing the land surface more than fuel dryness. All intervals are spatial-block</w:t>
      </w:r>
      <w:r>
        <w:t xml:space="preserve"> </w:t>
      </w:r>
      <w:r>
        <w:t xml:space="preserve">bootstrap intervals. Each region contributes one fire season, which the manuscript states as a</w:t>
      </w:r>
      <w:r>
        <w:t xml:space="preserve"> </w:t>
      </w:r>
      <w:r>
        <w:t xml:space="preserve">limitation. For hazard practice, a susceptibility model trained elsewhere should be tested against</w:t>
      </w:r>
      <w:r>
        <w:t xml:space="preserve"> </w:t>
      </w:r>
      <w:r>
        <w:t xml:space="preserve">burned areas in the target region before it guides prevention planning, and every reported score</w:t>
      </w:r>
      <w:r>
        <w:t xml:space="preserve"> </w:t>
      </w:r>
      <w:r>
        <w:t xml:space="preserve">should name the area it refers to.</w:t>
      </w:r>
    </w:p>
    <w:p>
      <w:pPr>
        <w:pStyle w:val="BodyText"/>
      </w:pPr>
      <w:r>
        <w:rPr>
          <w:i/>
          <w:iCs/>
        </w:rPr>
        <w:t xml:space="preserve">Natural Hazards</w:t>
      </w:r>
      <w:r>
        <w:t xml:space="preserve"> </w:t>
      </w:r>
      <w:r>
        <w:t xml:space="preserve">has published machine-learning wildfire susceptibility maps, for example Thies</w:t>
      </w:r>
      <w:r>
        <w:t xml:space="preserve"> </w:t>
      </w:r>
      <w:r>
        <w:t xml:space="preserve">(2025, https://doi.org/10.1007/s11069-025-07292-2), and studies of how validation design and transfer</w:t>
      </w:r>
      <w:r>
        <w:t xml:space="preserve"> </w:t>
      </w:r>
      <w:r>
        <w:t xml:space="preserve">between areas change the apparent skill of susceptibility models for other hazards (Dasarwar and</w:t>
      </w:r>
      <w:r>
        <w:t xml:space="preserve"> </w:t>
      </w:r>
      <w:r>
        <w:t xml:space="preserve">Hindayar 2026, https://doi.org/10.1007/s11069-026-08481-3, and Mohebzadeh et al. 2024,</w:t>
      </w:r>
      <w:r>
        <w:t xml:space="preserve"> </w:t>
      </w:r>
      <w:r>
        <w:t xml:space="preserve">https://doi.org/10.1007/s11069-023-06377-0). Our manuscript asks the same questions for wildfire</w:t>
      </w:r>
      <w:r>
        <w:t xml:space="preserve"> </w:t>
      </w:r>
      <w:r>
        <w:t xml:space="preserve">across four countries and cites these studies.</w:t>
      </w:r>
    </w:p>
    <w:p>
      <w:pPr>
        <w:pStyle w:val="BodyText"/>
      </w:pPr>
      <w:r>
        <w:t xml:space="preserve">The authors declare that they have no competing interests. All authors have approved the manuscript</w:t>
      </w:r>
      <w:r>
        <w:t xml:space="preserve"> </w:t>
      </w:r>
      <w:r>
        <w:t xml:space="preserve">for submission. The content of the manuscript has not been published, and it is not under</w:t>
      </w:r>
      <w:r>
        <w:t xml:space="preserve"> </w:t>
      </w:r>
      <w:r>
        <w:t xml:space="preserve">consideration for publication elsewhere. The use of generative AI is stated at the end of the Methods.</w:t>
      </w:r>
      <w:r>
        <w:t xml:space="preserve"> </w:t>
      </w:r>
      <w:r>
        <w:t xml:space="preserve">All satellite inputs are public, and the analysis code, the modelling datasets and the frozen outputs</w:t>
      </w:r>
      <w:r>
        <w:t xml:space="preserve"> </w:t>
      </w:r>
      <w:r>
        <w:t xml:space="preserve">behind every reported number are archived at Zenodo, so every result can be re-run.</w:t>
      </w:r>
    </w:p>
    <w:p>
      <w:pPr>
        <w:pStyle w:val="BodyText"/>
      </w:pPr>
      <w:r>
        <w:t xml:space="preserve">We suggest the following reviewers.</w:t>
      </w:r>
    </w:p>
    <w:p>
      <w:pPr>
        <w:pStyle w:val="BodyText"/>
      </w:pPr>
      <w:r>
        <w:t xml:space="preserve">[The suggested reviewers, with affiliation and institutional e-mail, are inserted from the local file suggested_reviewers.md, which is not public.]</w:t>
      </w:r>
    </w:p>
    <w:p>
      <w:pPr>
        <w:pStyle w:val="BodyText"/>
      </w:pPr>
      <w:r>
        <w:t xml:space="preserve">We do not ask for any reviewer to be excluded.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Yunus Emre Cogurcu (corresponding author)</w:t>
      </w:r>
      <w:r>
        <w:br/>
      </w:r>
      <w:r>
        <w:t xml:space="preserve">Department of Computer Engineering, Faculty of Engineering, Çukurova University, 01330 Sarıçam,</w:t>
      </w:r>
      <w:r>
        <w:t xml:space="preserve"> </w:t>
      </w:r>
      <w:r>
        <w:t xml:space="preserve">Adana, Türkiye</w:t>
      </w:r>
      <w:r>
        <w:br/>
      </w:r>
      <w:r>
        <w:t xml:space="preserve">ycogurcu@cu.edu.tr</w:t>
      </w:r>
    </w:p>
    <w:sectPr>
      <w:footerReference r:id="rId9" w:type="default"/>
      <w:footnotePr>
        <w:numRestart w:val="eachSect"/>
      </w:footnote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40" w:lineRule="auto" w:after="160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60" w:before="180" w:line="240" w:lineRule="auto"/>
    </w:pPr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40" w:lineRule="auto" w:after="160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160" w:before="36" w:line="240" w:lineRule="auto"/>
    </w:pPr>
    <w:rPr>
      <w:rFonts w:ascii="Times New Roman" w:cs="Times New Roman" w:eastAsia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b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eastAsia="Times New Roman" w:hAnsi="Times New Roman"/>
      <w:b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eastAsia="Times New Roman" w:hAnsi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cs="Times New Roman" w:eastAsia="Times New Roman" w:hAnsi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cs="Times New Roman" w:eastAsia="Times New Roman" w:hAnsi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cs="Times New Roman" w:eastAsia="Times New Roman" w:hAnsi="Times New Roma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480" w:lineRule="auto"/>
    </w:pPr>
    <w:rPr>
      <w:rFonts w:ascii="Times New Roman" w:cs="Times New Roman" w:eastAsia="Times New Roman" w:hAnsi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line="480" w:lineRule="auto"/>
    </w:pPr>
    <w:rPr>
      <w:rFonts w:ascii="Times New Roman" w:cs="Times New Roman" w:eastAsia="Times New Roman" w:hAnsi="Times New Roman"/>
      <w:sz w:val="24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eastAsia="Times New Roman" w:hAnsi="Times New Roman"/>
      <w:b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eastAsia="Times New Roman" w:hAnsi="Times New Roman"/>
      <w:b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b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eastAsia="Times New Roman" w:hAnsi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eastAsia="Times New Roman" w:hAnsi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eastAsia="Times New Roman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eastAsia="Times New Roman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eastAsia="Times New Roman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eastAsia="Times New Roman" w:hAnsi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eastAsia="Times New Roman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eastAsia="Times New Roman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eastAsia="Times New Roman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eastAsia="Times New Roman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</w:rPr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21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creator>Emrehan Metin; Yunus Emre Cogurcu</dc:creator>
  <cp:keywords/>
  <dcterms:created xsi:type="dcterms:W3CDTF">2026-10-25T16:16:09Z</dcterms:created>
  <dcterms:modified xsi:type="dcterms:W3CDTF">2026-10-25T16:16:09Z</dcterms:modified>
  <cp:lastModifiedBy/>
  <dc:description/>
  <dc:subject/>
  <cp:category/>
  <dc:identifier/>
  <cp:revision>1</cp:revision>
</cp:coreProperties>
</file>