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10,035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t xml:space="preserve">Three findings carry this paper, stated here as claims and established in Section 4, which carries</w:t>
      </w:r>
      <w:r>
        <w:t xml:space="preserve"> </w:t>
      </w:r>
      <w:r>
        <w:t xml:space="preserve">every interval.</w:t>
      </w:r>
    </w:p>
    <w:p>
      <w:pPr>
        <w:pStyle w:val="BodyText"/>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20-cell row is indicative (above). 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Section 1.3 states the three findings and Section 4 establishes them; this section argues from them.</w:t>
      </w:r>
      <w:r>
        <w:t xml:space="preserve"> </w:t>
      </w:r>
      <w:r>
        <w:t xml:space="preserve">The first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That is the size of the predictor-block increments this</w:t>
      </w:r>
      <w:r>
        <w:t xml:space="preserve"> </w:t>
      </w:r>
      <w:r>
        <w:t xml:space="preserve">design itself measures.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The static baseline transfers no better on either frame, so this is not a peculiarity of</w:t>
      </w:r>
      <w:r>
        <w:t xml:space="preserve"> </w:t>
      </w:r>
      <w:r>
        <w:t xml:space="preserve">thermal predictors.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five modelling datasets, the frozen numeric outputs and the Supplementary</w:t>
      </w:r>
      <w:r>
        <w:t xml:space="preserve"> </w:t>
      </w:r>
      <w:r>
        <w:t xml:space="preserve">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2026-09-23T20:38:44Z</dcterms:created>
  <dcterms:modified xsi:type="dcterms:W3CDTF">2026-09-23T20:38:44Z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