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Evaluation area and the limits of cross-region transfer of pre-fire thermal wildfire models: five large Mediterranean fires</w:t>
      </w:r>
    </w:p>
    <w:p>
      <w:pPr>
        <w:pStyle w:val="FirstParagraph"/>
      </w:pPr>
      <w:r>
        <w:t xml:space="preserve">Emrehan Metin</w:t>
      </w:r>
      <w:r>
        <w:rPr>
          <w:vertAlign w:val="superscript"/>
        </w:rPr>
        <w:t xml:space="preserve">1</w:t>
      </w:r>
      <w:r>
        <w:t xml:space="preserve">, Yunus Emre Cogurcu</w:t>
      </w:r>
      <w:r>
        <w:rPr>
          <w:vertAlign w:val="superscript"/>
        </w:rPr>
        <w:t xml:space="preserve">1,*</w:t>
      </w:r>
    </w:p>
    <w:p>
      <w:pPr>
        <w:pStyle w:val="BodyText"/>
      </w:pPr>
      <w:r>
        <w:rPr>
          <w:vertAlign w:val="superscript"/>
        </w:rPr>
        <w:t xml:space="preserve">1</w:t>
      </w:r>
      <w:r>
        <w:t xml:space="preserve"> </w:t>
      </w:r>
      <w:r>
        <w:t xml:space="preserve">Department of Computer Engineering, Faculty of Engineering, Çukurova University, 01330 Sarıçam,</w:t>
      </w:r>
      <w:r>
        <w:t xml:space="preserve"> </w:t>
      </w:r>
      <w:r>
        <w:t xml:space="preserve">Adana, Türkiye</w:t>
      </w:r>
    </w:p>
    <w:p>
      <w:pPr>
        <w:pStyle w:val="BodyText"/>
      </w:pPr>
      <w:r>
        <w:rPr>
          <w:vertAlign w:val="superscript"/>
        </w:rPr>
        <w:t xml:space="preserve">*</w:t>
      </w:r>
      <w:r>
        <w:t xml:space="preserve"> </w:t>
      </w:r>
      <w:r>
        <w:t xml:space="preserve">Corresponding author: Yunus Emre Cogurcu, ycogurcu@cu.edu.tr</w:t>
      </w:r>
    </w:p>
    <w:p>
      <w:pPr>
        <w:pStyle w:val="BodyText"/>
      </w:pPr>
      <w:r>
        <w:t xml:space="preserve">ORCID: Yunus Emre Cogurcu, 0000-0002-9229-9657</w:t>
      </w:r>
    </w:p>
    <w:p>
      <w:pPr>
        <w:pStyle w:val="BodyText"/>
      </w:pPr>
      <w:r>
        <w:rPr>
          <w:b/>
          <w:bCs/>
        </w:rPr>
        <w:t xml:space="preserve">Word count:</w:t>
      </w:r>
      <w:r>
        <w:t xml:space="preserve"> </w:t>
      </w:r>
      <w:r>
        <w:t xml:space="preserve">8,793 words in the main text (Sections 1 to 6, table captions and notes included; tables, references, declarations and figure captions excluded). Abstract 250 words.</w:t>
      </w:r>
    </w:p>
    <w:bookmarkStart w:id="18" w:name="abstract"/>
    <w:p>
      <w:pPr>
        <w:pStyle w:val="Heading1"/>
      </w:pPr>
      <w:r>
        <w:t xml:space="preserve">Abstract</w:t>
      </w:r>
    </w:p>
    <w:p>
      <w:pPr>
        <w:pStyle w:val="FirstParagraph"/>
      </w:pPr>
      <w:r>
        <w:t xml:space="preserve">Wildfire susceptibility models are usually tested in the region where they were trained, and how well they work elsewhere is rarely measured. Six pre-fire land surface temperature and dryness predictors from Landsat and MODIS were added to a terrain, land-cover and greenness baseline. Random forests were then trained and tested in five regions, each with one large fire season: Manavgat and Muğla 2021 (Türkiye), Bejís 2022 (Spain), North Evia 2021 (Greece) and Montiferru 2021 (Italy). Burned areas were taken from MODIS MCD64A1, and skill was measured as the area under the ROC curve (ROC-AUC) under spatially blocked validation. First, the evaluation area changes the score. When the same model was scored on the burn scar and a 2 km collar instead of the whole study area, ROC-AUC fell by 0.160 [0.090, 0.230] across five regions. The two areas answer different questions. Second, local skill transferred at most weakly. With 5 km blocking, the thermal predictors added +0.045 to +0.148 within regions, but only +0.007 [−0.020, +0.038] across twenty transfer directions and +0.024 [−0.004, +0.049] when the study areas were made comparable. The static baseline did not transfer better, and the two label-free adaptation methods tested did not help. Third, none of twenty similarity measures predicted transfer; at the point estimates, even the most similar pair of regions failed in both directions. With one fire season per region, region and event effects cannot be separated. Transfer skill should therefore be measured in the target region before a model is used there.</w:t>
      </w:r>
    </w:p>
    <w:p>
      <w:pPr>
        <w:pStyle w:val="BodyText"/>
      </w:pPr>
      <w:r>
        <w:rPr>
          <w:b/>
          <w:bCs/>
        </w:rPr>
        <w:t xml:space="preserve">Keywords:</w:t>
      </w:r>
      <w:r>
        <w:t xml:space="preserve"> </w:t>
      </w:r>
      <w:r>
        <w:t xml:space="preserve">wildfire susceptibility; Mediterranean; model transferability; evaluation area; land surface temperature; spatial cross-validation</w:t>
      </w:r>
    </w:p>
    <w:bookmarkEnd w:id="18"/>
    <w:bookmarkStart w:id="22" w:name="introduction"/>
    <w:p>
      <w:pPr>
        <w:pStyle w:val="Heading1"/>
      </w:pPr>
      <w:r>
        <w:t xml:space="preserve">1 Introduction</w:t>
      </w:r>
    </w:p>
    <w:p>
      <w:pPr>
        <w:pStyle w:val="FirstParagraph"/>
      </w:pPr>
      <w:r>
        <w:t xml:space="preserve">Wildfire is a major disturbance in Mediterranean landscapes, and climate change is changing where</w:t>
      </w:r>
      <w:r>
        <w:t xml:space="preserve"> </w:t>
      </w:r>
      <w:r>
        <w:t xml:space="preserve">and how it burns</w:t>
      </w:r>
      <w:r>
        <w:t xml:space="preserve"> </w:t>
      </w:r>
      <w:r>
        <w:t xml:space="preserve">(Pausas and Keeley 2021)</w:t>
      </w:r>
      <w:r>
        <w:t xml:space="preserve">. Most fire susceptibility maps follow a common workflow</w:t>
      </w:r>
      <w:r>
        <w:t xml:space="preserve"> </w:t>
      </w:r>
      <w:r>
        <w:t xml:space="preserve">(Jain et al. 2020; Jodhani et al. 2026; Vibhandik et al. 2026)</w:t>
      </w:r>
      <w:r>
        <w:t xml:space="preserve">. Predictors are collected over a study region and matched</w:t>
      </w:r>
      <w:r>
        <w:t xml:space="preserve"> </w:t>
      </w:r>
      <w:r>
        <w:t xml:space="preserve">with a record of burned areas, and a classifier, most often a random forest</w:t>
      </w:r>
      <w:r>
        <w:t xml:space="preserve"> </w:t>
      </w:r>
      <w:r>
        <w:t xml:space="preserve">(Breiman 2001; Oliveira et al. 2012)</w:t>
      </w:r>
      <w:r>
        <w:t xml:space="preserve">, is then trained. Finally, the map is reported with a cross-validated score from the</w:t>
      </w:r>
      <w:r>
        <w:t xml:space="preserve"> </w:t>
      </w:r>
      <w:r>
        <w:t xml:space="preserve">same region.</w:t>
      </w:r>
      <w:r>
        <w:t xml:space="preserve"> </w:t>
      </w:r>
      <w:r>
        <w:rPr>
          <w:b/>
          <w:bCs/>
        </w:rPr>
        <w:t xml:space="preserve">How well the model works in another region is not reported.</w:t>
      </w:r>
      <w:r>
        <w:t xml:space="preserve"> </w:t>
      </w:r>
      <w:r>
        <w:t xml:space="preserve">This study measures it.</w:t>
      </w:r>
    </w:p>
    <w:bookmarkStart w:id="19" w:name="transfer-is-rarely-measured"/>
    <w:p>
      <w:pPr>
        <w:pStyle w:val="Heading2"/>
      </w:pPr>
      <w:r>
        <w:t xml:space="preserve">1.1 Transfer is rarely measured</w:t>
      </w:r>
    </w:p>
    <w:p>
      <w:pPr>
        <w:pStyle w:val="FirstParagraph"/>
      </w:pPr>
      <w:r>
        <w:t xml:space="preserve">The skill of a susceptibility model is almost always a</w:t>
      </w:r>
      <w:r>
        <w:t xml:space="preserve"> </w:t>
      </w:r>
      <w:r>
        <w:rPr>
          <w:i/>
          <w:iCs/>
        </w:rPr>
        <w:t xml:space="preserve">within-region</w:t>
      </w:r>
      <w:r>
        <w:t xml:space="preserve"> </w:t>
      </w:r>
      <w:r>
        <w:t xml:space="preserve">estimate. The test folds come</w:t>
      </w:r>
      <w:r>
        <w:t xml:space="preserve"> </w:t>
      </w:r>
      <w:r>
        <w:t xml:space="preserve">from the same area and season, and often from the same fire. In addition, random folds let spatial</w:t>
      </w:r>
      <w:r>
        <w:t xml:space="preserve"> </w:t>
      </w:r>
      <w:r>
        <w:t xml:space="preserve">autocorrelation raise the score</w:t>
      </w:r>
      <w:r>
        <w:t xml:space="preserve"> </w:t>
      </w:r>
      <w:r>
        <w:t xml:space="preserve">(Roberts et al. 2017; Ploton et al. 2020)</w:t>
      </w:r>
      <w:r>
        <w:t xml:space="preserve">. Spatially blocked cross-validation</w:t>
      </w:r>
      <w:r>
        <w:t xml:space="preserve"> </w:t>
      </w:r>
      <w:r>
        <w:t xml:space="preserve">reduces this problem</w:t>
      </w:r>
      <w:r>
        <w:t xml:space="preserve"> </w:t>
      </w:r>
      <w:r>
        <w:t xml:space="preserve">(Meyer et al. 2018; Valavi et al. 2019)</w:t>
      </w:r>
      <w:r>
        <w:t xml:space="preserve">, but it still does not show how the model works on a</w:t>
      </w:r>
      <w:r>
        <w:t xml:space="preserve"> </w:t>
      </w:r>
      <w:r>
        <w:t xml:space="preserve">fire it has not seen.</w:t>
      </w:r>
    </w:p>
    <w:p>
      <w:pPr>
        <w:pStyle w:val="BodyText"/>
      </w:pPr>
      <w:r>
        <w:t xml:space="preserve">A regional product built from local models is expected to work outside its training area, yet this</w:t>
      </w:r>
      <w:r>
        <w:t xml:space="preserve"> </w:t>
      </w:r>
      <w:r>
        <w:t xml:space="preserve">is rarely tested. Fire-danger indices, which are driven by weather, did not transfer well between</w:t>
      </w:r>
      <w:r>
        <w:t xml:space="preserve"> </w:t>
      </w:r>
      <w:r>
        <w:t xml:space="preserve">fire environments in Peru</w:t>
      </w:r>
      <w:r>
        <w:t xml:space="preserve"> </w:t>
      </w:r>
      <w:r>
        <w:t xml:space="preserve">(Podschwit et al. 2022)</w:t>
      </w:r>
      <w:r>
        <w:t xml:space="preserve">. Regional fire-occurrence models in the Alps and the</w:t>
      </w:r>
      <w:r>
        <w:t xml:space="preserve"> </w:t>
      </w:r>
      <w:r>
        <w:t xml:space="preserve">Mediterranean Basin transferred well only under similar conditions</w:t>
      </w:r>
      <w:r>
        <w:t xml:space="preserve"> </w:t>
      </w:r>
      <w:r>
        <w:t xml:space="preserve">(Bekar et al. 2020)</w:t>
      </w:r>
      <w:r>
        <w:t xml:space="preserve">, and two recent</w:t>
      </w:r>
      <w:r>
        <w:t xml:space="preserve"> </w:t>
      </w:r>
      <w:r>
        <w:t xml:space="preserve">studies also found that transfer mainly succeeds between similar regions</w:t>
      </w:r>
      <w:r>
        <w:t xml:space="preserve"> </w:t>
      </w:r>
      <w:r>
        <w:t xml:space="preserve">(Liu and Mostafavi 2025; Dimarco et al. 2026)</w:t>
      </w:r>
      <w:r>
        <w:t xml:space="preserve">.</w:t>
      </w:r>
      <w:r>
        <w:t xml:space="preserve"> </w:t>
      </w:r>
      <w:r>
        <w:t xml:space="preserve">Satellite measurements of the land surface before a fire are a third kind of predictor. They change</w:t>
      </w:r>
      <w:r>
        <w:t xml:space="preserve"> </w:t>
      </w:r>
      <w:r>
        <w:t xml:space="preserve">from season to season like weather, but they describe each location like a map. Whether models built</w:t>
      </w:r>
      <w:r>
        <w:t xml:space="preserve"> </w:t>
      </w:r>
      <w:r>
        <w:t xml:space="preserve">on them transfer between regions has not been tested.</w:t>
      </w:r>
    </w:p>
    <w:bookmarkEnd w:id="19"/>
    <w:bookmarkStart w:id="20" w:name="pre-fire-thermal-state-as-a-test-case"/>
    <w:p>
      <w:pPr>
        <w:pStyle w:val="Heading2"/>
      </w:pPr>
      <w:r>
        <w:t xml:space="preserve">1.2 Pre-fire thermal state as a test case</w:t>
      </w:r>
    </w:p>
    <w:p>
      <w:pPr>
        <w:pStyle w:val="FirstParagraph"/>
      </w:pPr>
      <w:r>
        <w:t xml:space="preserve">Pre-fire thermal state is a natural test case. Static predictors change little between years, so</w:t>
      </w:r>
      <w:r>
        <w:t xml:space="preserve"> </w:t>
      </w:r>
      <w:r>
        <w:t xml:space="preserve">they cannot explain why one summer burned and another did not. Surface state does change, and</w:t>
      </w:r>
      <w:r>
        <w:t xml:space="preserve"> </w:t>
      </w:r>
      <w:r>
        <w:t xml:space="preserve">satellite thermal data give partial access to it, because land surface temperature rises as</w:t>
      </w:r>
      <w:r>
        <w:t xml:space="preserve"> </w:t>
      </w:r>
      <w:r>
        <w:t xml:space="preserve">vegetation dries (Section 2.1). If the link between moisture stress and burning is general, thermal</w:t>
      </w:r>
      <w:r>
        <w:t xml:space="preserve"> </w:t>
      </w:r>
      <w:r>
        <w:t xml:space="preserve">predictors should keep at least part of their value in a new region. Normalised channels, such as</w:t>
      </w:r>
      <w:r>
        <w:t xml:space="preserve"> </w:t>
      </w:r>
      <w:r>
        <w:t xml:space="preserve">the Temperature-Vegetation Dryness Index, were expected to transfer best, because they should be less</w:t>
      </w:r>
      <w:r>
        <w:t xml:space="preserve"> </w:t>
      </w:r>
      <w:r>
        <w:t xml:space="preserve">affected by temperature differences between regions. A failure of these predictors to transfer is</w:t>
      </w:r>
      <w:r>
        <w:t xml:space="preserve"> </w:t>
      </w:r>
      <w:r>
        <w:t xml:space="preserve">therefore informative.</w:t>
      </w:r>
    </w:p>
    <w:bookmarkEnd w:id="20"/>
    <w:bookmarkStart w:id="21" w:name="contributions"/>
    <w:p>
      <w:pPr>
        <w:pStyle w:val="Heading2"/>
      </w:pPr>
      <w:r>
        <w:t xml:space="preserve">1.3 Contributions</w:t>
      </w:r>
    </w:p>
    <w:p>
      <w:pPr>
        <w:pStyle w:val="FirstParagraph"/>
      </w:pPr>
      <w:r>
        <w:rPr>
          <w:b/>
          <w:bCs/>
        </w:rPr>
        <w:t xml:space="preserve">Contribution 1. The evaluation area changes what a model appears to know.</w:t>
      </w:r>
      <w:r>
        <w:t xml:space="preserve"> </w:t>
      </w:r>
      <w:r>
        <w:t xml:space="preserve">It is known from</w:t>
      </w:r>
      <w:r>
        <w:t xml:space="preserve"> </w:t>
      </w:r>
      <w:r>
        <w:t xml:space="preserve">species distribution modelling that the evaluation area affects AUC (Section 2.3). Here the size of</w:t>
      </w:r>
      <w:r>
        <w:t xml:space="preserve"> </w:t>
      </w:r>
      <w:r>
        <w:t xml:space="preserve">this effect was measured for burned-area models with a controlled design. The model, the predictors</w:t>
      </w:r>
      <w:r>
        <w:t xml:space="preserve"> </w:t>
      </w:r>
      <w:r>
        <w:t xml:space="preserve">and the fitting were kept fixed, and only the scored cells were changed. With the region as the unit,</w:t>
      </w:r>
      <w:r>
        <w:t xml:space="preserve"> </w:t>
      </w:r>
      <w:r>
        <w:t xml:space="preserve">the score fell by</w:t>
      </w:r>
      <w:r>
        <w:t xml:space="preserve"> </w:t>
      </w:r>
      <w:r>
        <w:rPr>
          <w:b/>
          <w:bCs/>
        </w:rPr>
        <w:t xml:space="preserve">0.160 ROC-AUC</w:t>
      </w:r>
      <w:r>
        <w:t xml:space="preserve"> </w:t>
      </w:r>
      <w:r>
        <w:t xml:space="preserve">across five regions. The loss came from the unburned cells next to</w:t>
      </w:r>
      <w:r>
        <w:t xml:space="preserve"> </w:t>
      </w:r>
      <w:r>
        <w:t xml:space="preserve">the fire, not from class balance (Section 4.3). The same test showed that four between-region</w:t>
      </w:r>
      <w:r>
        <w:t xml:space="preserve"> </w:t>
      </w:r>
      <w:r>
        <w:t xml:space="preserve">results of this study depend on the study areas: mean transfer, the supported elevation reversals,</w:t>
      </w:r>
      <w:r>
        <w:t xml:space="preserve"> </w:t>
      </w:r>
      <w:r>
        <w:t xml:space="preserve">the reversal between the two Muğla fires, and the correlation of one similarity measure with</w:t>
      </w:r>
      <w:r>
        <w:t xml:space="preserve"> </w:t>
      </w:r>
      <w:r>
        <w:t xml:space="preserve">transfer (Section 4.4).</w:t>
      </w:r>
    </w:p>
    <w:p>
      <w:pPr>
        <w:pStyle w:val="BodyText"/>
      </w:pPr>
      <w:r>
        <w:rPr>
          <w:b/>
          <w:bCs/>
        </w:rPr>
        <w:t xml:space="preserve">Contribution 2. Local skill transfers at most weakly.</w:t>
      </w:r>
      <w:r>
        <w:t xml:space="preserve"> </w:t>
      </w:r>
      <w:r>
        <w:t xml:space="preserve">The thermal predictors improved</w:t>
      </w:r>
      <w:r>
        <w:t xml:space="preserve"> </w:t>
      </w:r>
      <w:r>
        <w:t xml:space="preserve">within-region skill in all five regions. On the scar frame, however, the gain was small and not</w:t>
      </w:r>
      <w:r>
        <w:t xml:space="preserve"> </w:t>
      </w:r>
      <w:r>
        <w:t xml:space="preserve">established (Section 4.3). Across twenty transfer directions the gain was +0.007 on the original</w:t>
      </w:r>
      <w:r>
        <w:t xml:space="preserve"> </w:t>
      </w:r>
      <w:r>
        <w:t xml:space="preserve">study areas and +0.024 on comparable study areas. Both intervals included zero (Section 4.4). The</w:t>
      </w:r>
      <w:r>
        <w:t xml:space="preserve"> </w:t>
      </w:r>
      <w:r>
        <w:t xml:space="preserve">static baseline did not transfer better. On matched areas, transfer stayed</w:t>
      </w:r>
      <w:r>
        <w:t xml:space="preserve"> </w:t>
      </w:r>
      <w:r>
        <w:rPr>
          <w:b/>
          <w:bCs/>
        </w:rPr>
        <w:t xml:space="preserve">0.197</w:t>
      </w:r>
      <w:r>
        <w:t xml:space="preserve"> </w:t>
      </w:r>
      <w:r>
        <w:t xml:space="preserve">below the</w:t>
      </w:r>
      <w:r>
        <w:t xml:space="preserve"> </w:t>
      </w:r>
      <w:r>
        <w:t xml:space="preserve">within-region reference.</w:t>
      </w:r>
    </w:p>
    <w:p>
      <w:pPr>
        <w:pStyle w:val="BodyText"/>
      </w:pPr>
      <w:r>
        <w:rPr>
          <w:b/>
          <w:bCs/>
        </w:rPr>
        <w:t xml:space="preserve">Contribution 3. No similarity measure was shown to predict transfer.</w:t>
      </w:r>
      <w:r>
        <w:t xml:space="preserve"> </w:t>
      </w:r>
      <w:r>
        <w:t xml:space="preserve">Twenty similarity</w:t>
      </w:r>
      <w:r>
        <w:t xml:space="preserve"> </w:t>
      </w:r>
      <w:r>
        <w:t xml:space="preserve">measures were tested, ranging from predictor distance to niche overlap and the agreement of</w:t>
      </w:r>
      <w:r>
        <w:t xml:space="preserve"> </w:t>
      </w:r>
      <w:r>
        <w:t xml:space="preserve">predictor-burning relationships. On the original study areas, none predicted transfer (Section</w:t>
      </w:r>
      <w:r>
        <w:t xml:space="preserve"> </w:t>
      </w:r>
      <w:r>
        <w:t xml:space="preserve">4.6). With ten independent region pairs, this is a failure to find an ordering, not proof that none</w:t>
      </w:r>
      <w:r>
        <w:t xml:space="preserve"> </w:t>
      </w:r>
      <w:r>
        <w:t xml:space="preserve">exists.</w:t>
      </w:r>
    </w:p>
    <w:p>
      <w:pPr>
        <w:pStyle w:val="BodyText"/>
      </w:pPr>
      <w:r>
        <w:t xml:space="preserve">The two label-free adaptation methods tested</w:t>
      </w:r>
      <w:r>
        <w:t xml:space="preserve"> </w:t>
      </w:r>
      <w:r>
        <w:t xml:space="preserve">(Sun et al. 2016)</w:t>
      </w:r>
      <w:r>
        <w:t xml:space="preserve"> </w:t>
      </w:r>
      <w:r>
        <w:t xml:space="preserve">did not improve transfer either. The analysis</w:t>
      </w:r>
      <w:r>
        <w:t xml:space="preserve"> </w:t>
      </w:r>
      <w:r>
        <w:t xml:space="preserve">code, configuration and frozen outputs are public, so all results can be checked and re-run</w:t>
      </w:r>
      <w:r>
        <w:t xml:space="preserve"> </w:t>
      </w:r>
      <w:r>
        <w:t xml:space="preserve">(Declarations). This matters because conclusions about wildfire models depend on how they are</w:t>
      </w:r>
      <w:r>
        <w:t xml:space="preserve"> </w:t>
      </w:r>
      <w:r>
        <w:t xml:space="preserve">evaluated</w:t>
      </w:r>
      <w:r>
        <w:t xml:space="preserve"> </w:t>
      </w:r>
      <w:r>
        <w:t xml:space="preserve">(Xu et al. 2026)</w:t>
      </w:r>
      <w:r>
        <w:t xml:space="preserve">.</w:t>
      </w:r>
    </w:p>
    <w:bookmarkEnd w:id="21"/>
    <w:bookmarkEnd w:id="22"/>
    <w:bookmarkStart w:id="26" w:name="related-work"/>
    <w:p>
      <w:pPr>
        <w:pStyle w:val="Heading1"/>
      </w:pPr>
      <w:r>
        <w:t xml:space="preserve">2 Related work</w:t>
      </w:r>
    </w:p>
    <w:bookmarkStart w:id="23" w:name="pre-fire-thermal-dryness"/>
    <w:p>
      <w:pPr>
        <w:pStyle w:val="Heading2"/>
      </w:pPr>
      <w:r>
        <w:t xml:space="preserve">2.1 Pre-fire thermal dryness</w:t>
      </w:r>
    </w:p>
    <w:p>
      <w:pPr>
        <w:pStyle w:val="FirstParagraph"/>
      </w:pPr>
      <w:r>
        <w:t xml:space="preserve">Satellite thermal data can be used to estimate fuel moisture</w:t>
      </w:r>
      <w:r>
        <w:t xml:space="preserve"> </w:t>
      </w:r>
      <w:r>
        <w:t xml:space="preserve">(Yebra et al. 2013)</w:t>
      </w:r>
      <w:r>
        <w:t xml:space="preserve">. Land surface</w:t>
      </w:r>
      <w:r>
        <w:t xml:space="preserve"> </w:t>
      </w:r>
      <w:r>
        <w:t xml:space="preserve">temperature (LST) combined with a vegetation index was used by</w:t>
      </w:r>
      <w:r>
        <w:t xml:space="preserve"> </w:t>
      </w:r>
      <w:r>
        <w:t xml:space="preserve">Chuvieco et al.</w:t>
      </w:r>
      <w:r>
        <w:t xml:space="preserve"> </w:t>
      </w:r>
      <w:r>
        <w:t xml:space="preserve">(2004)</w:t>
      </w:r>
      <w:r>
        <w:t xml:space="preserve"> </w:t>
      </w:r>
      <w:r>
        <w:t xml:space="preserve">to</w:t>
      </w:r>
      <w:r>
        <w:t xml:space="preserve"> </w:t>
      </w:r>
      <w:r>
        <w:t xml:space="preserve">estimate live fuel moisture for fire-danger rating. The Temperature-Vegetation Dryness Index (TVDI)</w:t>
      </w:r>
      <w:r>
        <w:t xml:space="preserve"> </w:t>
      </w:r>
      <w:r>
        <w:t xml:space="preserve">(Sandholt et al. 2002)</w:t>
      </w:r>
      <w:r>
        <w:t xml:space="preserve"> </w:t>
      </w:r>
      <w:r>
        <w:t xml:space="preserve">is an internally normalised form of this approach, so it is often expected to</w:t>
      </w:r>
      <w:r>
        <w:t xml:space="preserve"> </w:t>
      </w:r>
      <w:r>
        <w:t xml:space="preserve">transfer better than raw temperature. Pre-fire LST anomalies are related to the burned area and</w:t>
      </w:r>
      <w:r>
        <w:t xml:space="preserve"> </w:t>
      </w:r>
      <w:r>
        <w:t xml:space="preserve">duration of later fires</w:t>
      </w:r>
      <w:r>
        <w:t xml:space="preserve"> </w:t>
      </w:r>
      <w:r>
        <w:t xml:space="preserve">(Maffei et al. 2018, 2021)</w:t>
      </w:r>
      <w:r>
        <w:t xml:space="preserve">, and pre-fire optical moisture indices carry</w:t>
      </w:r>
      <w:r>
        <w:t xml:space="preserve"> </w:t>
      </w:r>
      <w:r>
        <w:t xml:space="preserve">similar information</w:t>
      </w:r>
      <w:r>
        <w:t xml:space="preserve"> </w:t>
      </w:r>
      <w:r>
        <w:t xml:space="preserve">(Maffei and Menenti 2019)</w:t>
      </w:r>
      <w:r>
        <w:t xml:space="preserve">. Dead fuel moisture was the strongest predictor of</w:t>
      </w:r>
      <w:r>
        <w:t xml:space="preserve"> </w:t>
      </w:r>
      <w:r>
        <w:t xml:space="preserve">human-caused ignition across Europe in a pooled model</w:t>
      </w:r>
      <w:r>
        <w:t xml:space="preserve"> </w:t>
      </w:r>
      <w:r>
        <w:t xml:space="preserve">(Gelabert et al. 2025)</w:t>
      </w:r>
      <w:r>
        <w:t xml:space="preserve">. Satellite fuel-moisture</w:t>
      </w:r>
      <w:r>
        <w:t xml:space="preserve"> </w:t>
      </w:r>
      <w:r>
        <w:t xml:space="preserve">models are, however, usually site-specific, and their transfer is rarely tested</w:t>
      </w:r>
      <w:r>
        <w:t xml:space="preserve"> </w:t>
      </w:r>
      <w:r>
        <w:t xml:space="preserve">(Marino et al. 2024)</w:t>
      </w:r>
      <w:r>
        <w:t xml:space="preserve">.</w:t>
      </w:r>
      <w:r>
        <w:t xml:space="preserve"> </w:t>
      </w:r>
      <w:r>
        <w:t xml:space="preserve">Within-region susceptibility models already exist for Turkish Mediterranean landscapes</w:t>
      </w:r>
      <w:r>
        <w:t xml:space="preserve"> </w:t>
      </w:r>
      <w:r>
        <w:t xml:space="preserve">(Iban and Sekertekin 2022; Akıncı and Akıncı 2023)</w:t>
      </w:r>
      <w:r>
        <w:t xml:space="preserve">. To our knowledge, the transfer of a classifier that uses pre-fire</w:t>
      </w:r>
      <w:r>
        <w:t xml:space="preserve"> </w:t>
      </w:r>
      <w:r>
        <w:t xml:space="preserve">thermal state to an unseen region, without target labels, has not been tested. Large datacubes now</w:t>
      </w:r>
      <w:r>
        <w:t xml:space="preserve"> </w:t>
      </w:r>
      <w:r>
        <w:t xml:space="preserve">support deep-learning fire-danger models</w:t>
      </w:r>
      <w:r>
        <w:t xml:space="preserve"> </w:t>
      </w:r>
      <w:r>
        <w:t xml:space="preserve">(Kondylatos et al. 2023)</w:t>
      </w:r>
      <w:r>
        <w:t xml:space="preserve">. Here a simple fixed classifier was used,</w:t>
      </w:r>
      <w:r>
        <w:t xml:space="preserve"> </w:t>
      </w:r>
      <w:r>
        <w:t xml:space="preserve">so that only the evaluation changes.</w:t>
      </w:r>
    </w:p>
    <w:bookmarkEnd w:id="23"/>
    <w:bookmarkStart w:id="24" w:name="Xc88413e1a64516d9ae91b3d4c92eb2dc75477a5"/>
    <w:p>
      <w:pPr>
        <w:pStyle w:val="Heading2"/>
      </w:pPr>
      <w:r>
        <w:t xml:space="preserve">2.2 Spatial validation, transferability and shift</w:t>
      </w:r>
    </w:p>
    <w:p>
      <w:pPr>
        <w:pStyle w:val="FirstParagraph"/>
      </w:pPr>
      <w:r>
        <w:t xml:space="preserve">Spatially blocked cross-validation reduces the optimism of random folds</w:t>
      </w:r>
      <w:r>
        <w:t xml:space="preserve"> </w:t>
      </w:r>
      <w:r>
        <w:t xml:space="preserve">(Roberts et al. 2017; Valavi et al. 2019)</w:t>
      </w:r>
      <w:r>
        <w:t xml:space="preserve">. Its use for map accuracy is debated</w:t>
      </w:r>
      <w:r>
        <w:t xml:space="preserve"> </w:t>
      </w:r>
      <w:r>
        <w:t xml:space="preserve">(Wadoux et al. 2021; Bruin et al. 2022)</w:t>
      </w:r>
      <w:r>
        <w:t xml:space="preserve">, and methods have</w:t>
      </w:r>
      <w:r>
        <w:t xml:space="preserve"> </w:t>
      </w:r>
      <w:r>
        <w:t xml:space="preserve">been proposed that match the distances of the prediction task</w:t>
      </w:r>
      <w:r>
        <w:t xml:space="preserve"> </w:t>
      </w:r>
      <w:r>
        <w:t xml:space="preserve">(Milà et al. 2022)</w:t>
      </w:r>
      <w:r>
        <w:t xml:space="preserve">. The area of</w:t>
      </w:r>
      <w:r>
        <w:t xml:space="preserve"> </w:t>
      </w:r>
      <w:r>
        <w:t xml:space="preserve">applicability shows where predictor values are too far from the training data</w:t>
      </w:r>
      <w:r>
        <w:t xml:space="preserve"> </w:t>
      </w:r>
      <w:r>
        <w:t xml:space="preserve">(Meyer and Pebesma 2021)</w:t>
      </w:r>
      <w:r>
        <w:t xml:space="preserve">.</w:t>
      </w:r>
      <w:r>
        <w:t xml:space="preserve"> </w:t>
      </w:r>
      <w:r>
        <w:t xml:space="preserve">Transferability is an open problem in ecological modelling</w:t>
      </w:r>
      <w:r>
        <w:t xml:space="preserve"> </w:t>
      </w:r>
      <w:r>
        <w:t xml:space="preserve">(Yates et al. 2018)</w:t>
      </w:r>
      <w:r>
        <w:t xml:space="preserve">.</w:t>
      </w:r>
    </w:p>
    <w:p>
      <w:pPr>
        <w:pStyle w:val="BodyText"/>
      </w:pPr>
      <w:r>
        <w:t xml:space="preserve">Two types of shift are usually separated</w:t>
      </w:r>
      <w:r>
        <w:t xml:space="preserve"> </w:t>
      </w:r>
      <w:r>
        <w:t xml:space="preserve">(Moreno-Torres et al. 2012)</w:t>
      </w:r>
      <w:r>
        <w:t xml:space="preserve">. Under covariate shift, the predictor</w:t>
      </w:r>
      <w:r>
        <w:t xml:space="preserve"> </w:t>
      </w:r>
      <w:r>
        <w:t xml:space="preserve">distribution changes but the predictor-response relationship stays the same. Under concept shift,</w:t>
      </w:r>
      <w:r>
        <w:t xml:space="preserve"> </w:t>
      </w:r>
      <w:r>
        <w:t xml:space="preserve">the relationship itself changes. Covariate shift can in principle be corrected without target</w:t>
      </w:r>
      <w:r>
        <w:t xml:space="preserve"> </w:t>
      </w:r>
      <w:r>
        <w:t xml:space="preserve">labels, for example by per-region standardisation or by covariance alignment (CORAL)</w:t>
      </w:r>
      <w:r>
        <w:t xml:space="preserve"> </w:t>
      </w:r>
      <w:r>
        <w:t xml:space="preserve">(Sun et al. 2016)</w:t>
      </w:r>
      <w:r>
        <w:t xml:space="preserve">.</w:t>
      </w:r>
      <w:r>
        <w:t xml:space="preserve"> </w:t>
      </w:r>
      <w:r>
        <w:t xml:space="preserve">Domain adaptation is well established in remote sensing</w:t>
      </w:r>
      <w:r>
        <w:t xml:space="preserve"> </w:t>
      </w:r>
      <w:r>
        <w:t xml:space="preserve">(Persello and Bruzzone 2012; Tuia et al. 2016)</w:t>
      </w:r>
      <w:r>
        <w:t xml:space="preserve">. Concept shift</w:t>
      </w:r>
      <w:r>
        <w:t xml:space="preserve"> </w:t>
      </w:r>
      <w:r>
        <w:t xml:space="preserve">cannot be corrected in this way, because a reversed association can only be seen with target</w:t>
      </w:r>
      <w:r>
        <w:t xml:space="preserve"> </w:t>
      </w:r>
      <w:r>
        <w:t xml:space="preserve">labels. Shift decomposition has been used in remote sensing</w:t>
      </w:r>
      <w:r>
        <w:t xml:space="preserve"> </w:t>
      </w:r>
      <w:r>
        <w:t xml:space="preserve">(Huang et al. 2026)</w:t>
      </w:r>
      <w:r>
        <w:t xml:space="preserve">, but we found no use of</w:t>
      </w:r>
      <w:r>
        <w:t xml:space="preserve"> </w:t>
      </w:r>
      <w:r>
        <w:t xml:space="preserve">covariance alignment for fire susceptibility or burned-area prediction.</w:t>
      </w:r>
    </w:p>
    <w:bookmarkEnd w:id="24"/>
    <w:bookmarkStart w:id="25" w:name="X5c80c1a462b99c9775d3bb2868090c709c439a5"/>
    <w:p>
      <w:pPr>
        <w:pStyle w:val="Heading2"/>
      </w:pPr>
      <w:r>
        <w:t xml:space="preserve">2.3 Transfer of fire models and the evaluation area</w:t>
      </w:r>
    </w:p>
    <w:p>
      <w:pPr>
        <w:pStyle w:val="FirstParagraph"/>
      </w:pPr>
      <w:r>
        <w:t xml:space="preserve">Few studies test the transfer of fire models directly. Global fire-danger indices, which are dynamic and driven by weather, did not transfer well between</w:t>
      </w:r>
      <w:r>
        <w:t xml:space="preserve"> </w:t>
      </w:r>
      <w:r>
        <w:t xml:space="preserve">fire environments in Peru</w:t>
      </w:r>
      <w:r>
        <w:t xml:space="preserve"> </w:t>
      </w:r>
      <w:r>
        <w:t xml:space="preserve">(Podschwit et al. 2022)</w:t>
      </w:r>
      <w:r>
        <w:t xml:space="preserve">. In the Alps and the Mediterranean Basin,</w:t>
      </w:r>
      <w:r>
        <w:t xml:space="preserve"> </w:t>
      </w:r>
      <w:r>
        <w:t xml:space="preserve">regional fire-occurrence models transferred well only under similar conditions, and a pooled model</w:t>
      </w:r>
      <w:r>
        <w:t xml:space="preserve"> </w:t>
      </w:r>
      <w:r>
        <w:t xml:space="preserve">was more robust</w:t>
      </w:r>
      <w:r>
        <w:t xml:space="preserve"> </w:t>
      </w:r>
      <w:r>
        <w:t xml:space="preserve">(Bekar et al. 2020)</w:t>
      </w:r>
      <w:r>
        <w:t xml:space="preserve">. WildfireGenome</w:t>
      </w:r>
      <w:r>
        <w:t xml:space="preserve"> </w:t>
      </w:r>
      <w:r>
        <w:t xml:space="preserve">(Liu and Mostafavi 2025)</w:t>
      </w:r>
      <w:r>
        <w:t xml:space="preserve"> </w:t>
      </w:r>
      <w:r>
        <w:t xml:space="preserve">trained models in one of seven US counties</w:t>
      </w:r>
      <w:r>
        <w:t xml:space="preserve"> </w:t>
      </w:r>
      <w:r>
        <w:t xml:space="preserve">and tested them in the others. Transfer was good between similar counties and poor between</w:t>
      </w:r>
      <w:r>
        <w:t xml:space="preserve"> </w:t>
      </w:r>
      <w:r>
        <w:t xml:space="preserve">dissimilar ones. Its label is a composite of hazard indicators, not observed burned area. Xu et al.</w:t>
      </w:r>
      <w:r>
        <w:t xml:space="preserve"> </w:t>
      </w:r>
      <w:r>
        <w:t xml:space="preserve">(Xu et al. 2026)</w:t>
      </w:r>
      <w:r>
        <w:t xml:space="preserve"> </w:t>
      </w:r>
      <w:r>
        <w:t xml:space="preserve">showed that conclusions about wildfire models depend on the evaluation design. The closest</w:t>
      </w:r>
      <w:r>
        <w:t xml:space="preserve"> </w:t>
      </w:r>
      <w:r>
        <w:t xml:space="preserve">Mediterranean study is</w:t>
      </w:r>
      <w:r>
        <w:t xml:space="preserve"> </w:t>
      </w:r>
      <w:r>
        <w:t xml:space="preserve">Dimarco et al. (2026)</w:t>
      </w:r>
      <w:r>
        <w:t xml:space="preserve">. They used 500 m predictors in four countries</w:t>
      </w:r>
      <w:r>
        <w:t xml:space="preserve"> </w:t>
      </w:r>
      <w:r>
        <w:t xml:space="preserve">and a full transfer matrix. No transfer fell below AUC 0.80, and similar countries scored higher.</w:t>
      </w:r>
      <w:r>
        <w:t xml:space="preserve"> </w:t>
      </w:r>
      <w:r>
        <w:t xml:space="preserve">Their predictors are static attributes of a place, and their response is human-caused ignition.</w:t>
      </w:r>
      <w:r>
        <w:t xml:space="preserve"> </w:t>
      </w:r>
      <w:r>
        <w:t xml:space="preserve">Here the predictors describe the surface state in one season, and the response is burned area.</w:t>
      </w:r>
    </w:p>
    <w:p>
      <w:pPr>
        <w:pStyle w:val="BodyText"/>
      </w:pPr>
      <w:r>
        <w:rPr>
          <w:b/>
          <w:bCs/>
        </w:rPr>
        <w:t xml:space="preserve">Evaluation area and AUC.</w:t>
      </w:r>
      <w:r>
        <w:t xml:space="preserve"> </w:t>
      </w:r>
      <w:r>
        <w:t xml:space="preserve">In species distribution modelling, the evaluation area is known to</w:t>
      </w:r>
      <w:r>
        <w:t xml:space="preserve"> </w:t>
      </w:r>
      <w:r>
        <w:t xml:space="preserve">affect AUC.</w:t>
      </w:r>
      <w:r>
        <w:t xml:space="preserve"> </w:t>
      </w:r>
      <w:r>
        <w:t xml:space="preserve">Lobo et al. (2008)</w:t>
      </w:r>
      <w:r>
        <w:t xml:space="preserve"> </w:t>
      </w:r>
      <w:r>
        <w:t xml:space="preserve">list it among the main reasons for caution when AUC</w:t>
      </w:r>
      <w:r>
        <w:t xml:space="preserve"> </w:t>
      </w:r>
      <w:r>
        <w:t xml:space="preserve">values are compared, because a larger area adds more easy absences and raises the score. Related</w:t>
      </w:r>
      <w:r>
        <w:t xml:space="preserve"> </w:t>
      </w:r>
      <w:r>
        <w:t xml:space="preserve">effects were shown for spatial sorting bias between training and test sites</w:t>
      </w:r>
      <w:r>
        <w:t xml:space="preserve"> </w:t>
      </w:r>
      <w:r>
        <w:t xml:space="preserve">(Hijmans 2012)</w:t>
      </w:r>
      <w:r>
        <w:t xml:space="preserve"> </w:t>
      </w:r>
      <w:r>
        <w:t xml:space="preserve">and in a</w:t>
      </w:r>
      <w:r>
        <w:t xml:space="preserve"> </w:t>
      </w:r>
      <w:r>
        <w:t xml:space="preserve">general analysis of AUC</w:t>
      </w:r>
      <w:r>
        <w:t xml:space="preserve"> </w:t>
      </w:r>
      <w:r>
        <w:t xml:space="preserve">(Jiménez-Valverde 2012)</w:t>
      </w:r>
      <w:r>
        <w:t xml:space="preserve">. The same effect</w:t>
      </w:r>
      <w:r>
        <w:t xml:space="preserve"> </w:t>
      </w:r>
      <w:r>
        <w:t xml:space="preserve">was shown for calibration</w:t>
      </w:r>
      <w:r>
        <w:t xml:space="preserve"> </w:t>
      </w:r>
      <w:r>
        <w:t xml:space="preserve">(VanDerWal et al. 2009)</w:t>
      </w:r>
      <w:r>
        <w:t xml:space="preserve"> </w:t>
      </w:r>
      <w:r>
        <w:t xml:space="preserve">and was described in general terms as the accessible</w:t>
      </w:r>
      <w:r>
        <w:t xml:space="preserve"> </w:t>
      </w:r>
      <w:r>
        <w:t xml:space="preserve">area</w:t>
      </w:r>
      <w:r>
        <w:t xml:space="preserve"> </w:t>
      </w:r>
      <w:r>
        <w:t xml:space="preserve">(Barve et al. 2011)</w:t>
      </w:r>
      <w:r>
        <w:t xml:space="preserve">. The size of the effect depends on the problem, so it was not given in general.</w:t>
      </w:r>
      <w:r>
        <w:t xml:space="preserve"> </w:t>
      </w:r>
      <w:r>
        <w:t xml:space="preserve">We found no wildfire study that keeps the model fixed and changes only the evaluation cells.</w:t>
      </w:r>
      <w:r>
        <w:t xml:space="preserve"> </w:t>
      </w:r>
      <w:r>
        <w:t xml:space="preserve">Region-wide scores are often reported as if they described performance next to the fire.</w:t>
      </w:r>
    </w:p>
    <w:p>
      <w:pPr>
        <w:pStyle w:val="BodyText"/>
      </w:pPr>
      <w:r>
        <w:rPr>
          <w:b/>
          <w:bCs/>
        </w:rPr>
        <w:t xml:space="preserve">Similarity and transfer.</w:t>
      </w:r>
      <w:r>
        <w:t xml:space="preserve"> </w:t>
      </w:r>
      <w:r>
        <w:t xml:space="preserve">Species distribution studies disagree on the role of similarity.</w:t>
      </w:r>
      <w:r>
        <w:t xml:space="preserve"> </w:t>
      </w:r>
      <w:r>
        <w:t xml:space="preserve">Vesk et al. (2021)</w:t>
      </w:r>
      <w:r>
        <w:t xml:space="preserve"> </w:t>
      </w:r>
      <w:r>
        <w:t xml:space="preserve">found that trait-based models did not predict worse with increasing</w:t>
      </w:r>
      <w:r>
        <w:t xml:space="preserve"> </w:t>
      </w:r>
      <w:r>
        <w:t xml:space="preserve">geographic or environmental distance.</w:t>
      </w:r>
      <w:r>
        <w:t xml:space="preserve"> </w:t>
      </w:r>
      <w:r>
        <w:t xml:space="preserve">Rousseau and Betts (2022)</w:t>
      </w:r>
      <w:r>
        <w:t xml:space="preserve"> </w:t>
      </w:r>
      <w:r>
        <w:t xml:space="preserve">found that transferability</w:t>
      </w:r>
      <w:r>
        <w:t xml:space="preserve"> </w:t>
      </w:r>
      <w:r>
        <w:t xml:space="preserve">decreased with geographic distance and with extrapolation. The niche overlap measures used here are</w:t>
      </w:r>
      <w:r>
        <w:t xml:space="preserve"> </w:t>
      </w:r>
      <w:r>
        <w:t xml:space="preserve">Schoener’s</w:t>
      </w:r>
      <w:r>
        <w:t xml:space="preserve"> </w:t>
      </w:r>
      <w:r>
        <w:rPr>
          <w:i/>
          <w:iCs/>
        </w:rPr>
        <w:t xml:space="preserve">D</w:t>
      </w:r>
      <w:r>
        <w:t xml:space="preserve"> </w:t>
      </w:r>
      <w:r>
        <w:t xml:space="preserve">and Warren’s</w:t>
      </w:r>
      <w:r>
        <w:t xml:space="preserve"> </w:t>
      </w:r>
      <w:r>
        <w:rPr>
          <w:i/>
          <w:iCs/>
        </w:rPr>
        <w:t xml:space="preserve">I</w:t>
      </w:r>
      <w:r>
        <w:t xml:space="preserve"> </w:t>
      </w:r>
      <w:r>
        <w:t xml:space="preserve">(Schoener 1968; Warren et al. 2008)</w:t>
      </w:r>
      <w:r>
        <w:t xml:space="preserve">.</w:t>
      </w:r>
    </w:p>
    <w:bookmarkEnd w:id="25"/>
    <w:bookmarkEnd w:id="26"/>
    <w:bookmarkStart w:id="41" w:name="data-and-methods"/>
    <w:p>
      <w:pPr>
        <w:pStyle w:val="Heading1"/>
      </w:pPr>
      <w:r>
        <w:t xml:space="preserve">3 Data and methods</w:t>
      </w:r>
    </w:p>
    <w:p>
      <w:pPr>
        <w:pStyle w:val="FirstParagraph"/>
      </w:pPr>
      <w:r>
        <w:t xml:space="preserve">This section first defines the terms used throughout. A</w:t>
      </w:r>
      <w:r>
        <w:t xml:space="preserve"> </w:t>
      </w:r>
      <w:r>
        <w:rPr>
          <w:b/>
          <w:bCs/>
        </w:rPr>
        <w:t xml:space="preserve">study area</w:t>
      </w:r>
      <w:r>
        <w:t xml:space="preserve"> </w:t>
      </w:r>
      <w:r>
        <w:t xml:space="preserve">is the rectangle drawn</w:t>
      </w:r>
      <w:r>
        <w:t xml:space="preserve"> </w:t>
      </w:r>
      <w:r>
        <w:t xml:space="preserve">around one fire. An</w:t>
      </w:r>
      <w:r>
        <w:t xml:space="preserve"> </w:t>
      </w:r>
      <w:r>
        <w:rPr>
          <w:b/>
          <w:bCs/>
        </w:rPr>
        <w:t xml:space="preserve">evaluation frame</w:t>
      </w:r>
      <w:r>
        <w:t xml:space="preserve"> </w:t>
      </w:r>
      <w:r>
        <w:t xml:space="preserve">is the set of cells on which a score is computed. The</w:t>
      </w:r>
      <w:r>
        <w:t xml:space="preserve"> </w:t>
      </w:r>
      <w:r>
        <w:rPr>
          <w:b/>
          <w:bCs/>
        </w:rPr>
        <w:t xml:space="preserve">scar frame</w:t>
      </w:r>
      <w:r>
        <w:t xml:space="preserve"> </w:t>
      </w:r>
      <w:r>
        <w:t xml:space="preserve">is a burned area together with a 2 km collar of unburned cells around it, and a</w:t>
      </w:r>
      <w:r>
        <w:t xml:space="preserve"> </w:t>
      </w:r>
      <w:r>
        <w:rPr>
          <w:b/>
          <w:bCs/>
        </w:rPr>
        <w:t xml:space="preserve">distance collar</w:t>
      </w:r>
      <w:r>
        <w:t xml:space="preserve"> </w:t>
      </w:r>
      <w:r>
        <w:t xml:space="preserve">keeps all cells within 5 or 10 km of any burned cell. A result is called</w:t>
      </w:r>
      <w:r>
        <w:t xml:space="preserve"> </w:t>
      </w:r>
      <w:r>
        <w:rPr>
          <w:b/>
          <w:bCs/>
        </w:rPr>
        <w:t xml:space="preserve">supported</w:t>
      </w:r>
      <w:r>
        <w:t xml:space="preserve"> </w:t>
      </w:r>
      <w:r>
        <w:t xml:space="preserve">when its 95 % interval excludes the null value (0.5 for an AUC, 0 for a difference).</w:t>
      </w:r>
      <w:r>
        <w:t xml:space="preserve"> </w:t>
      </w:r>
      <w:r>
        <w:rPr>
          <w:b/>
          <w:bCs/>
        </w:rPr>
        <w:t xml:space="preserve">Label-free</w:t>
      </w:r>
      <w:r>
        <w:t xml:space="preserve"> </w:t>
      </w:r>
      <w:r>
        <w:t xml:space="preserve">methods use target features but never target labels.</w:t>
      </w:r>
    </w:p>
    <w:p>
      <w:pPr>
        <w:pStyle w:val="BodyText"/>
      </w:pPr>
      <w:r>
        <w:t xml:space="preserve">The analyses fall into two groups. The within-region comparison, the transfer matrix, the two</w:t>
      </w:r>
      <w:r>
        <w:t xml:space="preserve"> </w:t>
      </w:r>
      <w:r>
        <w:t xml:space="preserve">adaptation methods, the gap decomposition and the reversal test follow the fixed protocols of the</w:t>
      </w:r>
      <w:r>
        <w:t xml:space="preserve"> </w:t>
      </w:r>
      <w:r>
        <w:t xml:space="preserve">processing pipeline. The twenty similarity measures were recorded on 8 August 2026, before the label</w:t>
      </w:r>
      <w:r>
        <w:t xml:space="preserve"> </w:t>
      </w:r>
      <w:r>
        <w:t xml:space="preserve">correction of Section 3.2. By contrast, the frame test (Section 3.12), the distance collars, the</w:t>
      </w:r>
      <w:r>
        <w:t xml:space="preserve"> </w:t>
      </w:r>
      <w:r>
        <w:t xml:space="preserve">equivalence tests, the additional resampling units and the analyses listed in Table S21 were added</w:t>
      </w:r>
      <w:r>
        <w:t xml:space="preserve"> </w:t>
      </w:r>
      <w:r>
        <w:t xml:space="preserve">after the first results. These are exploratory, and they are reported as such.</w:t>
      </w:r>
    </w:p>
    <w:bookmarkStart w:id="27" w:name="study-regions-and-temporal-windows"/>
    <w:p>
      <w:pPr>
        <w:pStyle w:val="Heading2"/>
      </w:pPr>
      <w:r>
        <w:t xml:space="preserve">3.1 Study regions and temporal windows</w:t>
      </w:r>
    </w:p>
    <w:p>
      <w:pPr>
        <w:pStyle w:val="FirstParagraph"/>
      </w:pPr>
      <w:r>
        <w:t xml:space="preserve">Five Mediterranean wildfire regions were analysed (Fig. 1): Manavgat 2021 and Muğla 2021 in Türkiye,</w:t>
      </w:r>
      <w:r>
        <w:t xml:space="preserve"> </w:t>
      </w:r>
      <w:r>
        <w:t xml:space="preserve">Bejís 2022 in Spain, North Evia 2021 in Greece and Montiferru 2021 in Sardinia. Each region</w:t>
      </w:r>
      <w:r>
        <w:t xml:space="preserve"> </w:t>
      </w:r>
      <w:r>
        <w:t xml:space="preserve">contributes one fire season, and each season was dominated by one large fire; in Muğla, however,</w:t>
      </w:r>
      <w:r>
        <w:t xml:space="preserve"> </w:t>
      </w:r>
      <w:r>
        <w:t xml:space="preserve">several separate burned areas occurred in the same weeks. The events were not sampled from a defined</w:t>
      </w:r>
      <w:r>
        <w:t xml:space="preserve"> </w:t>
      </w:r>
      <w:r>
        <w:t xml:space="preserve">population of fires, so the results describe large single-season events. Each study area is a</w:t>
      </w:r>
      <w:r>
        <w:t xml:space="preserve"> </w:t>
      </w:r>
      <w:r>
        <w:t xml:space="preserve">rectangle in EPSG:4326 around the fire. It was not clipped to the fire perimeter, so the unburned</w:t>
      </w:r>
      <w:r>
        <w:t xml:space="preserve"> </w:t>
      </w:r>
      <w:r>
        <w:t xml:space="preserve">cells around each fire form the negative class.</w:t>
      </w:r>
    </w:p>
    <w:p>
      <w:pPr>
        <w:pStyle w:val="BodyText"/>
      </w:pPr>
      <w:r>
        <w:t xml:space="preserve">The rectangles were not all fixed before any outcome was seen. Only the Montiferru rectangle follows</w:t>
      </w:r>
      <w:r>
        <w:t xml:space="preserve"> </w:t>
      </w:r>
      <w:r>
        <w:t xml:space="preserve">a stated rule, and the North Evia rectangle was extended after the first one showed a very high</w:t>
      </w:r>
      <w:r>
        <w:t xml:space="preserve"> </w:t>
      </w:r>
      <w:r>
        <w:t xml:space="preserve">burned fraction (Section S3.3, Table S19). The first Evia rectangle is kept as a sensitivity analysis</w:t>
      </w:r>
      <w:r>
        <w:t xml:space="preserve"> </w:t>
      </w:r>
      <w:r>
        <w:t xml:space="preserve">(Section S1.1). A sixth region, Kozan 2023, served as a negative control and was excluded by the gate</w:t>
      </w:r>
      <w:r>
        <w:t xml:space="preserve"> </w:t>
      </w:r>
      <w:r>
        <w:t xml:space="preserve">of Section 3.3.</w:t>
      </w:r>
    </w:p>
    <w:p>
      <w:pPr>
        <w:pStyle w:val="BodyText"/>
      </w:pPr>
      <w:r>
        <w:t xml:space="preserve">Each region has two windows that do not overlap. The</w:t>
      </w:r>
      <w:r>
        <w:t xml:space="preserve"> </w:t>
      </w:r>
      <w:r>
        <w:rPr>
          <w:b/>
          <w:bCs/>
        </w:rPr>
        <w:t xml:space="preserve">predictor window</w:t>
      </w:r>
      <w:r>
        <w:t xml:space="preserve"> </w:t>
      </w:r>
      <w:r>
        <w:t xml:space="preserve">ends the day before the</w:t>
      </w:r>
      <w:r>
        <w:t xml:space="preserve"> </w:t>
      </w:r>
      <w:r>
        <w:rPr>
          <w:b/>
          <w:bCs/>
        </w:rPr>
        <w:t xml:space="preserve">label window</w:t>
      </w:r>
      <w:r>
        <w:t xml:space="preserve"> </w:t>
      </w:r>
      <w:r>
        <w:t xml:space="preserve">starts, so no predictor observation is later than the first labelled burning.</w:t>
      </w:r>
      <w:r>
        <w:t xml:space="preserve"> </w:t>
      </w:r>
      <w:r>
        <w:t xml:space="preserve">Predictor windows are 57 to 61 days long and label windows 35 to 59 days. Four earlier years of</w:t>
      </w:r>
      <w:r>
        <w:t xml:space="preserve"> </w:t>
      </w:r>
      <w:r>
        <w:t xml:space="preserve">composites from the same calendar window serve as the baseline for the anomaly channels. The</w:t>
      </w:r>
      <w:r>
        <w:t xml:space="preserve"> </w:t>
      </w:r>
      <w:r>
        <w:t xml:space="preserve">processing chain is shown in Fig. 2.</w:t>
      </w:r>
    </w:p>
    <w:bookmarkEnd w:id="27"/>
    <w:bookmarkStart w:id="28" w:name="Xcc92d46017428efca605b7a585437f9896a0ad0"/>
    <w:p>
      <w:pPr>
        <w:pStyle w:val="Heading2"/>
      </w:pPr>
      <w:r>
        <w:t xml:space="preserve">3.2 Burned-area label and the ~500 m analysis grid</w:t>
      </w:r>
    </w:p>
    <w:p>
      <w:pPr>
        <w:pStyle w:val="FirstParagraph"/>
      </w:pPr>
      <w:r>
        <w:t xml:space="preserve">Labels were taken from the MODIS MCD64A1 burned-area product, Collection 6.1</w:t>
      </w:r>
      <w:r>
        <w:t xml:space="preserve"> </w:t>
      </w:r>
      <w:r>
        <w:t xml:space="preserve">(Giglio et al. 2018, 2021)</w:t>
      </w:r>
      <w:r>
        <w:t xml:space="preserve">, through Google Earth Engine</w:t>
      </w:r>
      <w:r>
        <w:t xml:space="preserve"> </w:t>
      </w:r>
      <w:r>
        <w:t xml:space="preserve">(Gorelick et al. 2017)</w:t>
      </w:r>
      <w:r>
        <w:t xml:space="preserve">. Its errors</w:t>
      </w:r>
      <w:r>
        <w:t xml:space="preserve"> </w:t>
      </w:r>
      <w:r>
        <w:t xml:space="preserve">(Boschetti et al. 2019)</w:t>
      </w:r>
      <w:r>
        <w:t xml:space="preserve"> </w:t>
      </w:r>
      <w:r>
        <w:t xml:space="preserve">limit every model in this study. As a check, the within-region and transfer analyses</w:t>
      </w:r>
      <w:r>
        <w:t xml:space="preserve"> </w:t>
      </w:r>
      <w:r>
        <w:t xml:space="preserve">were repeated with the VIIRS VNP64A1 product</w:t>
      </w:r>
      <w:r>
        <w:t xml:space="preserve"> </w:t>
      </w:r>
      <w:r>
        <w:t xml:space="preserve">(Giglio 2024)</w:t>
      </w:r>
      <w:r>
        <w:t xml:space="preserve"> </w:t>
      </w:r>
      <w:r>
        <w:t xml:space="preserve">(Section S1.23). The MCD64A1 monthly burn-date</w:t>
      </w:r>
      <w:r>
        <w:t xml:space="preserve"> </w:t>
      </w:r>
      <w:r>
        <w:t xml:space="preserve">layer was sampled onto the 30 m reference grid of the processing pipeline by</w:t>
      </w:r>
      <w:r>
        <w:t xml:space="preserve"> </w:t>
      </w:r>
      <w:r>
        <w:t xml:space="preserve">nearest neighbour, so each ~500 m observation is repeated over the 30 m pixels below it. The</w:t>
      </w:r>
      <w:r>
        <w:t xml:space="preserve"> </w:t>
      </w:r>
      <w:r>
        <w:t xml:space="preserve">analysis grid is built from this grid in blocks of 17 × 17 pixels. A cell is therefore about 510 m from north to south and 390 to</w:t>
      </w:r>
      <w:r>
        <w:t xml:space="preserve"> </w:t>
      </w:r>
      <w:r>
        <w:t xml:space="preserve">407 m from east to west, with an area of 0.199 to 0.208 km² (a MODIS cell is 0.215 km²). A cell is</w:t>
      </w:r>
      <w:r>
        <w:t xml:space="preserve"> </w:t>
      </w:r>
      <w:r>
        <w:t xml:space="preserve">labelled burned when any of its pixels has a burn date in the label window. Because of this rule, a</w:t>
      </w:r>
      <w:r>
        <w:t xml:space="preserve"> </w:t>
      </w:r>
      <w:r>
        <w:t xml:space="preserve">scar can grow by up to one cell at its edge. Water cells are removed by the population filter of</w:t>
      </w:r>
      <w:r>
        <w:t xml:space="preserve"> </w:t>
      </w:r>
      <w:r>
        <w:t xml:space="preserve">Section 3.5.</w:t>
      </w:r>
    </w:p>
    <w:p>
      <w:pPr>
        <w:pStyle w:val="BodyText"/>
      </w:pPr>
      <w:r>
        <w:rPr>
          <w:b/>
          <w:bCs/>
        </w:rPr>
        <w:t xml:space="preserve">Earlier burning.</w:t>
      </w:r>
      <w:r>
        <w:t xml:space="preserve"> </w:t>
      </w:r>
      <w:r>
        <w:t xml:space="preserve">Cells that burned in the predictor window were removed in Muğla (49 cells),</w:t>
      </w:r>
      <w:r>
        <w:t xml:space="preserve"> </w:t>
      </w:r>
      <w:r>
        <w:t xml:space="preserve">North Evia (16) and Montiferru (61). Manavgat had no burning in that window. In Bejís this removal</w:t>
      </w:r>
      <w:r>
        <w:t xml:space="preserve"> </w:t>
      </w:r>
      <w:r>
        <w:t xml:space="preserve">was not applied, so 49 cells that burned before the label window were kept. Burning in the five</w:t>
      </w:r>
      <w:r>
        <w:t xml:space="preserve"> </w:t>
      </w:r>
      <w:r>
        <w:t xml:space="preserve">previous years was not screened in any region. When those cells were excluded, the mean transfer</w:t>
      </w:r>
      <w:r>
        <w:t xml:space="preserve"> </w:t>
      </w:r>
      <w:r>
        <w:t xml:space="preserve">gain fell from +0.007 to +0.003, while the within-region gain stayed positive in all regions</w:t>
      </w:r>
      <w:r>
        <w:t xml:space="preserve"> </w:t>
      </w:r>
      <w:r>
        <w:t xml:space="preserve">(Section S3.1.1).</w:t>
      </w:r>
    </w:p>
    <w:p>
      <w:pPr>
        <w:pStyle w:val="BodyText"/>
      </w:pPr>
      <w:r>
        <w:rPr>
          <w:b/>
          <w:bCs/>
        </w:rPr>
        <w:t xml:space="preserve">Corrected Manavgat label.</w:t>
      </w:r>
      <w:r>
        <w:t xml:space="preserve"> </w:t>
      </w:r>
      <w:r>
        <w:t xml:space="preserve">The label first used for Manavgat missed the first four days of the</w:t>
      </w:r>
      <w:r>
        <w:t xml:space="preserve"> </w:t>
      </w:r>
      <w:r>
        <w:t xml:space="preserve">fire, 28 to 31 July. The corrected label only adds burned cells, and it raises the number of burned</w:t>
      </w:r>
      <w:r>
        <w:t xml:space="preserve"> </w:t>
      </w:r>
      <w:r>
        <w:t xml:space="preserve">cells in the primary population from 784 to 2,935. In this paper,</w:t>
      </w:r>
      <w:r>
        <w:t xml:space="preserve"> </w:t>
      </w:r>
      <w:r>
        <w:t xml:space="preserve">“original label”</w:t>
      </w:r>
      <w:r>
        <w:t xml:space="preserve"> </w:t>
      </w:r>
      <w:r>
        <w:t xml:space="preserve">means the label</w:t>
      </w:r>
      <w:r>
        <w:t xml:space="preserve"> </w:t>
      </w:r>
      <w:r>
        <w:t xml:space="preserve">before this correction. The correction and its control run are described in Section S3.1.2.</w:t>
      </w:r>
    </w:p>
    <w:bookmarkEnd w:id="28"/>
    <w:bookmarkStart w:id="29" w:name="burned-landcover-admissibility-gate"/>
    <w:p>
      <w:pPr>
        <w:pStyle w:val="Heading2"/>
      </w:pPr>
      <w:r>
        <w:t xml:space="preserve">3.3 Burned-landcover admissibility gate</w:t>
      </w:r>
    </w:p>
    <w:p>
      <w:pPr>
        <w:pStyle w:val="FirstParagraph"/>
      </w:pPr>
      <w:r>
        <w:t xml:space="preserve">Before modelling, each region had to pass a gate. The gate asks what fraction of the burned cells is</w:t>
      </w:r>
      <w:r>
        <w:t xml:space="preserve"> </w:t>
      </w:r>
      <w:r>
        <w:t xml:space="preserve">covered mainly by natural vegetation, using ESA WorldCover classes</w:t>
      </w:r>
      <w:r>
        <w:t xml:space="preserve"> </w:t>
      </w:r>
      <w:r>
        <w:t xml:space="preserve">(Zanaga et al. 2022)</w:t>
      </w:r>
      <w:r>
        <w:t xml:space="preserve">. A region is</w:t>
      </w:r>
      <w:r>
        <w:t xml:space="preserve"> </w:t>
      </w:r>
      <w:r>
        <w:t xml:space="preserve">admitted if this fraction is at least 0.50 and at least 30 cells burned. Conversely, it is rejected</w:t>
      </w:r>
      <w:r>
        <w:t xml:space="preserve"> </w:t>
      </w:r>
      <w:r>
        <w:t xml:space="preserve">as a cropland control if the cropland fraction is at least 0.50 (Section S3.1).</w:t>
      </w:r>
    </w:p>
    <w:bookmarkEnd w:id="29"/>
    <w:bookmarkStart w:id="30" w:name="predictor-variables"/>
    <w:p>
      <w:pPr>
        <w:pStyle w:val="Heading2"/>
      </w:pPr>
      <w:r>
        <w:t xml:space="preserve">3.4 Predictor variables</w:t>
      </w:r>
    </w:p>
    <w:p>
      <w:pPr>
        <w:pStyle w:val="FirstParagraph"/>
      </w:pPr>
      <w:r>
        <w:t xml:space="preserve">Ten predictors were used (Table S20). The</w:t>
      </w:r>
      <w:r>
        <w:t xml:space="preserve"> </w:t>
      </w:r>
      <w:r>
        <w:rPr>
          <w:b/>
          <w:bCs/>
        </w:rPr>
        <w:t xml:space="preserve">baseline</w:t>
      </w:r>
      <w:r>
        <w:t xml:space="preserve"> </w:t>
      </w:r>
      <w:r>
        <w:t xml:space="preserve">set contains elevation and slope from the</w:t>
      </w:r>
      <w:r>
        <w:t xml:space="preserve"> </w:t>
      </w:r>
      <w:r>
        <w:t xml:space="preserve">Copernicus DEM GLO-30</w:t>
      </w:r>
      <w:r>
        <w:t xml:space="preserve"> </w:t>
      </w:r>
      <w:r>
        <w:t xml:space="preserve">(European Space Agency 2022)</w:t>
      </w:r>
      <w:r>
        <w:t xml:space="preserve">, dominant land cover from ESA WorldCover v200</w:t>
      </w:r>
      <w:r>
        <w:t xml:space="preserve"> </w:t>
      </w:r>
      <w:r>
        <w:t xml:space="preserve">(Zanaga et al. 2022)</w:t>
      </w:r>
      <w:r>
        <w:t xml:space="preserve">,</w:t>
      </w:r>
      <w:r>
        <w:t xml:space="preserve"> </w:t>
      </w:r>
      <w:r>
        <w:t xml:space="preserve">and the median NDVI of the predictor window from Landsat 8 Collection 2 Level-2</w:t>
      </w:r>
      <w:r>
        <w:t xml:space="preserve"> </w:t>
      </w:r>
      <w:r>
        <w:t xml:space="preserve">(U.S. Geological Survey Earth Resources Observation and Science (EROS) Center 2020)</w:t>
      </w:r>
      <w:r>
        <w:t xml:space="preserve">.</w:t>
      </w:r>
      <w:r>
        <w:t xml:space="preserve"> </w:t>
      </w:r>
      <w:r>
        <w:t xml:space="preserve">These change little over one fire season. The</w:t>
      </w:r>
      <w:r>
        <w:t xml:space="preserve"> </w:t>
      </w:r>
      <w:r>
        <w:rPr>
          <w:b/>
          <w:bCs/>
        </w:rPr>
        <w:t xml:space="preserve">thermal</w:t>
      </w:r>
      <w:r>
        <w:t xml:space="preserve"> </w:t>
      </w:r>
      <w:r>
        <w:t xml:space="preserve">set adds six channels derived from Landsat</w:t>
      </w:r>
      <w:r>
        <w:t xml:space="preserve"> </w:t>
      </w:r>
      <w:r>
        <w:t xml:space="preserve">8 surface temperature, screened for quality and composited as the median of the predictor window.</w:t>
      </w:r>
      <w:r>
        <w:t xml:space="preserve"> </w:t>
      </w:r>
      <w:r>
        <w:t xml:space="preserve">The six channels are current LST, its anomaly against the four baseline years, the TVDI</w:t>
      </w:r>
      <w:r>
        <w:t xml:space="preserve"> </w:t>
      </w:r>
      <w:r>
        <w:t xml:space="preserve">(Sandholt et al. 2002)</w:t>
      </w:r>
      <w:r>
        <w:t xml:space="preserve">, its difference from the baseline years, a downscaled LST and a fused LST. The last two use MODIS MOD11A1 v061 daytime LST (Terra, about 10:30 local time)</w:t>
      </w:r>
      <w:r>
        <w:t xml:space="preserve"> </w:t>
      </w:r>
      <w:r>
        <w:t xml:space="preserve">(Wan et al. 2021)</w:t>
      </w:r>
      <w:r>
        <w:t xml:space="preserve"> </w:t>
      </w:r>
      <w:r>
        <w:t xml:space="preserve">and a</w:t>
      </w:r>
      <w:r>
        <w:t xml:space="preserve"> </w:t>
      </w:r>
      <w:r>
        <w:t xml:space="preserve">random-forest downscaling model to fill gaps in Landsat (0.11 % to 9.70 % of pixels,</w:t>
      </w:r>
      <w:r>
        <w:t xml:space="preserve"> </w:t>
      </w:r>
      <w:r>
        <w:t xml:space="preserve">depending on the region). Because TVDI edges are fitted inside each study area and window, a TVDI value does not mean the</w:t>
      </w:r>
      <w:r>
        <w:t xml:space="preserve"> </w:t>
      </w:r>
      <w:r>
        <w:t xml:space="preserve">same moisture state in two regions (Section S3.4). The median pixel had three to six clear Landsat</w:t>
      </w:r>
      <w:r>
        <w:t xml:space="preserve"> </w:t>
      </w:r>
      <w:r>
        <w:t xml:space="preserve">observations in the predictor window, and one to seven in each baseline year (Table S36). Landsat 9</w:t>
      </w:r>
      <w:r>
        <w:t xml:space="preserve"> </w:t>
      </w:r>
      <w:r>
        <w:t xml:space="preserve">was not used.</w:t>
      </w:r>
    </w:p>
    <w:p>
      <w:pPr>
        <w:pStyle w:val="BodyText"/>
      </w:pPr>
      <w:r>
        <w:rPr>
          <w:b/>
          <w:bCs/>
        </w:rPr>
        <w:t xml:space="preserve">The six thermal channels carry about two signals.</w:t>
      </w:r>
      <w:r>
        <w:t xml:space="preserve"> </w:t>
      </w:r>
      <w:r>
        <w:t xml:space="preserve">Current, fused and downscaled LST are</w:t>
      </w:r>
      <w:r>
        <w:t xml:space="preserve"> </w:t>
      </w:r>
      <w:r>
        <w:t xml:space="preserve">correlated at 0.97 to 1.00 in every region. Current LST and TVDI are correlated at 0.88 to 0.98, and</w:t>
      </w:r>
      <w:r>
        <w:t xml:space="preserve"> </w:t>
      </w:r>
      <w:r>
        <w:t xml:space="preserve">the two anomaly channels at 0.71 to 0.94. As a result, two principal components explain 92 % to 98 %</w:t>
      </w:r>
      <w:r>
        <w:t xml:space="preserve"> </w:t>
      </w:r>
      <w:r>
        <w:t xml:space="preserve">of their variance (Section S3.4), and counts over the nine numeric predictors are read with care.</w:t>
      </w:r>
    </w:p>
    <w:p>
      <w:pPr>
        <w:pStyle w:val="BodyText"/>
      </w:pPr>
      <w:r>
        <w:rPr>
          <w:b/>
          <w:bCs/>
        </w:rPr>
        <w:t xml:space="preserve">Land cover.</w:t>
      </w:r>
      <w:r>
        <w:t xml:space="preserve"> </w:t>
      </w:r>
      <w:r>
        <w:t xml:space="preserve">WorldCover v200 is built from 2021 images, which is after the fire for the four</w:t>
      </w:r>
      <w:r>
        <w:t xml:space="preserve"> </w:t>
      </w:r>
      <w:r>
        <w:t xml:space="preserve">2021 events. All analyses were therefore repeated with the 2020 map (WorldCover v100), aggregated to</w:t>
      </w:r>
      <w:r>
        <w:t xml:space="preserve"> </w:t>
      </w:r>
      <w:r>
        <w:t xml:space="preserve">the same cells. The 2020 map changed the population by at most 43 burned cells in four regions. In</w:t>
      </w:r>
      <w:r>
        <w:t xml:space="preserve"> </w:t>
      </w:r>
      <w:r>
        <w:t xml:space="preserve">Montiferru, however, it added 142 burned cells that the 2021 map did not class as natural</w:t>
      </w:r>
      <w:r>
        <w:t xml:space="preserve"> </w:t>
      </w:r>
      <w:r>
        <w:t xml:space="preserve">vegetation. The within-region gains and the transfer results did not change in any conclusion</w:t>
      </w:r>
      <w:r>
        <w:t xml:space="preserve"> </w:t>
      </w:r>
      <w:r>
        <w:t xml:space="preserve">(Section S1.23).</w:t>
      </w:r>
    </w:p>
    <w:bookmarkEnd w:id="30"/>
    <w:bookmarkStart w:id="31" w:name="Xcd627174e40b9796b647a00c1e510f4d83b1a1e"/>
    <w:p>
      <w:pPr>
        <w:pStyle w:val="Heading2"/>
      </w:pPr>
      <w:r>
        <w:t xml:space="preserve">3.5 Cell aggregation, validity and analysis populations</w:t>
      </w:r>
    </w:p>
    <w:p>
      <w:pPr>
        <w:pStyle w:val="FirstParagraph"/>
      </w:pPr>
      <w:r>
        <w:t xml:space="preserve">Cell values are means over the valid 30 m pixels of the cell. A cell is valid for modelling when</w:t>
      </w:r>
      <w:r>
        <w:t xml:space="preserve"> </w:t>
      </w:r>
      <w:r>
        <w:t xml:space="preserve">NDVI, elevation and slope are available for at least 30 % of the cell and at least one land-cover</w:t>
      </w:r>
      <w:r>
        <w:t xml:space="preserve"> </w:t>
      </w:r>
      <w:r>
        <w:t xml:space="preserve">pixel is valid. Thermal completeness is not required. The</w:t>
      </w:r>
      <w:r>
        <w:t xml:space="preserve"> </w:t>
      </w:r>
      <w:r>
        <w:rPr>
          <w:b/>
          <w:bCs/>
        </w:rPr>
        <w:t xml:space="preserve">primary</w:t>
      </w:r>
      <w:r>
        <w:t xml:space="preserve"> </w:t>
      </w:r>
      <w:r>
        <w:t xml:space="preserve">population contains the valid</w:t>
      </w:r>
      <w:r>
        <w:t xml:space="preserve"> </w:t>
      </w:r>
      <w:r>
        <w:t xml:space="preserve">cells in which tree, shrub and grass cover together reach 0.50, so cropland and water are excluded.</w:t>
      </w:r>
      <w:r>
        <w:t xml:space="preserve"> </w:t>
      </w:r>
      <w:r>
        <w:t xml:space="preserve">In this population, 0.1 % to 6.5 % of cells have at least one missing thermal value, depending on</w:t>
      </w:r>
      <w:r>
        <w:t xml:space="preserve"> </w:t>
      </w:r>
      <w:r>
        <w:t xml:space="preserve">the region. These values are filled inside the model pipeline (Section 3.6), and missingness is not</w:t>
      </w:r>
      <w:r>
        <w:t xml:space="preserve"> </w:t>
      </w:r>
      <w:r>
        <w:t xml:space="preserve">related to burning (AUC 0.49 to 0.51 in every region). A</w:t>
      </w:r>
      <w:r>
        <w:t xml:space="preserve"> </w:t>
      </w:r>
      <w:r>
        <w:rPr>
          <w:b/>
          <w:bCs/>
        </w:rPr>
        <w:t xml:space="preserve">secondary</w:t>
      </w:r>
      <w:r>
        <w:t xml:space="preserve"> </w:t>
      </w:r>
      <w:r>
        <w:t xml:space="preserve">population of all valid cells</w:t>
      </w:r>
      <w:r>
        <w:t xml:space="preserve"> </w:t>
      </w:r>
      <w:r>
        <w:t xml:space="preserve">is used only as a within-region sensitivity analysis in two regions (Section S1.17).</w:t>
      </w:r>
    </w:p>
    <w:bookmarkEnd w:id="31"/>
    <w:bookmarkStart w:id="32" w:name="classifier"/>
    <w:p>
      <w:pPr>
        <w:pStyle w:val="Heading2"/>
      </w:pPr>
      <w:r>
        <w:t xml:space="preserve">3.6 Classifier</w:t>
      </w:r>
    </w:p>
    <w:p>
      <w:pPr>
        <w:pStyle w:val="FirstParagraph"/>
      </w:pPr>
      <w:r>
        <w:t xml:space="preserve">The thermal set contains the baseline set (Section 3.4). Land cover is one-hot encoded. Missing</w:t>
      </w:r>
      <w:r>
        <w:t xml:space="preserve"> </w:t>
      </w:r>
      <w:r>
        <w:t xml:space="preserve">numeric values are replaced by the median and missing land cover by the most frequent class. These</w:t>
      </w:r>
      <w:r>
        <w:t xml:space="preserve"> </w:t>
      </w:r>
      <w:r>
        <w:t xml:space="preserve">values are fitted inside each training fold, and on the source region only in transfer, so no test</w:t>
      </w:r>
      <w:r>
        <w:t xml:space="preserve"> </w:t>
      </w:r>
      <w:r>
        <w:t xml:space="preserve">data are used in fitting. The adapted models of Section 3.9 are the only exception. The classifier is</w:t>
      </w:r>
      <w:r>
        <w:t xml:space="preserve"> </w:t>
      </w:r>
      <w:r>
        <w:t xml:space="preserve">a random forest</w:t>
      </w:r>
      <w:r>
        <w:t xml:space="preserve"> </w:t>
      </w:r>
      <w:r>
        <w:t xml:space="preserve">(Breiman 2001)</w:t>
      </w:r>
      <w:r>
        <w:t xml:space="preserve"> </w:t>
      </w:r>
      <w:r>
        <w:t xml:space="preserve">with 300 trees, unlimited depth,</w:t>
      </w:r>
      <w:r>
        <w:t xml:space="preserve"> </w:t>
      </w:r>
      <w:r>
        <w:rPr>
          <w:rStyle w:val="VerbatimChar"/>
        </w:rPr>
        <w:t xml:space="preserve">min_samples_leaf = 3</w:t>
      </w:r>
      <w:r>
        <w:t xml:space="preserve">, balanced class</w:t>
      </w:r>
      <w:r>
        <w:t xml:space="preserve"> </w:t>
      </w:r>
      <w:r>
        <w:t xml:space="preserve">weights and</w:t>
      </w:r>
      <w:r>
        <w:t xml:space="preserve"> </w:t>
      </w:r>
      <w:r>
        <w:rPr>
          <w:rStyle w:val="VerbatimChar"/>
        </w:rPr>
        <w:t xml:space="preserve">random_state = 42</w:t>
      </w:r>
      <w:r>
        <w:t xml:space="preserve">. These settings were fixed in advance, were not tuned, and are the</w:t>
      </w:r>
      <w:r>
        <w:t xml:space="preserve"> </w:t>
      </w:r>
      <w:r>
        <w:t xml:space="preserve">same in every analysis.</w:t>
      </w:r>
    </w:p>
    <w:bookmarkEnd w:id="32"/>
    <w:bookmarkStart w:id="33" w:name="X785b6d2d3cf248a9e68f1dbafb66b89e91ecc74"/>
    <w:p>
      <w:pPr>
        <w:pStyle w:val="Heading2"/>
      </w:pPr>
      <w:r>
        <w:t xml:space="preserve">3.7 Spatial-block cross-validation and bootstrap uncertainty</w:t>
      </w:r>
    </w:p>
    <w:p>
      <w:pPr>
        <w:pStyle w:val="FirstParagraph"/>
      </w:pPr>
      <w:r>
        <w:t xml:space="preserve">Cross-validation is spatially blocked. Cell</w:t>
      </w:r>
      <w:r>
        <w:t xml:space="preserve"> </w:t>
      </w:r>
      <m:oMath>
        <m:r>
          <m:t>i</m:t>
        </m:r>
      </m:oMath>
      <w:r>
        <w:t xml:space="preserve"> </w:t>
      </w:r>
      <w:r>
        <w:t xml:space="preserve">at grid position</w:t>
      </w:r>
      <w:r>
        <w:t xml:space="preserve"> </w:t>
      </w:r>
      <m:oMath>
        <m:r>
          <m:rPr>
            <m:sty m:val="p"/>
          </m:rPr>
          <m:t>(</m:t>
        </m:r>
        <m:sSub>
          <m:e>
            <m:r>
              <m:t>r</m:t>
            </m:r>
          </m:e>
          <m:sub>
            <m:r>
              <m:t>i</m:t>
            </m:r>
          </m:sub>
        </m:sSub>
        <m:r>
          <m:rPr>
            <m:sty m:val="p"/>
          </m:rPr>
          <m:t>,</m:t>
        </m:r>
        <m:sSub>
          <m:e>
            <m:r>
              <m:t>c</m:t>
            </m:r>
          </m:e>
          <m:sub>
            <m:r>
              <m:t>i</m:t>
            </m:r>
          </m:sub>
        </m:sSub>
        <m:r>
          <m:rPr>
            <m:sty m:val="p"/>
          </m:rPr>
          <m:t>)</m:t>
        </m:r>
      </m:oMath>
      <w:r>
        <w:t xml:space="preserve"> </w:t>
      </w:r>
      <w:r>
        <w:t xml:space="preserve">is assigned to the</w:t>
      </w:r>
      <w:r>
        <w:t xml:space="preserve"> </w:t>
      </w:r>
      <w:r>
        <w:t xml:space="preserve">block</w:t>
      </w:r>
    </w:p>
    <w:p>
      <w:pPr>
        <w:pStyle w:val="BodyText"/>
      </w:pPr>
      <m:oMathPara>
        <m:oMathParaPr>
          <m:jc m:val="center"/>
        </m:oMathParaPr>
        <m:oMath>
          <m:sSub>
            <m:e>
              <m:r>
                <m:t>b</m:t>
              </m:r>
            </m:e>
            <m:sub>
              <m:r>
                <m:t>k</m:t>
              </m:r>
            </m:sub>
          </m:sSub>
          <m:r>
            <m:rPr>
              <m:sty m:val="p"/>
            </m:rPr>
            <m:t>(</m:t>
          </m:r>
          <m:r>
            <m:t>i</m:t>
          </m:r>
          <m:r>
            <m:rPr>
              <m:sty m:val="p"/>
            </m:rPr>
            <m:t>)</m:t>
          </m:r>
          <m:r>
            <m:rPr>
              <m:sty m:val="p"/>
            </m:rPr>
            <m:t>=</m:t>
          </m:r>
          <m:d>
            <m:dPr>
              <m:begChr m:val="("/>
              <m:sepChr m:val=""/>
              <m:endChr m:val=")"/>
              <m:grow/>
            </m:dPr>
            <m:e>
              <m:r>
                <m:rPr>
                  <m:sty m:val="p"/>
                </m:rPr>
                <m:t>⌊</m:t>
              </m:r>
              <m:sSub>
                <m:e>
                  <m:r>
                    <m:t>r</m:t>
                  </m:r>
                </m:e>
                <m:sub>
                  <m:r>
                    <m:t>i</m:t>
                  </m:r>
                </m:sub>
              </m:sSub>
              <m:r>
                <m:rPr>
                  <m:sty m:val="p"/>
                </m:rPr>
                <m:t>/</m:t>
              </m:r>
              <m:r>
                <m:t>k</m:t>
              </m:r>
              <m:r>
                <m:rPr>
                  <m:sty m:val="p"/>
                </m:rPr>
                <m:t>⌋</m:t>
              </m:r>
              <m:r>
                <m:rPr>
                  <m:sty m:val="p"/>
                </m:rPr>
                <m:t>,</m:t>
              </m:r>
              <m:r>
                <m:t> </m:t>
              </m:r>
              <m:r>
                <m:rPr>
                  <m:sty m:val="p"/>
                </m:rPr>
                <m:t>⌊</m:t>
              </m:r>
              <m:sSub>
                <m:e>
                  <m:r>
                    <m:t>c</m:t>
                  </m:r>
                </m:e>
                <m:sub>
                  <m:r>
                    <m:t>i</m:t>
                  </m:r>
                </m:sub>
              </m:sSub>
              <m:r>
                <m:rPr>
                  <m:sty m:val="p"/>
                </m:rPr>
                <m:t>/</m:t>
              </m:r>
              <m:r>
                <m:t>k</m:t>
              </m:r>
              <m:r>
                <m:rPr>
                  <m:sty m:val="p"/>
                </m:rPr>
                <m:t>⌋</m:t>
              </m:r>
            </m:e>
          </m:d>
          <m:r>
            <m:rPr>
              <m:sty m:val="p"/>
            </m:rPr>
            <m:t>.</m:t>
          </m:r>
          <m:r>
            <m:t>  </m:t>
          </m:r>
          <m:r>
            <m:rPr>
              <m:sty m:val="p"/>
            </m:rPr>
            <m:t>(</m:t>
          </m:r>
          <m:r>
            <m:t>1</m:t>
          </m:r>
          <m:r>
            <m:rPr>
              <m:sty m:val="p"/>
            </m:rPr>
            <m:t>)</m:t>
          </m:r>
        </m:oMath>
      </m:oMathPara>
    </w:p>
    <w:p>
      <w:pPr>
        <w:pStyle w:val="FirstParagraph"/>
      </w:pPr>
      <w:r>
        <w:t xml:space="preserve">Five folds are drawn over whole blocks, stratified by label, so a block is never split between</w:t>
      </w:r>
      <w:r>
        <w:t xml:space="preserve"> </w:t>
      </w:r>
      <w:r>
        <w:t xml:space="preserve">training and test. Block sizes of</w:t>
      </w:r>
      <w:r>
        <w:t xml:space="preserve"> </w:t>
      </w:r>
      <m:oMath>
        <m:r>
          <m:t>k</m:t>
        </m:r>
      </m:oMath>
      <w:r>
        <w:t xml:space="preserve"> </w:t>
      </w:r>
      <w:r>
        <w:t xml:space="preserve">= 2, 10 and 20 cells are reported; they are written as</w:t>
      </w:r>
      <w:r>
        <w:t xml:space="preserve"> </w:t>
      </w:r>
      <w:r>
        <w:t xml:space="preserve">1 km, 5 km and 10 km blocking in the text.</w:t>
      </w:r>
    </w:p>
    <w:p>
      <w:pPr>
        <w:pStyle w:val="BodyText"/>
      </w:pPr>
      <w:r>
        <w:t xml:space="preserve">Every score is a ROC-AUC on a named set of cells</w:t>
      </w:r>
      <w:r>
        <w:t xml:space="preserve"> </w:t>
      </w:r>
      <m:oMath>
        <m:r>
          <m:t>F</m:t>
        </m:r>
      </m:oMath>
      <w:r>
        <w:t xml:space="preserve">, its evaluation frame. With</w:t>
      </w:r>
      <w:r>
        <w:t xml:space="preserve"> </w:t>
      </w:r>
      <m:oMath>
        <m:sSup>
          <m:e>
            <m:r>
              <m:t>F</m:t>
            </m:r>
          </m:e>
          <m:sup>
            <m:r>
              <m:rPr>
                <m:sty m:val="p"/>
              </m:rPr>
              <m:t>+</m:t>
            </m:r>
          </m:sup>
        </m:sSup>
      </m:oMath>
      <w:r>
        <w:t xml:space="preserve"> </w:t>
      </w:r>
      <w:r>
        <w:t xml:space="preserve">the</w:t>
      </w:r>
      <w:r>
        <w:t xml:space="preserve"> </w:t>
      </w:r>
      <w:r>
        <w:t xml:space="preserve">burned and</w:t>
      </w:r>
      <w:r>
        <w:t xml:space="preserve"> </w:t>
      </w:r>
      <m:oMath>
        <m:sSup>
          <m:e>
            <m:r>
              <m:t>F</m:t>
            </m:r>
          </m:e>
          <m:sup>
            <m:r>
              <m:rPr>
                <m:sty m:val="p"/>
              </m:rPr>
              <m:t>−</m:t>
            </m:r>
          </m:sup>
        </m:sSup>
      </m:oMath>
      <w:r>
        <w:t xml:space="preserve"> </w:t>
      </w:r>
      <w:r>
        <w:t xml:space="preserve">the unburned cells of</w:t>
      </w:r>
      <w:r>
        <w:t xml:space="preserve"> </w:t>
      </w:r>
      <m:oMath>
        <m:r>
          <m:t>F</m:t>
        </m:r>
      </m:oMath>
      <w:r>
        <w:t xml:space="preserve">, and</w:t>
      </w:r>
      <w:r>
        <w:t xml:space="preserve"> </w:t>
      </w:r>
      <m:oMath>
        <m:sSub>
          <m:e>
            <m:r>
              <m:t>s</m:t>
            </m:r>
          </m:e>
          <m:sub>
            <m:r>
              <m:t>i</m:t>
            </m:r>
          </m:sub>
        </m:sSub>
      </m:oMath>
      <w:r>
        <w:t xml:space="preserve"> </w:t>
      </w:r>
      <w:r>
        <w:t xml:space="preserve">the predicted score,</w:t>
      </w:r>
    </w:p>
    <w:p>
      <w:pPr>
        <w:pStyle w:val="BodyText"/>
      </w:pPr>
      <m:oMathPara>
        <m:oMathParaPr>
          <m:jc m:val="center"/>
        </m:oMathParaPr>
        <m:oMath>
          <m:r>
            <m:rPr>
              <m:sty m:val="p"/>
            </m:rPr>
            <m:t>A</m:t>
          </m:r>
          <m:r>
            <m:rPr>
              <m:sty m:val="p"/>
            </m:rPr>
            <m:t>U</m:t>
          </m:r>
          <m:r>
            <m:rPr>
              <m:sty m:val="p"/>
            </m:rPr>
            <m:t>C</m:t>
          </m:r>
          <m:r>
            <m:rPr>
              <m:sty m:val="p"/>
            </m:rPr>
            <m:t>(</m:t>
          </m:r>
          <m:r>
            <m:t>s</m:t>
          </m:r>
          <m:r>
            <m:rPr>
              <m:sty m:val="p"/>
            </m:rPr>
            <m:t>;</m:t>
          </m:r>
          <m:r>
            <m:t>F</m:t>
          </m:r>
          <m:r>
            <m:rPr>
              <m:sty m:val="p"/>
            </m:rPr>
            <m:t>)</m:t>
          </m:r>
          <m:r>
            <m:rPr>
              <m:sty m:val="p"/>
            </m:rPr>
            <m:t>=</m:t>
          </m:r>
          <m:f>
            <m:fPr>
              <m:type m:val="bar"/>
            </m:fPr>
            <m:num>
              <m:r>
                <m:t>1</m:t>
              </m:r>
            </m:num>
            <m:den>
              <m:r>
                <m:rPr>
                  <m:sty m:val="p"/>
                </m:rPr>
                <m:t>|</m:t>
              </m:r>
              <m:sSup>
                <m:e>
                  <m:r>
                    <m:t>F</m:t>
                  </m:r>
                </m:e>
                <m:sup>
                  <m:r>
                    <m:rPr>
                      <m:sty m:val="p"/>
                    </m:rPr>
                    <m:t>+</m:t>
                  </m:r>
                </m:sup>
              </m:sSup>
              <m:r>
                <m:rPr>
                  <m:sty m:val="p"/>
                </m:rPr>
                <m:t>|</m:t>
              </m:r>
              <m:r>
                <m:t> </m:t>
              </m:r>
              <m:r>
                <m:rPr>
                  <m:sty m:val="p"/>
                </m:rPr>
                <m:t>|</m:t>
              </m:r>
              <m:sSup>
                <m:e>
                  <m:r>
                    <m:t>F</m:t>
                  </m:r>
                </m:e>
                <m:sup>
                  <m:r>
                    <m:rPr>
                      <m:sty m:val="p"/>
                    </m:rPr>
                    <m:t>−</m:t>
                  </m:r>
                </m:sup>
              </m:sSup>
              <m:r>
                <m:rPr>
                  <m:sty m:val="p"/>
                </m:rPr>
                <m:t>|</m:t>
              </m:r>
            </m:den>
          </m:f>
          <m:nary>
            <m:naryPr>
              <m:chr m:val="∑"/>
              <m:limLoc m:val="undOvr"/>
              <m:subHide m:val="off"/>
              <m:supHide m:val="on"/>
            </m:naryPr>
            <m:sub>
              <m:r>
                <m:t>i</m:t>
              </m:r>
              <m:r>
                <m:rPr>
                  <m:sty m:val="p"/>
                </m:rPr>
                <m:t>∈</m:t>
              </m:r>
              <m:sSup>
                <m:e>
                  <m:r>
                    <m:t>F</m:t>
                  </m:r>
                </m:e>
                <m:sup>
                  <m:r>
                    <m:rPr>
                      <m:sty m:val="p"/>
                    </m:rPr>
                    <m:t>+</m:t>
                  </m:r>
                </m:sup>
              </m:sSup>
            </m:sub>
            <m:sup>
              <m:r>
                <m:t>​</m:t>
              </m:r>
            </m:sup>
            <m:e>
              <m:nary>
                <m:naryPr>
                  <m:chr m:val="∑"/>
                  <m:limLoc m:val="undOvr"/>
                  <m:subHide m:val="off"/>
                  <m:supHide m:val="on"/>
                </m:naryPr>
                <m:sub>
                  <m:r>
                    <m:t>j</m:t>
                  </m:r>
                  <m:r>
                    <m:rPr>
                      <m:sty m:val="p"/>
                    </m:rPr>
                    <m:t>∈</m:t>
                  </m:r>
                  <m:sSup>
                    <m:e>
                      <m:r>
                        <m:t>F</m:t>
                      </m:r>
                    </m:e>
                    <m:sup>
                      <m:r>
                        <m:rPr>
                          <m:sty m:val="p"/>
                        </m:rPr>
                        <m:t>−</m:t>
                      </m:r>
                    </m:sup>
                  </m:sSup>
                </m:sub>
                <m:sup>
                  <m:r>
                    <m:t>​</m:t>
                  </m:r>
                </m:sup>
                <m:e>
                  <m:d>
                    <m:dPr>
                      <m:begChr m:val="["/>
                      <m:sepChr m:val=""/>
                      <m:endChr m:val="]"/>
                      <m:grow/>
                    </m:dPr>
                    <m:e>
                      <m:r>
                        <m:rPr>
                          <m:sty m:val="b"/>
                        </m:rPr>
                        <m:t>1</m:t>
                      </m:r>
                      <m:r>
                        <m:rPr>
                          <m:sty m:val="p"/>
                        </m:rPr>
                        <m:t>(</m:t>
                      </m:r>
                      <m:sSub>
                        <m:e>
                          <m:r>
                            <m:t>s</m:t>
                          </m:r>
                        </m:e>
                        <m:sub>
                          <m:r>
                            <m:t>i</m:t>
                          </m:r>
                        </m:sub>
                      </m:sSub>
                      <m:r>
                        <m:rPr>
                          <m:sty m:val="p"/>
                        </m:rPr>
                        <m:t>&gt;</m:t>
                      </m:r>
                      <m:sSub>
                        <m:e>
                          <m:r>
                            <m:t>s</m:t>
                          </m:r>
                        </m:e>
                        <m:sub>
                          <m:r>
                            <m:t>j</m:t>
                          </m:r>
                        </m:sub>
                      </m:sSub>
                      <m:r>
                        <m:rPr>
                          <m:sty m:val="p"/>
                        </m:rPr>
                        <m:t>)</m:t>
                      </m:r>
                      <m:r>
                        <m:rPr>
                          <m:sty m:val="p"/>
                        </m:rPr>
                        <m:t>+</m:t>
                      </m:r>
                      <m:f>
                        <m:fPr>
                          <m:type m:val="lin"/>
                        </m:fPr>
                        <m:num>
                          <m:r>
                            <m:t>1</m:t>
                          </m:r>
                        </m:num>
                        <m:den>
                          <m:r>
                            <m:t>2</m:t>
                          </m:r>
                        </m:den>
                      </m:f>
                      <m:r>
                        <m:t> </m:t>
                      </m:r>
                      <m:r>
                        <m:rPr>
                          <m:sty m:val="b"/>
                        </m:rPr>
                        <m:t>1</m:t>
                      </m:r>
                      <m:r>
                        <m:rPr>
                          <m:sty m:val="p"/>
                        </m:rPr>
                        <m:t>(</m:t>
                      </m:r>
                      <m:sSub>
                        <m:e>
                          <m:r>
                            <m:t>s</m:t>
                          </m:r>
                        </m:e>
                        <m:sub>
                          <m:r>
                            <m:t>i</m:t>
                          </m:r>
                        </m:sub>
                      </m:sSub>
                      <m:r>
                        <m:rPr>
                          <m:sty m:val="p"/>
                        </m:rPr>
                        <m:t>=</m:t>
                      </m:r>
                      <m:sSub>
                        <m:e>
                          <m:r>
                            <m:t>s</m:t>
                          </m:r>
                        </m:e>
                        <m:sub>
                          <m:r>
                            <m:t>j</m:t>
                          </m:r>
                        </m:sub>
                      </m:sSub>
                      <m:r>
                        <m:rPr>
                          <m:sty m:val="p"/>
                        </m:rPr>
                        <m:t>)</m:t>
                      </m:r>
                    </m:e>
                  </m:d>
                </m:e>
              </m:nary>
            </m:e>
          </m:nary>
          <m:r>
            <m:rPr>
              <m:sty m:val="p"/>
            </m:rPr>
            <m:t>.</m:t>
          </m:r>
          <m:r>
            <m:t>  </m:t>
          </m:r>
          <m:r>
            <m:rPr>
              <m:sty m:val="p"/>
            </m:rPr>
            <m:t>(</m:t>
          </m:r>
          <m:r>
            <m:t>2</m:t>
          </m:r>
          <m:r>
            <m:rPr>
              <m:sty m:val="p"/>
            </m:rPr>
            <m:t>)</m:t>
          </m:r>
        </m:oMath>
      </m:oMathPara>
    </w:p>
    <w:p>
      <w:pPr>
        <w:pStyle w:val="FirstParagraph"/>
      </w:pPr>
      <w:r>
        <w:t xml:space="preserve">This is the probability that a burned cell in</w:t>
      </w:r>
      <w:r>
        <w:t xml:space="preserve"> </w:t>
      </w:r>
      <m:oMath>
        <m:r>
          <m:t>F</m:t>
        </m:r>
      </m:oMath>
      <w:r>
        <w:t xml:space="preserve"> </w:t>
      </w:r>
      <w:r>
        <w:t xml:space="preserve">is ranked above an unburned one. The metric can</w:t>
      </w:r>
      <w:r>
        <w:t xml:space="preserve"> </w:t>
      </w:r>
      <w:r>
        <w:t xml:space="preserve">therefore change when the frame changes, even when no score changes (Section 3.12). Precision-recall AUC is also reported, because it reflects how a susceptibility map is used when</w:t>
      </w:r>
      <w:r>
        <w:t xml:space="preserve"> </w:t>
      </w:r>
      <w:r>
        <w:t xml:space="preserve">burned cells are rare</w:t>
      </w:r>
      <w:r>
        <w:t xml:space="preserve"> </w:t>
      </w:r>
      <w:r>
        <w:t xml:space="preserve">(Sofaer et al. 2019)</w:t>
      </w:r>
      <w:r>
        <w:t xml:space="preserve">. The out-of-fold residuals stay spatially correlated up to 5 to</w:t>
      </w:r>
      <w:r>
        <w:t xml:space="preserve"> </w:t>
      </w:r>
      <w:r>
        <w:t xml:space="preserve">10 km, and in three regions they fall below 0.05 only at 10 to 20 km (Section S1.23). Intervals at</w:t>
      </w:r>
      <w:r>
        <w:t xml:space="preserve"> </w:t>
      </w:r>
      <w:r>
        <w:t xml:space="preserve">5 km blocking may therefore still be somewhat too narrow, and the 10 km results are given as a check.</w:t>
      </w:r>
    </w:p>
    <w:p>
      <w:pPr>
        <w:pStyle w:val="BodyText"/>
      </w:pPr>
      <w:r>
        <w:t xml:space="preserve">Uncertainty is estimated with a spatial-block bootstrap. Blocks are resampled with replacement, 1000</w:t>
      </w:r>
      <w:r>
        <w:t xml:space="preserve"> </w:t>
      </w:r>
      <w:r>
        <w:t xml:space="preserve">times, with seed 42, and the 2.5 and 97.5 percentiles give the interval. Differences are paired</w:t>
      </w:r>
      <w:r>
        <w:t xml:space="preserve"> </w:t>
      </w:r>
      <w:r>
        <w:t xml:space="preserve">within each replicate, and the block size is given with every result. Quantities with one value per</w:t>
      </w:r>
      <w:r>
        <w:t xml:space="preserve"> </w:t>
      </w:r>
      <w:r>
        <w:t xml:space="preserve">transfer direction are resampled over the ten region pairs; this pair-cluster bootstrap is the</w:t>
      </w:r>
      <w:r>
        <w:t xml:space="preserve"> </w:t>
      </w:r>
      <w:r>
        <w:rPr>
          <w:b/>
          <w:bCs/>
        </w:rPr>
        <w:t xml:space="preserve">primary resampling unit</w:t>
      </w:r>
      <w:r>
        <w:t xml:space="preserve"> </w:t>
      </w:r>
      <w:r>
        <w:t xml:space="preserve">for direction-level intervals, and five further units are compared in</w:t>
      </w:r>
      <w:r>
        <w:t xml:space="preserve"> </w:t>
      </w:r>
      <w:r>
        <w:t xml:space="preserve">Section S1.22. Quantities with one value per scar or per target region get a Student</w:t>
      </w:r>
      <w:r>
        <w:t xml:space="preserve"> </w:t>
      </w:r>
      <w:r>
        <w:rPr>
          <w:i/>
          <w:iCs/>
        </w:rPr>
        <w:t xml:space="preserve">t</w:t>
      </w:r>
      <w:r>
        <w:t xml:space="preserve"> </w:t>
      </w:r>
      <w:r>
        <w:t xml:space="preserve">interval.</w:t>
      </w:r>
      <w:r>
        <w:t xml:space="preserve"> </w:t>
      </w:r>
      <w:r>
        <w:t xml:space="preserve">The effective sample is therefore ten pairs or five regions for direction-level intervals, and at</w:t>
      </w:r>
      <w:r>
        <w:t xml:space="preserve"> </w:t>
      </w:r>
      <w:r>
        <w:t xml:space="preserve">most seven scars from three regions for scar-level intervals. Because scars are nested in regions,</w:t>
      </w:r>
      <w:r>
        <w:t xml:space="preserve"> </w:t>
      </w:r>
      <w:r>
        <w:t xml:space="preserve">the region-level estimates are the primary ones for the frame test.</w:t>
      </w:r>
    </w:p>
    <w:bookmarkEnd w:id="33"/>
    <w:bookmarkStart w:id="34" w:name="cross-region-transfer-protocol"/>
    <w:p>
      <w:pPr>
        <w:pStyle w:val="Heading2"/>
      </w:pPr>
      <w:r>
        <w:t xml:space="preserve">3.8 Cross-region transfer protocol</w:t>
      </w:r>
    </w:p>
    <w:p>
      <w:pPr>
        <w:pStyle w:val="FirstParagraph"/>
      </w:pPr>
      <w:r>
        <w:t xml:space="preserve">For each ordered pair of regions, the model was fitted on the source region and applied to the</w:t>
      </w:r>
      <w:r>
        <w:t xml:space="preserve"> </w:t>
      </w:r>
      <w:r>
        <w:t xml:space="preserve">target region.</w:t>
      </w:r>
      <w:r>
        <w:t xml:space="preserve"> </w:t>
      </w:r>
      <w:r>
        <w:rPr>
          <w:b/>
          <w:bCs/>
        </w:rPr>
        <w:t xml:space="preserve">No target label was used</w:t>
      </w:r>
      <w:r>
        <w:t xml:space="preserve">: there was no refitting, threshold selection or</w:t>
      </w:r>
      <w:r>
        <w:t xml:space="preserve"> </w:t>
      </w:r>
      <w:r>
        <w:t xml:space="preserve">calibration on the target. Both feature sets were transferred, so the gain from the thermal block is</w:t>
      </w:r>
      <w:r>
        <w:t xml:space="preserve"> </w:t>
      </w:r>
      <w:r>
        <w:t xml:space="preserve">a paired difference within each direction. All twenty ordered directions were computed.</w:t>
      </w:r>
    </w:p>
    <w:bookmarkEnd w:id="34"/>
    <w:bookmarkStart w:id="35" w:name="label-free-domain-adaptation"/>
    <w:p>
      <w:pPr>
        <w:pStyle w:val="Heading2"/>
      </w:pPr>
      <w:r>
        <w:t xml:space="preserve">3.9 Label-free domain adaptation</w:t>
      </w:r>
    </w:p>
    <w:p>
      <w:pPr>
        <w:pStyle w:val="FirstParagraph"/>
      </w:pPr>
      <w:r>
        <w:t xml:space="preserve">Two label-free methods were tested on every direction and in both feature sets.</w:t>
      </w:r>
      <w:r>
        <w:t xml:space="preserve"> </w:t>
      </w:r>
      <w:r>
        <w:rPr>
          <w:b/>
          <w:bCs/>
        </w:rPr>
        <w:t xml:space="preserve">Region-wise</w:t>
      </w:r>
      <w:r>
        <w:rPr>
          <w:b/>
          <w:bCs/>
        </w:rPr>
        <w:t xml:space="preserve"> </w:t>
      </w:r>
      <w:r>
        <w:rPr>
          <w:b/>
          <w:bCs/>
        </w:rPr>
        <w:t xml:space="preserve">z-score</w:t>
      </w:r>
      <w:r>
        <w:t xml:space="preserve"> </w:t>
      </w:r>
      <w:r>
        <w:t xml:space="preserve">standardises the numeric features of each region with its own statistics.</w:t>
      </w:r>
      <w:r>
        <w:t xml:space="preserve"> </w:t>
      </w:r>
      <w:r>
        <w:rPr>
          <w:b/>
          <w:bCs/>
        </w:rPr>
        <w:t xml:space="preserve">CORAL after</w:t>
      </w:r>
      <w:r>
        <w:rPr>
          <w:b/>
          <w:bCs/>
        </w:rPr>
        <w:t xml:space="preserve"> </w:t>
      </w:r>
      <w:r>
        <w:rPr>
          <w:b/>
          <w:bCs/>
        </w:rPr>
        <w:t xml:space="preserve">region-wise z-score</w:t>
      </w:r>
      <w:r>
        <w:t xml:space="preserve"> </w:t>
      </w:r>
      <w:r>
        <w:t xml:space="preserve">then aligns the source covariance with the target covariance</w:t>
      </w:r>
      <w:r>
        <w:t xml:space="preserve"> </w:t>
      </w:r>
      <w:r>
        <w:t xml:space="preserve">(Sun et al. 2016)</w:t>
      </w:r>
      <w:r>
        <w:t xml:space="preserve">, with</w:t>
      </w:r>
      <w:r>
        <w:t xml:space="preserve"> </w:t>
      </w:r>
      <w:r>
        <w:t xml:space="preserve">λ = 10⁻⁵. Both methods use target feature statistics, which are available before a fire, but never</w:t>
      </w:r>
      <w:r>
        <w:t xml:space="preserve"> </w:t>
      </w:r>
      <w:r>
        <w:t xml:space="preserve">target labels. The value of λ was not chosen by performance; its effect is reported in Section S1.2.</w:t>
      </w:r>
      <w:r>
        <w:t xml:space="preserve"> </w:t>
      </w:r>
      <w:r>
        <w:t xml:space="preserve">Details are given in Section S3.8.</w:t>
      </w:r>
    </w:p>
    <w:bookmarkEnd w:id="35"/>
    <w:bookmarkStart w:id="36" w:name="Xd87d771640219ba40600ec3fb81f3aaf53cf849"/>
    <w:p>
      <w:pPr>
        <w:pStyle w:val="Heading2"/>
      </w:pPr>
      <w:r>
        <w:t xml:space="preserve">3.10 Transfer-gap decomposition and the reversal criterion</w:t>
      </w:r>
    </w:p>
    <w:p>
      <w:pPr>
        <w:pStyle w:val="FirstParagraph"/>
      </w:pPr>
      <w:r>
        <w:t xml:space="preserve">For a direction into a target, let</w:t>
      </w:r>
      <w:r>
        <w:t xml:space="preserve"> </w:t>
      </w:r>
      <m:oMath>
        <m:sSub>
          <m:e>
            <m:r>
              <m:t>A</m:t>
            </m:r>
          </m:e>
          <m:sub>
            <m:r>
              <m:rPr>
                <m:sty m:val="p"/>
              </m:rPr>
              <m:t>w</m:t>
            </m:r>
          </m:sub>
        </m:sSub>
      </m:oMath>
      <w:r>
        <w:t xml:space="preserve"> </w:t>
      </w:r>
      <w:r>
        <w:t xml:space="preserve">be the within-region thermal AUC of the target,</w:t>
      </w:r>
      <w:r>
        <w:t xml:space="preserve"> </w:t>
      </w:r>
      <m:oMath>
        <m:sSub>
          <m:e>
            <m:r>
              <m:t>A</m:t>
            </m:r>
          </m:e>
          <m:sub>
            <m:r>
              <m:rPr>
                <m:sty m:val="p"/>
              </m:rPr>
              <m:t>r</m:t>
            </m:r>
            <m:r>
              <m:rPr>
                <m:sty m:val="p"/>
              </m:rPr>
              <m:t>a</m:t>
            </m:r>
            <m:r>
              <m:rPr>
                <m:sty m:val="p"/>
              </m:rPr>
              <m:t>w</m:t>
            </m:r>
          </m:sub>
        </m:sSub>
      </m:oMath>
      <w:r>
        <w:t xml:space="preserve"> </w:t>
      </w:r>
      <w:r>
        <w:t xml:space="preserve">the raw transfer AUC and</w:t>
      </w:r>
      <w:r>
        <w:t xml:space="preserve"> </w:t>
      </w:r>
      <m:oMath>
        <m:sSub>
          <m:e>
            <m:r>
              <m:t>A</m:t>
            </m:r>
          </m:e>
          <m:sub>
            <m:r>
              <m:rPr>
                <m:sty m:val="p"/>
              </m:rPr>
              <m:t>a</m:t>
            </m:r>
            <m:r>
              <m:rPr>
                <m:sty m:val="p"/>
              </m:rPr>
              <m:t>d</m:t>
            </m:r>
          </m:sub>
        </m:sSub>
      </m:oMath>
      <w:r>
        <w:t xml:space="preserve"> </w:t>
      </w:r>
      <w:r>
        <w:t xml:space="preserve">the transfer AUC after adaptation</w:t>
      </w:r>
      <w:r>
        <w:t xml:space="preserve"> </w:t>
      </w:r>
      <w:r>
        <w:t xml:space="preserve">method</w:t>
      </w:r>
      <w:r>
        <w:t xml:space="preserve"> </w:t>
      </w:r>
      <m:oMath>
        <m:r>
          <m:t>m</m:t>
        </m:r>
      </m:oMath>
      <w:r>
        <w:t xml:space="preserve">, all on the same target cells. The gap is split as</w:t>
      </w:r>
    </w:p>
    <w:p>
      <w:pPr>
        <w:pStyle w:val="BodyText"/>
      </w:pPr>
      <m:oMathPara>
        <m:oMathParaPr>
          <m:jc m:val="center"/>
        </m:oMathParaPr>
        <m:oMath>
          <m:r>
            <m:t>G</m:t>
          </m:r>
          <m:r>
            <m:rPr>
              <m:sty m:val="p"/>
            </m:rPr>
            <m:t>=</m:t>
          </m:r>
          <m:sSub>
            <m:e>
              <m:r>
                <m:t>A</m:t>
              </m:r>
            </m:e>
            <m:sub>
              <m:r>
                <m:rPr>
                  <m:sty m:val="p"/>
                </m:rPr>
                <m:t>w</m:t>
              </m:r>
            </m:sub>
          </m:sSub>
          <m:r>
            <m:rPr>
              <m:sty m:val="p"/>
            </m:rPr>
            <m:t>−</m:t>
          </m:r>
          <m:sSub>
            <m:e>
              <m:r>
                <m:t>A</m:t>
              </m:r>
            </m:e>
            <m:sub>
              <m:r>
                <m:rPr>
                  <m:sty m:val="p"/>
                </m:rPr>
                <m:t>r</m:t>
              </m:r>
              <m:r>
                <m:rPr>
                  <m:sty m:val="p"/>
                </m:rPr>
                <m:t>a</m:t>
              </m:r>
              <m:r>
                <m:rPr>
                  <m:sty m:val="p"/>
                </m:rPr>
                <m:t>w</m:t>
              </m:r>
            </m:sub>
          </m:sSub>
          <m:r>
            <m:rPr>
              <m:sty m:val="p"/>
            </m:rPr>
            <m:t>,</m:t>
          </m:r>
          <m:r>
            <m:t>  </m:t>
          </m:r>
          <m:sSub>
            <m:e>
              <m:r>
                <m:t>R</m:t>
              </m:r>
            </m:e>
            <m:sub>
              <m:r>
                <m:t>m</m:t>
              </m:r>
            </m:sub>
          </m:sSub>
          <m:r>
            <m:rPr>
              <m:sty m:val="p"/>
            </m:rPr>
            <m:t>=</m:t>
          </m:r>
          <m:sSub>
            <m:e>
              <m:r>
                <m:t>A</m:t>
              </m:r>
            </m:e>
            <m:sub>
              <m:r>
                <m:rPr>
                  <m:sty m:val="p"/>
                </m:rPr>
                <m:t>a</m:t>
              </m:r>
              <m:r>
                <m:rPr>
                  <m:sty m:val="p"/>
                </m:rPr>
                <m:t>d</m:t>
              </m:r>
            </m:sub>
          </m:sSub>
          <m:r>
            <m:rPr>
              <m:sty m:val="p"/>
            </m:rPr>
            <m:t>−</m:t>
          </m:r>
          <m:sSub>
            <m:e>
              <m:r>
                <m:t>A</m:t>
              </m:r>
            </m:e>
            <m:sub>
              <m:r>
                <m:rPr>
                  <m:sty m:val="p"/>
                </m:rPr>
                <m:t>r</m:t>
              </m:r>
              <m:r>
                <m:rPr>
                  <m:sty m:val="p"/>
                </m:rPr>
                <m:t>a</m:t>
              </m:r>
              <m:r>
                <m:rPr>
                  <m:sty m:val="p"/>
                </m:rPr>
                <m:t>w</m:t>
              </m:r>
            </m:sub>
          </m:sSub>
          <m:r>
            <m:rPr>
              <m:sty m:val="p"/>
            </m:rPr>
            <m:t>,</m:t>
          </m:r>
          <m:r>
            <m:t>  </m:t>
          </m:r>
          <m:sSub>
            <m:e>
              <m:r>
                <m:t>U</m:t>
              </m:r>
            </m:e>
            <m:sub>
              <m:r>
                <m:t>m</m:t>
              </m:r>
            </m:sub>
          </m:sSub>
          <m:r>
            <m:rPr>
              <m:sty m:val="p"/>
            </m:rPr>
            <m:t>=</m:t>
          </m:r>
          <m:sSub>
            <m:e>
              <m:r>
                <m:t>A</m:t>
              </m:r>
            </m:e>
            <m:sub>
              <m:r>
                <m:rPr>
                  <m:sty m:val="p"/>
                </m:rPr>
                <m:t>w</m:t>
              </m:r>
            </m:sub>
          </m:sSub>
          <m:r>
            <m:rPr>
              <m:sty m:val="p"/>
            </m:rPr>
            <m:t>−</m:t>
          </m:r>
          <m:sSub>
            <m:e>
              <m:r>
                <m:t>A</m:t>
              </m:r>
            </m:e>
            <m:sub>
              <m:r>
                <m:rPr>
                  <m:sty m:val="p"/>
                </m:rPr>
                <m:t>a</m:t>
              </m:r>
              <m:r>
                <m:rPr>
                  <m:sty m:val="p"/>
                </m:rPr>
                <m:t>d</m:t>
              </m:r>
            </m:sub>
          </m:sSub>
          <m:r>
            <m:rPr>
              <m:sty m:val="p"/>
            </m:rPr>
            <m:t>,</m:t>
          </m:r>
          <m:r>
            <m:t>  </m:t>
          </m:r>
          <m:sSub>
            <m:e>
              <m:r>
                <m:t>f</m:t>
              </m:r>
            </m:e>
            <m:sub>
              <m:r>
                <m:t>m</m:t>
              </m:r>
            </m:sub>
          </m:sSub>
          <m:r>
            <m:rPr>
              <m:sty m:val="p"/>
            </m:rPr>
            <m:t>=</m:t>
          </m:r>
          <m:sSub>
            <m:e>
              <m:r>
                <m:t>R</m:t>
              </m:r>
            </m:e>
            <m:sub>
              <m:r>
                <m:t>m</m:t>
              </m:r>
            </m:sub>
          </m:sSub>
          <m:r>
            <m:rPr>
              <m:sty m:val="p"/>
            </m:rPr>
            <m:t>/</m:t>
          </m:r>
          <m:r>
            <m:t>G</m:t>
          </m:r>
          <m:r>
            <m:rPr>
              <m:sty m:val="p"/>
            </m:rPr>
            <m:t>,</m:t>
          </m:r>
          <m:r>
            <m:t>  </m:t>
          </m:r>
          <m:r>
            <m:rPr>
              <m:sty m:val="p"/>
            </m:rPr>
            <m:t>(</m:t>
          </m:r>
          <m:r>
            <m:t>3</m:t>
          </m:r>
          <m:r>
            <m:rPr>
              <m:sty m:val="p"/>
            </m:rPr>
            <m:t>)</m:t>
          </m:r>
        </m:oMath>
      </m:oMathPara>
    </w:p>
    <w:p>
      <w:pPr>
        <w:pStyle w:val="FirstParagraph"/>
      </w:pPr>
      <w:r>
        <w:t xml:space="preserve">so that</w:t>
      </w:r>
      <w:r>
        <w:t xml:space="preserve"> </w:t>
      </w:r>
      <m:oMath>
        <m:sSub>
          <m:e>
            <m:r>
              <m:t>R</m:t>
            </m:r>
          </m:e>
          <m:sub>
            <m:r>
              <m:t>m</m:t>
            </m:r>
          </m:sub>
        </m:sSub>
        <m:r>
          <m:rPr>
            <m:sty m:val="p"/>
          </m:rPr>
          <m:t>+</m:t>
        </m:r>
        <m:sSub>
          <m:e>
            <m:r>
              <m:t>U</m:t>
            </m:r>
          </m:e>
          <m:sub>
            <m:r>
              <m:t>m</m:t>
            </m:r>
          </m:sub>
        </m:sSub>
        <m:r>
          <m:rPr>
            <m:sty m:val="p"/>
          </m:rPr>
          <m:t>=</m:t>
        </m:r>
        <m:r>
          <m:t>G</m:t>
        </m:r>
      </m:oMath>
      <w:r>
        <w:t xml:space="preserve">. The recovered fraction</w:t>
      </w:r>
      <w:r>
        <w:t xml:space="preserve"> </w:t>
      </w:r>
      <m:oMath>
        <m:sSub>
          <m:e>
            <m:r>
              <m:t>f</m:t>
            </m:r>
          </m:e>
          <m:sub>
            <m:r>
              <m:t>m</m:t>
            </m:r>
          </m:sub>
        </m:sSub>
      </m:oMath>
      <w:r>
        <w:t xml:space="preserve"> </w:t>
      </w:r>
      <w:r>
        <w:t xml:space="preserve">is signed and is not clipped, so when</w:t>
      </w:r>
      <w:r>
        <w:t xml:space="preserve"> </w:t>
      </w:r>
      <w:r>
        <w:t xml:space="preserve">adaptation lowers AUC, the recovery is negative and is reported as negative. Intervals come from the</w:t>
      </w:r>
      <w:r>
        <w:t xml:space="preserve"> </w:t>
      </w:r>
      <w:r>
        <w:t xml:space="preserve">paired bootstrap of Section 3.7 (Section S3.7).</w:t>
      </w:r>
    </w:p>
    <w:p>
      <w:pPr>
        <w:pStyle w:val="BodyText"/>
      </w:pPr>
      <w:r>
        <w:t xml:space="preserve">The direction of each predictor was measured with a</w:t>
      </w:r>
      <w:r>
        <w:t xml:space="preserve"> </w:t>
      </w:r>
      <w:r>
        <w:rPr>
          <w:b/>
          <w:bCs/>
        </w:rPr>
        <w:t xml:space="preserve">signed univariate association</w:t>
      </w:r>
      <w:r>
        <w:t xml:space="preserve">: the ROC-AUC</w:t>
      </w:r>
      <w:r>
        <w:t xml:space="preserve"> </w:t>
      </w:r>
      <w:r>
        <w:t xml:space="preserve">of each numeric predictor against</w:t>
      </w:r>
      <w:r>
        <w:t xml:space="preserve"> </w:t>
      </w:r>
      <w:r>
        <w:rPr>
          <w:rStyle w:val="VerbatimChar"/>
        </w:rPr>
        <w:t xml:space="preserve">burned</w:t>
      </w:r>
      <w:r>
        <w:t xml:space="preserve">, computed in each region and never folded to</w:t>
      </w:r>
      <w:r>
        <w:t xml:space="preserve"> </w:t>
      </w:r>
      <w:r>
        <w:t xml:space="preserve">max(AUC, 1 − AUC). A value below 0.5 therefore shows a direction, not weakness. A reversal between</w:t>
      </w:r>
      <w:r>
        <w:t xml:space="preserve"> </w:t>
      </w:r>
      <w:r>
        <w:t xml:space="preserve">two regions is called supported only when the two values are on opposite sides of 0.5</w:t>
      </w:r>
      <w:r>
        <w:t xml:space="preserve"> </w:t>
      </w:r>
      <w:r>
        <w:rPr>
          <w:b/>
          <w:bCs/>
        </w:rPr>
        <w:t xml:space="preserve">and</w:t>
      </w:r>
      <w:r>
        <w:t xml:space="preserve"> </w:t>
      </w:r>
      <w:r>
        <w:t xml:space="preserve">each</w:t>
      </w:r>
      <w:r>
        <w:t xml:space="preserve"> </w:t>
      </w:r>
      <w:r>
        <w:t xml:space="preserve">region’s own interval excludes 0.5. This is a per-comparison criterion, and a Holm correction over</w:t>
      </w:r>
      <w:r>
        <w:t xml:space="preserve"> </w:t>
      </w:r>
      <w:r>
        <w:t xml:space="preserve">each family of feature-by-pair comparisons is also reported (Section S1.19). A marginal reversal can</w:t>
      </w:r>
      <w:r>
        <w:t xml:space="preserve"> </w:t>
      </w:r>
      <w:r>
        <w:t xml:space="preserve">also arise when the predictors are distributed differently in two regions, so it is not a direct</w:t>
      </w:r>
      <w:r>
        <w:t xml:space="preserve"> </w:t>
      </w:r>
      <w:r>
        <w:t xml:space="preserve">test of a change in the predictor-burning relationship.</w:t>
      </w:r>
    </w:p>
    <w:bookmarkEnd w:id="36"/>
    <w:bookmarkStart w:id="37" w:name="interventions"/>
    <w:p>
      <w:pPr>
        <w:pStyle w:val="Heading2"/>
      </w:pPr>
      <w:r>
        <w:t xml:space="preserve">3.11 Interventions</w:t>
      </w:r>
    </w:p>
    <w:p>
      <w:pPr>
        <w:pStyle w:val="FirstParagraph"/>
      </w:pPr>
      <w:r>
        <w:rPr>
          <w:b/>
          <w:bCs/>
        </w:rPr>
        <w:t xml:space="preserve">Pooled training.</w:t>
      </w:r>
      <w:r>
        <w:t xml:space="preserve"> </w:t>
      </w:r>
      <w:r>
        <w:t xml:space="preserve">In leave-one-region-out training, a model was trained on the other four regions</w:t>
      </w:r>
      <w:r>
        <w:t xml:space="preserve"> </w:t>
      </w:r>
      <w:r>
        <w:t xml:space="preserve">together and tested on the held-out region. It was compared with the mean of the four single-source</w:t>
      </w:r>
      <w:r>
        <w:t xml:space="preserve"> </w:t>
      </w:r>
      <w:r>
        <w:t xml:space="preserve">models, because choosing the best single source would require target labels.</w:t>
      </w:r>
    </w:p>
    <w:p>
      <w:pPr>
        <w:pStyle w:val="BodyText"/>
      </w:pPr>
      <w:r>
        <w:rPr>
          <w:b/>
          <w:bCs/>
        </w:rPr>
        <w:t xml:space="preserve">Removal of reversing features.</w:t>
      </w:r>
      <w:r>
        <w:t xml:space="preserve"> </w:t>
      </w:r>
      <w:r>
        <w:t xml:space="preserve">The two predictors whose reversal was supported under the</w:t>
      </w:r>
      <w:r>
        <w:t xml:space="preserve"> </w:t>
      </w:r>
      <w:r>
        <w:t xml:space="preserve">original label,</w:t>
      </w:r>
      <w:r>
        <w:t xml:space="preserve"> </w:t>
      </w:r>
      <w:r>
        <w:rPr>
          <w:rStyle w:val="VerbatimChar"/>
        </w:rPr>
        <w:t xml:space="preserve">elevation_mean</w:t>
      </w:r>
      <w:r>
        <w:t xml:space="preserve"> </w:t>
      </w:r>
      <w:r>
        <w:t xml:space="preserve">and</w:t>
      </w:r>
      <w:r>
        <w:t xml:space="preserve"> </w:t>
      </w:r>
      <w:r>
        <w:rPr>
          <w:rStyle w:val="VerbatimChar"/>
        </w:rPr>
        <w:t xml:space="preserve">lst_anomaly_mean</w:t>
      </w:r>
      <w:r>
        <w:t xml:space="preserve">, were removed, and all models were refitted.</w:t>
      </w:r>
      <w:r>
        <w:t xml:space="preserve"> </w:t>
      </w:r>
      <w:r>
        <w:t xml:space="preserve">Each was also removed alone. The selection was not repeated under the corrected label (Table S10).</w:t>
      </w:r>
      <w:r>
        <w:t xml:space="preserve"> </w:t>
      </w:r>
      <w:r>
        <w:t xml:space="preserve">Because the two features were chosen from the same data, both results are post-selection estimates.</w:t>
      </w:r>
    </w:p>
    <w:bookmarkEnd w:id="37"/>
    <w:bookmarkStart w:id="38" w:name="Xfd989a21ac0161e368811493eaad5791392c395"/>
    <w:p>
      <w:pPr>
        <w:pStyle w:val="Heading2"/>
      </w:pPr>
      <w:r>
        <w:t xml:space="preserve">3.12 Evaluation frames and controls on the transfer path</w:t>
      </w:r>
    </w:p>
    <w:p>
      <w:pPr>
        <w:pStyle w:val="FirstParagraph"/>
      </w:pPr>
      <w:r>
        <w:t xml:space="preserve">Let</w:t>
      </w:r>
      <w:r>
        <w:t xml:space="preserve"> </w:t>
      </w:r>
      <m:oMath>
        <m:sSub>
          <m:e>
            <m:r>
              <m:t>V</m:t>
            </m:r>
          </m:e>
          <m:sub>
            <m:r>
              <m:t>R</m:t>
            </m:r>
          </m:sub>
        </m:sSub>
      </m:oMath>
      <w:r>
        <w:t xml:space="preserve"> </w:t>
      </w:r>
      <w:r>
        <w:t xml:space="preserve">be the primary population of region</w:t>
      </w:r>
      <w:r>
        <w:t xml:space="preserve"> </w:t>
      </w:r>
      <m:oMath>
        <m:r>
          <m:t>R</m:t>
        </m:r>
      </m:oMath>
      <w:r>
        <w:t xml:space="preserve"> </w:t>
      </w:r>
      <w:r>
        <w:t xml:space="preserve">and</w:t>
      </w:r>
      <w:r>
        <w:t xml:space="preserve"> </w:t>
      </w:r>
      <m:oMath>
        <m:sSub>
          <m:e>
            <m:r>
              <m:t>P</m:t>
            </m:r>
          </m:e>
          <m:sub>
            <m:r>
              <m:t>R</m:t>
            </m:r>
          </m:sub>
        </m:sSub>
        <m:r>
          <m:rPr>
            <m:sty m:val="p"/>
          </m:rPr>
          <m:t>⊂</m:t>
        </m:r>
        <m:sSub>
          <m:e>
            <m:r>
              <m:t>V</m:t>
            </m:r>
          </m:e>
          <m:sub>
            <m:r>
              <m:t>R</m:t>
            </m:r>
          </m:sub>
        </m:sSub>
      </m:oMath>
      <w:r>
        <w:t xml:space="preserve"> </w:t>
      </w:r>
      <w:r>
        <w:t xml:space="preserve">its burned cells. The</w:t>
      </w:r>
      <w:r>
        <w:t xml:space="preserve"> </w:t>
      </w:r>
      <w:r>
        <w:rPr>
          <w:b/>
          <w:bCs/>
        </w:rPr>
        <w:t xml:space="preserve">region-wide frame</w:t>
      </w:r>
      <w:r>
        <w:t xml:space="preserve"> </w:t>
      </w:r>
      <w:r>
        <w:t xml:space="preserve">is</w:t>
      </w:r>
      <w:r>
        <w:t xml:space="preserve"> </w:t>
      </w:r>
      <m:oMath>
        <m:sSub>
          <m:e>
            <m:r>
              <m:t>V</m:t>
            </m:r>
          </m:e>
          <m:sub>
            <m:r>
              <m:t>R</m:t>
            </m:r>
          </m:sub>
        </m:sSub>
      </m:oMath>
      <w:r>
        <w:t xml:space="preserve">, the rectangle as drawn.</w:t>
      </w:r>
    </w:p>
    <w:p>
      <w:pPr>
        <w:pStyle w:val="BodyText"/>
      </w:pPr>
      <w:r>
        <w:rPr>
          <w:b/>
          <w:bCs/>
        </w:rPr>
        <w:t xml:space="preserve">Scar frames.</w:t>
      </w:r>
      <w:r>
        <w:t xml:space="preserve"> </w:t>
      </w:r>
      <w:r>
        <w:t xml:space="preserve">A scar is an 8-connected group</w:t>
      </w:r>
      <w:r>
        <w:t xml:space="preserve"> </w:t>
      </w:r>
      <m:oMath>
        <m:r>
          <m:t>K</m:t>
        </m:r>
      </m:oMath>
      <w:r>
        <w:t xml:space="preserve"> </w:t>
      </w:r>
      <w:r>
        <w:t xml:space="preserve">of at least 50 burned cells. Its</w:t>
      </w:r>
      <w:r>
        <w:t xml:space="preserve"> </w:t>
      </w:r>
      <w:r>
        <w:rPr>
          <w:b/>
          <w:bCs/>
        </w:rPr>
        <w:t xml:space="preserve">scar</w:t>
      </w:r>
      <w:r>
        <w:rPr>
          <w:b/>
          <w:bCs/>
        </w:rPr>
        <w:t xml:space="preserve"> </w:t>
      </w:r>
      <w:r>
        <w:rPr>
          <w:b/>
          <w:bCs/>
        </w:rPr>
        <w:t xml:space="preserve">frame</w:t>
      </w:r>
      <w:r>
        <w:t xml:space="preserve"> </w:t>
      </w:r>
      <w:r>
        <w:t xml:space="preserve">is</w:t>
      </w:r>
    </w:p>
    <w:p>
      <w:pPr>
        <w:pStyle w:val="BodyText"/>
      </w:pPr>
      <m:oMathPara>
        <m:oMathParaPr>
          <m:jc m:val="center"/>
        </m:oMathParaPr>
        <m:oMath>
          <m:sSub>
            <m:e>
              <m:r>
                <m:t>H</m:t>
              </m:r>
            </m:e>
            <m:sub>
              <m:r>
                <m:t>K</m:t>
              </m:r>
            </m:sub>
          </m:sSub>
          <m:r>
            <m:rPr>
              <m:sty m:val="p"/>
            </m:rPr>
            <m:t>=</m:t>
          </m:r>
          <m:d>
            <m:dPr>
              <m:begChr m:val="{"/>
              <m:sepChr m:val=""/>
              <m:endChr m:val="}"/>
              <m:grow/>
            </m:dPr>
            <m:e>
              <m:r>
                <m:t>i</m:t>
              </m:r>
              <m:r>
                <m:rPr>
                  <m:sty m:val="p"/>
                </m:rPr>
                <m:t>∈</m:t>
              </m:r>
              <m:sSub>
                <m:e>
                  <m:r>
                    <m:t>V</m:t>
                  </m:r>
                </m:e>
                <m:sub>
                  <m:r>
                    <m:t>R</m:t>
                  </m:r>
                </m:sub>
              </m:sSub>
              <m:r>
                <m:rPr>
                  <m:sty m:val="p"/>
                </m:rPr>
                <m:t>:</m:t>
              </m:r>
              <m:limLow>
                <m:e>
                  <m:r>
                    <m:rPr>
                      <m:sty m:val="p"/>
                    </m:rPr>
                    <m:t>min</m:t>
                  </m:r>
                </m:e>
                <m:lim>
                  <m:r>
                    <m:t>j</m:t>
                  </m:r>
                  <m:r>
                    <m:rPr>
                      <m:sty m:val="p"/>
                    </m:rPr>
                    <m:t>∈</m:t>
                  </m:r>
                  <m:r>
                    <m:t>K</m:t>
                  </m:r>
                </m:lim>
              </m:limLow>
              <m:d>
                <m:dPr>
                  <m:begChr m:val="("/>
                  <m:sepChr m:val=""/>
                  <m:endChr m:val=")"/>
                  <m:grow/>
                </m:dPr>
                <m:e>
                  <m:r>
                    <m:rPr>
                      <m:sty m:val="p"/>
                    </m:rPr>
                    <m:t>|</m:t>
                  </m:r>
                  <m:sSub>
                    <m:e>
                      <m:r>
                        <m:t>r</m:t>
                      </m:r>
                    </m:e>
                    <m:sub>
                      <m:r>
                        <m:t>i</m:t>
                      </m:r>
                    </m:sub>
                  </m:sSub>
                  <m:r>
                    <m:rPr>
                      <m:sty m:val="p"/>
                    </m:rPr>
                    <m:t>−</m:t>
                  </m:r>
                  <m:sSub>
                    <m:e>
                      <m:r>
                        <m:t>r</m:t>
                      </m:r>
                    </m:e>
                    <m:sub>
                      <m:r>
                        <m:t>j</m:t>
                      </m:r>
                    </m:sub>
                  </m:sSub>
                  <m:r>
                    <m:rPr>
                      <m:sty m:val="p"/>
                    </m:rPr>
                    <m:t>|</m:t>
                  </m:r>
                  <m:r>
                    <m:rPr>
                      <m:sty m:val="p"/>
                    </m:rPr>
                    <m:t>+</m:t>
                  </m:r>
                  <m:r>
                    <m:rPr>
                      <m:sty m:val="p"/>
                    </m:rPr>
                    <m:t>|</m:t>
                  </m:r>
                  <m:sSub>
                    <m:e>
                      <m:r>
                        <m:t>c</m:t>
                      </m:r>
                    </m:e>
                    <m:sub>
                      <m:r>
                        <m:t>i</m:t>
                      </m:r>
                    </m:sub>
                  </m:sSub>
                  <m:r>
                    <m:rPr>
                      <m:sty m:val="p"/>
                    </m:rPr>
                    <m:t>−</m:t>
                  </m:r>
                  <m:sSub>
                    <m:e>
                      <m:r>
                        <m:t>c</m:t>
                      </m:r>
                    </m:e>
                    <m:sub>
                      <m:r>
                        <m:t>j</m:t>
                      </m:r>
                    </m:sub>
                  </m:sSub>
                  <m:r>
                    <m:rPr>
                      <m:sty m:val="p"/>
                    </m:rPr>
                    <m:t>|</m:t>
                  </m:r>
                </m:e>
              </m:d>
              <m:r>
                <m:rPr>
                  <m:sty m:val="p"/>
                </m:rPr>
                <m:t>≤</m:t>
              </m:r>
              <m:r>
                <m:t>m</m:t>
              </m:r>
            </m:e>
          </m:d>
          <m:r>
            <m:rPr>
              <m:sty m:val="p"/>
            </m:rPr>
            <m:t>,</m:t>
          </m:r>
          <m:r>
            <m:t>  </m:t>
          </m:r>
          <m:r>
            <m:rPr>
              <m:sty m:val="p"/>
            </m:rPr>
            <m:t>(</m:t>
          </m:r>
          <m:r>
            <m:t>4</m:t>
          </m:r>
          <m:r>
            <m:rPr>
              <m:sty m:val="p"/>
            </m:rPr>
            <m:t>)</m:t>
          </m:r>
        </m:oMath>
      </m:oMathPara>
    </w:p>
    <w:p>
      <w:pPr>
        <w:pStyle w:val="FirstParagraph"/>
      </w:pPr>
      <w:r>
        <w:t xml:space="preserve">with</w:t>
      </w:r>
      <w:r>
        <w:t xml:space="preserve"> </w:t>
      </w:r>
      <m:oMath>
        <m:r>
          <m:t>m</m:t>
        </m:r>
        <m:r>
          <m:rPr>
            <m:sty m:val="p"/>
          </m:rPr>
          <m:t>=</m:t>
        </m:r>
        <m:r>
          <m:t>4</m:t>
        </m:r>
      </m:oMath>
      <w:r>
        <w:t xml:space="preserve"> </w:t>
      </w:r>
      <w:r>
        <w:t xml:space="preserve">grid steps. On this grid the collar is therefore about 1.6 to 2.0 km wide along the</w:t>
      </w:r>
      <w:r>
        <w:t xml:space="preserve"> </w:t>
      </w:r>
      <w:r>
        <w:t xml:space="preserve">axes and about 1.3 km along the diagonals, and all its unburned cells are next to the fire. Four</w:t>
      </w:r>
      <w:r>
        <w:t xml:space="preserve"> </w:t>
      </w:r>
      <w:r>
        <w:t xml:space="preserve">evaluations use it (Table 2). A scores the out-of-fold predictions of 5-fold blocked cross-validation</w:t>
      </w:r>
      <w:r>
        <w:t xml:space="preserve"> </w:t>
      </w:r>
      <w:r>
        <w:t xml:space="preserve">(</w:t>
      </w:r>
      <m:oMath>
        <m:r>
          <m:t>k</m:t>
        </m:r>
        <m:r>
          <m:rPr>
            <m:sty m:val="p"/>
          </m:rPr>
          <m:t>=</m:t>
        </m:r>
        <m:r>
          <m:t>10</m:t>
        </m:r>
      </m:oMath>
      <w:r>
        <w:t xml:space="preserve">) on</w:t>
      </w:r>
      <w:r>
        <w:t xml:space="preserve"> </w:t>
      </w:r>
      <m:oMath>
        <m:sSub>
          <m:e>
            <m:r>
              <m:t>V</m:t>
            </m:r>
          </m:e>
          <m:sub>
            <m:r>
              <m:t>R</m:t>
            </m:r>
          </m:sub>
        </m:sSub>
      </m:oMath>
      <w:r>
        <w:t xml:space="preserve">, and B scores the same predictions on</w:t>
      </w:r>
      <w:r>
        <w:t xml:space="preserve"> </w:t>
      </w:r>
      <m:oMath>
        <m:sSub>
          <m:e>
            <m:r>
              <m:t>H</m:t>
            </m:r>
          </m:e>
          <m:sub>
            <m:r>
              <m:t>K</m:t>
            </m:r>
          </m:sub>
        </m:sSub>
      </m:oMath>
      <w:r>
        <w:t xml:space="preserve">, so B is the same model scored</w:t>
      </w:r>
      <w:r>
        <w:t xml:space="preserve"> </w:t>
      </w:r>
      <w:r>
        <w:t xml:space="preserve">on a different set of cells. C is</w:t>
      </w:r>
      <w:r>
        <w:t xml:space="preserve"> </w:t>
      </w:r>
      <w:r>
        <w:rPr>
          <w:b/>
          <w:bCs/>
        </w:rPr>
        <w:t xml:space="preserve">leave-one-scar-out</w:t>
      </w:r>
      <w:r>
        <w:t xml:space="preserve">: a model fitted on</w:t>
      </w:r>
      <w:r>
        <w:t xml:space="preserve"> </w:t>
      </w:r>
      <m:oMath>
        <m:sSub>
          <m:e>
            <m:r>
              <m:t>V</m:t>
            </m:r>
          </m:e>
          <m:sub>
            <m:r>
              <m:t>R</m:t>
            </m:r>
          </m:sub>
        </m:sSub>
        <m:r>
          <m:rPr>
            <m:sty m:val="p"/>
          </m:rPr>
          <m:t>\</m:t>
        </m:r>
        <m:sSub>
          <m:e>
            <m:r>
              <m:t>H</m:t>
            </m:r>
          </m:e>
          <m:sub>
            <m:r>
              <m:t>K</m:t>
            </m:r>
          </m:sub>
        </m:sSub>
      </m:oMath>
      <w:r>
        <w:t xml:space="preserve"> </w:t>
      </w:r>
      <w:r>
        <w:t xml:space="preserve">is</w:t>
      </w:r>
      <w:r>
        <w:t xml:space="preserve"> </w:t>
      </w:r>
      <w:r>
        <w:t xml:space="preserve">scored on</w:t>
      </w:r>
      <w:r>
        <w:t xml:space="preserve"> </w:t>
      </w:r>
      <m:oMath>
        <m:sSub>
          <m:e>
            <m:r>
              <m:t>H</m:t>
            </m:r>
          </m:e>
          <m:sub>
            <m:r>
              <m:t>K</m:t>
            </m:r>
          </m:sub>
        </m:sSub>
      </m:oMath>
      <w:r>
        <w:t xml:space="preserve">. D averages, over the four other regions, a model fitted on that region and scored</w:t>
      </w:r>
      <w:r>
        <w:t xml:space="preserve"> </w:t>
      </w:r>
      <w:r>
        <w:t xml:space="preserve">on</w:t>
      </w:r>
      <w:r>
        <w:t xml:space="preserve"> </w:t>
      </w:r>
      <m:oMath>
        <m:sSub>
          <m:e>
            <m:r>
              <m:t>H</m:t>
            </m:r>
          </m:e>
          <m:sub>
            <m:r>
              <m:t>K</m:t>
            </m:r>
          </m:sub>
        </m:sSub>
      </m:oMath>
      <w:r>
        <w:t xml:space="preserve">. Three controls reuse the predictions of A: a prevalence-matched sample, a negative-pool</w:t>
      </w:r>
      <w:r>
        <w:t xml:space="preserve"> </w:t>
      </w:r>
      <w:r>
        <w:t xml:space="preserve">swap and a positive-pool swap (Section S1.9.3).</w:t>
      </w:r>
    </w:p>
    <w:p>
      <w:pPr>
        <w:pStyle w:val="BodyText"/>
      </w:pPr>
      <w:r>
        <w:rPr>
          <w:b/>
          <w:bCs/>
        </w:rPr>
        <w:t xml:space="preserve">The two frames answer different questions.</w:t>
      </w:r>
      <w:r>
        <w:t xml:space="preserve"> </w:t>
      </w:r>
      <w:r>
        <w:t xml:space="preserve">The region-wide frame asks where in a landscape a</w:t>
      </w:r>
      <w:r>
        <w:t xml:space="preserve"> </w:t>
      </w:r>
      <w:r>
        <w:t xml:space="preserve">fire burned, which is the question behind prevention planning. The scar frame asks which cells next</w:t>
      </w:r>
      <w:r>
        <w:t xml:space="preserve"> </w:t>
      </w:r>
      <w:r>
        <w:t xml:space="preserve">to the fire burned. This second question is harder: spread, wind and suppression matter more there,</w:t>
      </w:r>
      <w:r>
        <w:t xml:space="preserve"> </w:t>
      </w:r>
      <w:r>
        <w:t xml:space="preserve">and label errors of the burned-area product are concentrated at scar edges. Two controls address the</w:t>
      </w:r>
      <w:r>
        <w:t xml:space="preserve"> </w:t>
      </w:r>
      <w:r>
        <w:t xml:space="preserve">edge errors: excluding up to two cells at the scar edge, and a placebo collar of the same shape</w:t>
      </w:r>
      <w:r>
        <w:t xml:space="preserve"> </w:t>
      </w:r>
      <w:r>
        <w:t xml:space="preserve">placed away from any burned cell (Table S21).</w:t>
      </w:r>
    </w:p>
    <w:p>
      <w:pPr>
        <w:pStyle w:val="BodyText"/>
      </w:pPr>
      <w:r>
        <w:rPr>
          <w:b/>
          <w:bCs/>
        </w:rPr>
        <w:t xml:space="preserve">Distance collars.</w:t>
      </w:r>
      <w:r>
        <w:t xml:space="preserve"> </w:t>
      </w:r>
      <w:r>
        <w:t xml:space="preserve">The distance to the nearest burned cell and the collar of radius</w:t>
      </w:r>
      <w:r>
        <w:t xml:space="preserve"> </w:t>
      </w:r>
      <m:oMath>
        <m:r>
          <m:t>r</m:t>
        </m:r>
      </m:oMath>
      <w:r>
        <w:t xml:space="preserve"> </w:t>
      </w:r>
      <w:r>
        <w:t xml:space="preserve">(5 or</w:t>
      </w:r>
      <w:r>
        <w:t xml:space="preserve"> </w:t>
      </w:r>
      <w:r>
        <w:t xml:space="preserve">10 km) are</w:t>
      </w:r>
    </w:p>
    <w:p>
      <w:pPr>
        <w:pStyle w:val="BodyText"/>
      </w:pPr>
      <m:oMathPara>
        <m:oMathParaPr>
          <m:jc m:val="center"/>
        </m:oMathParaPr>
        <m:oMath>
          <m:sSub>
            <m:e>
              <m:r>
                <m:t>d</m:t>
              </m:r>
            </m:e>
            <m:sub>
              <m:r>
                <m:t>i</m:t>
              </m:r>
            </m:sub>
          </m:sSub>
          <m:r>
            <m:rPr>
              <m:sty m:val="p"/>
            </m:rPr>
            <m:t>=</m:t>
          </m:r>
          <m:r>
            <m:t>0.45</m:t>
          </m:r>
          <m:limLow>
            <m:e>
              <m:r>
                <m:rPr>
                  <m:sty m:val="p"/>
                </m:rPr>
                <m:t>min</m:t>
              </m:r>
            </m:e>
            <m:lim>
              <m:r>
                <m:t>j</m:t>
              </m:r>
              <m:r>
                <m:rPr>
                  <m:sty m:val="p"/>
                </m:rPr>
                <m:t>∈</m:t>
              </m:r>
              <m:sSub>
                <m:e>
                  <m:r>
                    <m:t>P</m:t>
                  </m:r>
                </m:e>
                <m:sub>
                  <m:r>
                    <m:t>R</m:t>
                  </m:r>
                </m:sub>
              </m:sSub>
            </m:lim>
          </m:limLow>
          <m:r>
            <m:rPr>
              <m:sty m:val="p"/>
            </m:rPr>
            <m:t>∥</m:t>
          </m:r>
          <m:r>
            <m:rPr>
              <m:sty m:val="p"/>
            </m:rPr>
            <m:t>(</m:t>
          </m:r>
          <m:sSub>
            <m:e>
              <m:r>
                <m:t>r</m:t>
              </m:r>
            </m:e>
            <m:sub>
              <m:r>
                <m:t>i</m:t>
              </m:r>
            </m:sub>
          </m:sSub>
          <m:r>
            <m:rPr>
              <m:sty m:val="p"/>
            </m:rPr>
            <m:t>,</m:t>
          </m:r>
          <m:sSub>
            <m:e>
              <m:r>
                <m:t>c</m:t>
              </m:r>
            </m:e>
            <m:sub>
              <m:r>
                <m:t>i</m:t>
              </m:r>
            </m:sub>
          </m:sSub>
          <m:r>
            <m:rPr>
              <m:sty m:val="p"/>
            </m:rPr>
            <m:t>)</m:t>
          </m:r>
          <m:r>
            <m:rPr>
              <m:sty m:val="p"/>
            </m:rPr>
            <m:t>−</m:t>
          </m:r>
          <m:r>
            <m:rPr>
              <m:sty m:val="p"/>
            </m:rPr>
            <m:t>(</m:t>
          </m:r>
          <m:sSub>
            <m:e>
              <m:r>
                <m:t>r</m:t>
              </m:r>
            </m:e>
            <m:sub>
              <m:r>
                <m:t>j</m:t>
              </m:r>
            </m:sub>
          </m:sSub>
          <m:r>
            <m:rPr>
              <m:sty m:val="p"/>
            </m:rPr>
            <m:t>,</m:t>
          </m:r>
          <m:sSub>
            <m:e>
              <m:r>
                <m:t>c</m:t>
              </m:r>
            </m:e>
            <m:sub>
              <m:r>
                <m:t>j</m:t>
              </m:r>
            </m:sub>
          </m:sSub>
          <m:r>
            <m:rPr>
              <m:sty m:val="p"/>
            </m:rPr>
            <m:t>)</m:t>
          </m:r>
          <m:sSub>
            <m:e>
              <m:r>
                <m:rPr>
                  <m:sty m:val="p"/>
                </m:rPr>
                <m:t>∥</m:t>
              </m:r>
            </m:e>
            <m:sub>
              <m:r>
                <m:t>2</m:t>
              </m:r>
            </m:sub>
          </m:sSub>
          <m:r>
            <m:rPr>
              <m:sty m:val="p"/>
            </m:rPr>
            <m:t>,</m:t>
          </m:r>
          <m:r>
            <m:t>  </m:t>
          </m:r>
          <m:sSub>
            <m:e>
              <m:r>
                <m:t>F</m:t>
              </m:r>
            </m:e>
            <m:sub>
              <m:r>
                <m:t>R</m:t>
              </m:r>
            </m:sub>
          </m:sSub>
          <m:r>
            <m:rPr>
              <m:sty m:val="p"/>
            </m:rPr>
            <m:t>(</m:t>
          </m:r>
          <m:r>
            <m:t>r</m:t>
          </m:r>
          <m:r>
            <m:rPr>
              <m:sty m:val="p"/>
            </m:rPr>
            <m:t>)</m:t>
          </m:r>
          <m:r>
            <m:rPr>
              <m:sty m:val="p"/>
            </m:rPr>
            <m:t>=</m:t>
          </m:r>
          <m:r>
            <m:rPr>
              <m:sty m:val="p"/>
            </m:rPr>
            <m:t>{</m:t>
          </m:r>
          <m:r>
            <m:t>i</m:t>
          </m:r>
          <m:r>
            <m:rPr>
              <m:sty m:val="p"/>
            </m:rPr>
            <m:t>∈</m:t>
          </m:r>
          <m:sSub>
            <m:e>
              <m:r>
                <m:t>V</m:t>
              </m:r>
            </m:e>
            <m:sub>
              <m:r>
                <m:t>R</m:t>
              </m:r>
            </m:sub>
          </m:sSub>
          <m:r>
            <m:rPr>
              <m:sty m:val="p"/>
            </m:rPr>
            <m:t>:</m:t>
          </m:r>
          <m:sSub>
            <m:e>
              <m:r>
                <m:t>d</m:t>
              </m:r>
            </m:e>
            <m:sub>
              <m:r>
                <m:t>i</m:t>
              </m:r>
            </m:sub>
          </m:sSub>
          <m:r>
            <m:rPr>
              <m:sty m:val="p"/>
            </m:rPr>
            <m:t>≤</m:t>
          </m:r>
          <m:r>
            <m:t>r</m:t>
          </m:r>
          <m:r>
            <m:rPr>
              <m:sty m:val="p"/>
            </m:rPr>
            <m:t>}</m:t>
          </m:r>
          <m:r>
            <m:rPr>
              <m:sty m:val="p"/>
            </m:rPr>
            <m:t>.</m:t>
          </m:r>
          <m:r>
            <m:t>  </m:t>
          </m:r>
          <m:r>
            <m:rPr>
              <m:sty m:val="p"/>
            </m:rPr>
            <m:t>(</m:t>
          </m:r>
          <m:r>
            <m:t>5</m:t>
          </m:r>
          <m:r>
            <m:rPr>
              <m:sty m:val="p"/>
            </m:rPr>
            <m:t>)</m:t>
          </m:r>
        </m:oMath>
      </m:oMathPara>
    </w:p>
    <w:p>
      <w:pPr>
        <w:pStyle w:val="FirstParagraph"/>
      </w:pPr>
      <w:r>
        <w:t xml:space="preserve">The 0.45 km step is a single value for both axes, so collar radii are nominal to within about 15 %.</w:t>
      </w:r>
      <w:r>
        <w:t xml:space="preserve"> </w:t>
      </w:r>
      <w:r>
        <w:t xml:space="preserve">Every burned cell has</w:t>
      </w:r>
      <w:r>
        <w:t xml:space="preserve"> </w:t>
      </w:r>
      <m:oMath>
        <m:sSub>
          <m:e>
            <m:r>
              <m:t>d</m:t>
            </m:r>
          </m:e>
          <m:sub>
            <m:r>
              <m:t>i</m:t>
            </m:r>
          </m:sub>
        </m:sSub>
        <m:r>
          <m:rPr>
            <m:sty m:val="p"/>
          </m:rPr>
          <m:t>=</m:t>
        </m:r>
        <m:r>
          <m:t>0</m:t>
        </m:r>
      </m:oMath>
      <w:r>
        <w:t xml:space="preserve"> </w:t>
      </w:r>
      <w:r>
        <w:t xml:space="preserve">and is kept; only distant unburned cells are removed. In transfer</w:t>
      </w:r>
      <w:r>
        <w:t xml:space="preserve"> </w:t>
      </w:r>
      <w:r>
        <w:t xml:space="preserve">the model is fitted on</w:t>
      </w:r>
      <w:r>
        <w:t xml:space="preserve"> </w:t>
      </w:r>
      <m:oMath>
        <m:sSub>
          <m:e>
            <m:r>
              <m:t>F</m:t>
            </m:r>
          </m:e>
          <m:sub>
            <m:r>
              <m:t>s</m:t>
            </m:r>
          </m:sub>
        </m:sSub>
        <m:r>
          <m:rPr>
            <m:sty m:val="p"/>
          </m:rPr>
          <m:t>(</m:t>
        </m:r>
        <m:sSub>
          <m:e>
            <m:r>
              <m:t>r</m:t>
            </m:r>
          </m:e>
          <m:sub>
            <m:r>
              <m:t>s</m:t>
            </m:r>
          </m:sub>
        </m:sSub>
        <m:r>
          <m:rPr>
            <m:sty m:val="p"/>
          </m:rPr>
          <m:t>)</m:t>
        </m:r>
      </m:oMath>
      <w:r>
        <w:t xml:space="preserve"> </w:t>
      </w:r>
      <w:r>
        <w:t xml:space="preserve">and scored on</w:t>
      </w:r>
      <w:r>
        <w:t xml:space="preserve"> </w:t>
      </w:r>
      <m:oMath>
        <m:sSub>
          <m:e>
            <m:r>
              <m:t>F</m:t>
            </m:r>
          </m:e>
          <m:sub>
            <m:r>
              <m:t>t</m:t>
            </m:r>
          </m:sub>
        </m:sSub>
        <m:r>
          <m:rPr>
            <m:sty m:val="p"/>
          </m:rPr>
          <m:t>(</m:t>
        </m:r>
        <m:sSub>
          <m:e>
            <m:r>
              <m:t>r</m:t>
            </m:r>
          </m:e>
          <m:sub>
            <m:r>
              <m:t>t</m:t>
            </m:r>
          </m:sub>
        </m:sSub>
        <m:r>
          <m:rPr>
            <m:sty m:val="p"/>
          </m:rPr>
          <m:t>)</m:t>
        </m:r>
      </m:oMath>
      <w:r>
        <w:t xml:space="preserve">.</w:t>
      </w:r>
    </w:p>
    <w:p>
      <w:pPr>
        <w:pStyle w:val="BodyText"/>
      </w:pPr>
      <w:r>
        <w:t xml:space="preserve">The study areas, burned cells and collars are mapped in Fig. S1.</w:t>
      </w:r>
    </w:p>
    <w:p>
      <w:pPr>
        <w:pStyle w:val="BodyText"/>
      </w:pPr>
      <w:r>
        <w:rPr>
          <w:b/>
          <w:bCs/>
        </w:rPr>
        <w:t xml:space="preserve">Every scar frame and distance collar is defined from burned cells.</w:t>
      </w:r>
      <w:r>
        <w:t xml:space="preserve"> </w:t>
      </w:r>
      <w:r>
        <w:t xml:space="preserve">These frames therefore show</w:t>
      </w:r>
      <w:r>
        <w:t xml:space="preserve"> </w:t>
      </w:r>
      <w:r>
        <w:t xml:space="preserve">how the evaluation area changes the metric, but they cannot be drawn before a fire.</w:t>
      </w:r>
    </w:p>
    <w:bookmarkEnd w:id="38"/>
    <w:bookmarkStart w:id="39" w:name="leakage-control-and-reproducibility"/>
    <w:p>
      <w:pPr>
        <w:pStyle w:val="Heading2"/>
      </w:pPr>
      <w:r>
        <w:t xml:space="preserve">3.13 Leakage control and reproducibility</w:t>
      </w:r>
    </w:p>
    <w:p>
      <w:pPr>
        <w:pStyle w:val="FirstParagraph"/>
      </w:pPr>
      <w:r>
        <w:t xml:space="preserve">A list of forbidden columns is checked at every model fit: coordinates, all burn-date and</w:t>
      </w:r>
      <w:r>
        <w:t xml:space="preserve"> </w:t>
      </w:r>
      <w:r>
        <w:t xml:space="preserve">label-provenance columns, and the agreement fraction. The vegetation mask defines the population and</w:t>
      </w:r>
      <w:r>
        <w:t xml:space="preserve"> </w:t>
      </w:r>
      <w:r>
        <w:t xml:space="preserve">is never used as a predictor. All randomness uses seed 42. Because the random-forest seed is fixed,</w:t>
      </w:r>
      <w:r>
        <w:t xml:space="preserve"> </w:t>
      </w:r>
      <w:r>
        <w:t xml:space="preserve">direction-level intervals are conditional on one fitted source model. Refitting with ten seeds,</w:t>
      </w:r>
      <w:r>
        <w:t xml:space="preserve"> </w:t>
      </w:r>
      <w:r>
        <w:t xml:space="preserve">however, changed mean transfer by at most 0.003 (Section S1.23). Across five bootstrap seeds,</w:t>
      </w:r>
      <w:r>
        <w:t xml:space="preserve"> </w:t>
      </w:r>
      <w:r>
        <w:t xml:space="preserve">every transfer verdict at 1 km blocking is stable, whereas at 5 km three verdicts change (Section</w:t>
      </w:r>
      <w:r>
        <w:t xml:space="preserve"> </w:t>
      </w:r>
      <w:r>
        <w:t xml:space="preserve">S1.20).</w:t>
      </w:r>
    </w:p>
    <w:p>
      <w:pPr>
        <w:pStyle w:val="BodyText"/>
      </w:pPr>
      <w:r>
        <w:t xml:space="preserve">The reproduction check refitted every within-region model and all twenty CORAL transfers against</w:t>
      </w:r>
      <w:r>
        <w:t xml:space="preserve"> </w:t>
      </w:r>
      <w:r>
        <w:t xml:space="preserve">the frozen pipeline outputs. The within-region results agree exactly and the transfers to within</w:t>
      </w:r>
      <w:r>
        <w:t xml:space="preserve"> </w:t>
      </w:r>
      <w:r>
        <w:t xml:space="preserve">1.3×10⁻⁸ (Section S3.6.2). Point estimates depend on the scikit-learn version: under version 1.5.2</w:t>
      </w:r>
      <w:r>
        <w:t xml:space="preserve"> </w:t>
      </w:r>
      <w:r>
        <w:t xml:space="preserve">instead of 1.9.0, single-direction AUCs moved by up to 0.047 and one support count changed (Section</w:t>
      </w:r>
      <w:r>
        <w:t xml:space="preserve"> </w:t>
      </w:r>
      <w:r>
        <w:t xml:space="preserve">S3.5(vi)). Exact reproduction therefore needs the archived environment. The label correction and the</w:t>
      </w:r>
      <w:r>
        <w:t xml:space="preserve"> </w:t>
      </w:r>
      <w:r>
        <w:t xml:space="preserve">re-run were done by the corresponding author and were not repeated independently by the author of</w:t>
      </w:r>
      <w:r>
        <w:t xml:space="preserve"> </w:t>
      </w:r>
      <w:r>
        <w:t xml:space="preserve">the pipeline. The source file of every reported number is named in the Supplementary Material.</w:t>
      </w:r>
    </w:p>
    <w:p>
      <w:pPr>
        <w:pStyle w:val="BodyText"/>
      </w:pPr>
      <w:r>
        <w:rPr>
          <w:b/>
          <w:bCs/>
        </w:rPr>
        <w:t xml:space="preserve">Use of AI tools.</w:t>
      </w:r>
      <w:r>
        <w:t xml:space="preserve"> </w:t>
      </w:r>
      <w:r>
        <w:t xml:space="preserve">Claude (Anthropic; Opus-family models, July to September 2026) was used to</w:t>
      </w:r>
      <w:r>
        <w:t xml:space="preserve"> </w:t>
      </w:r>
      <w:r>
        <w:t xml:space="preserve">write and run analysis, verification and figure code, including the label correction and re-run. It</w:t>
      </w:r>
      <w:r>
        <w:t xml:space="preserve"> </w:t>
      </w:r>
      <w:r>
        <w:t xml:space="preserve">was also used to check reported numbers, to draft and edit text, and to produce simulated referee</w:t>
      </w:r>
      <w:r>
        <w:t xml:space="preserve"> </w:t>
      </w:r>
      <w:r>
        <w:t xml:space="preserve">reports on drafts, which the authors used as an internal check. Every input is identified by</w:t>
      </w:r>
      <w:r>
        <w:t xml:space="preserve"> </w:t>
      </w:r>
      <w:r>
        <w:t xml:space="preserve">SHA-256, and reported numbers are checked automatically against tracked outputs. The corresponding</w:t>
      </w:r>
      <w:r>
        <w:t xml:space="preserve"> </w:t>
      </w:r>
      <w:r>
        <w:t xml:space="preserve">author reviewed the code, outputs and text.</w:t>
      </w:r>
    </w:p>
    <w:bookmarkEnd w:id="39"/>
    <w:bookmarkStart w:id="40" w:name="X3780b43772a7f04569854f71e332bd7117da833"/>
    <w:p>
      <w:pPr>
        <w:pStyle w:val="Heading2"/>
      </w:pPr>
      <w:r>
        <w:t xml:space="preserve">3.14 Same-geography event-to-event comparison (Muğla 2021 versus 2022)</w:t>
      </w:r>
    </w:p>
    <w:p>
      <w:pPr>
        <w:pStyle w:val="FirstParagraph"/>
      </w:pPr>
      <w:r>
        <w:t xml:space="preserve">A second fire burned inside the same Muğla study area eleven months after the first. The signed</w:t>
      </w:r>
      <w:r>
        <w:t xml:space="preserve"> </w:t>
      </w:r>
      <w:r>
        <w:t xml:space="preserve">associations of both fires were computed with the same bootstrap. However, season, year and</w:t>
      </w:r>
      <w:r>
        <w:t xml:space="preserve"> </w:t>
      </w:r>
      <w:r>
        <w:t xml:space="preserve">population all differ between the two fires, because the 2022 population is defined by removing the</w:t>
      </w:r>
      <w:r>
        <w:t xml:space="preserve"> </w:t>
      </w:r>
      <w:r>
        <w:t xml:space="preserve">2021 scar (Sections S1.13 and S3.3).</w:t>
      </w:r>
    </w:p>
    <w:bookmarkEnd w:id="40"/>
    <w:bookmarkEnd w:id="41"/>
    <w:bookmarkStart w:id="48" w:name="results"/>
    <w:p>
      <w:pPr>
        <w:pStyle w:val="Heading1"/>
      </w:pPr>
      <w:r>
        <w:t xml:space="preserve">4 Results</w:t>
      </w:r>
    </w:p>
    <w:bookmarkStart w:id="42" w:name="study-regions-and-the-admissibility-gate"/>
    <w:p>
      <w:pPr>
        <w:pStyle w:val="Heading2"/>
      </w:pPr>
      <w:r>
        <w:t xml:space="preserve">4.1 Study regions and the admissibility gate</w:t>
      </w:r>
    </w:p>
    <w:p>
      <w:pPr>
        <w:pStyle w:val="FirstParagraph"/>
      </w:pPr>
      <w:r>
        <w:t xml:space="preserve">All five regions passed the burned-landcover gate, while the negative control failed it. Kozan 2023</w:t>
      </w:r>
      <w:r>
        <w:t xml:space="preserve"> </w:t>
      </w:r>
      <w:r>
        <w:t xml:space="preserve">had a natural-vegetation fraction of 0.017 against the threshold of 0.50 and was excluded, whereas the</w:t>
      </w:r>
      <w:r>
        <w:t xml:space="preserve"> </w:t>
      </w:r>
      <w:r>
        <w:t xml:space="preserve">five admitted regions had fractions of 0.723 to 0.991. The gate therefore separates the cases</w:t>
      </w:r>
      <w:r>
        <w:t xml:space="preserve"> </w:t>
      </w:r>
      <w:r>
        <w:t xml:space="preserve">clearly, although one negative control cannot show that it always works. The extended North Evia</w:t>
      </w:r>
      <w:r>
        <w:t xml:space="preserve"> </w:t>
      </w:r>
      <w:r>
        <w:t xml:space="preserve">rectangle kept the burned scar almost unchanged and gave a burned prevalence of 0.287 in the primary</w:t>
      </w:r>
      <w:r>
        <w:t xml:space="preserve"> </w:t>
      </w:r>
      <w:r>
        <w:t xml:space="preserve">population (Section S1.1).</w:t>
      </w:r>
    </w:p>
    <w:bookmarkEnd w:id="42"/>
    <w:bookmarkStart w:id="43" w:name="the-thermal-gain-within-regions"/>
    <w:p>
      <w:pPr>
        <w:pStyle w:val="Heading2"/>
      </w:pPr>
      <w:r>
        <w:t xml:space="preserve">4.2 The thermal gain within regions</w:t>
      </w:r>
    </w:p>
    <w:p>
      <w:pPr>
        <w:pStyle w:val="FirstParagraph"/>
      </w:pPr>
      <w:r>
        <w:t xml:space="preserve">Adding the thermal predictors to the baseline raised the spatially blocked out-of-fold ROC-AUC in</w:t>
      </w:r>
      <w:r>
        <w:t xml:space="preserve"> </w:t>
      </w:r>
      <w:r>
        <w:t xml:space="preserve">every region (Fig. 3; Table 1). The interval of the gain excluded zero in all five regions at 1 km</w:t>
      </w:r>
      <w:r>
        <w:t xml:space="preserve"> </w:t>
      </w:r>
      <w:r>
        <w:t xml:space="preserve">and at 5 km blocking. At 10 km blocking the point estimates stayed positive, from +0.047 to +0.154,</w:t>
      </w:r>
      <w:r>
        <w:t xml:space="preserve"> </w:t>
      </w:r>
      <w:r>
        <w:t xml:space="preserve">but they rest on only 6 to 33 blocks that contain burned cells, so they are indicative. The gain also stayed positive, with interval support in all five regions, when the predictor window</w:t>
      </w:r>
      <w:r>
        <w:t xml:space="preserve"> </w:t>
      </w:r>
      <w:r>
        <w:t xml:space="preserve">was closed up to two weeks earlier (Section S1.4). With labels from VIIRS VNP64A1 instead of</w:t>
      </w:r>
      <w:r>
        <w:t xml:space="preserve"> </w:t>
      </w:r>
      <w:r>
        <w:t xml:space="preserve">MCD64A1, the gain stayed positive in all five regions at the point estimates (Section S1.23). When terrain aspect was added to both feature sets, the</w:t>
      </w:r>
      <w:r>
        <w:t xml:space="preserve"> </w:t>
      </w:r>
      <w:r>
        <w:t xml:space="preserve">gain stayed supported in four regions (+0.044 to +0.139) but fell to +0.020 [−0.025, +0.066] in</w:t>
      </w:r>
      <w:r>
        <w:t xml:space="preserve"> </w:t>
      </w:r>
      <w:r>
        <w:t xml:space="preserve">Montiferru (Section S1.23).</w:t>
      </w:r>
    </w:p>
    <w:p>
      <w:pPr>
        <w:pStyle w:val="BodyText"/>
        <w:keepNext/>
      </w:pPr>
      <w:r>
        <w:rPr>
          <w:b/>
          <w:bCs/>
        </w:rPr>
        <w:t xml:space="preserve">Table 1. Within-region baseline versus thermal performance and block-size robustness.</w:t>
      </w:r>
      <w:r>
        <w:t xml:space="preserve"> </w:t>
      </w:r>
      <w:r>
        <w:t xml:space="preserve">Primary</w:t>
      </w:r>
      <w:r>
        <w:t xml:space="preserve"> </w:t>
      </w:r>
      <w:r>
        <w:t xml:space="preserve">(natural-vegetation) population; spatially blocked 5-fold CV (Section 3.7); paired spatial-block</w:t>
      </w:r>
      <w:r>
        <w:t xml:space="preserve"> </w:t>
      </w:r>
      <w:r>
        <w:t xml:space="preserve">bootstrap, 1000 replicates. Block sizes of 2, 10 and 20 cells correspond to about 1, 5 and 10 km.</w:t>
      </w:r>
      <w:r>
        <w:t xml:space="preserve"> </w:t>
      </w:r>
      <w:r>
        <w:t xml:space="preserve">The Baseline and Thermal columns are ROC-AUC, and the 95 % CI belongs to ΔAUC. Source files are</w:t>
      </w:r>
      <w:r>
        <w:t xml:space="preserve"> </w:t>
      </w:r>
      <w:r>
        <w:t xml:space="preserve">listed in the Supplementary Material.</w:t>
      </w:r>
    </w:p>
    <w:tbl>
      <w:tblPr>
        <w:tblStyle w:val="Table"/>
        <w:tblW w:type="auto" w:w="0"/>
        <w:tblLook w:firstRow="1" w:lastRow="0" w:firstColumn="0" w:lastColumn="0" w:noHBand="0" w:noVBand="0" w:val="0020"/>
      </w:tblPr>
      <w:tblGrid>
        <w:gridCol w:w="3118"/>
        <w:gridCol w:w="709"/>
        <w:gridCol w:w="1134"/>
        <w:gridCol w:w="992"/>
        <w:gridCol w:w="850"/>
        <w:gridCol w:w="2268"/>
      </w:tblGrid>
      <w:tr>
        <w:trPr>
          <w:tblHeader w:val="on"/>
          <w:cantSplit/>
        </w:trPr>
        <w:tc>
          <w:tcPr>
            <w:tcW w:type="dxa" w:w="3118"/>
          </w:tcPr>
          <w:p>
            <w:pPr>
              <w:pStyle w:val="Compact"/>
              <w:spacing w:line="240" w:lineRule="auto" w:after="20"/>
            </w:pPr>
            <w:r>
              <w:rPr>
                <w:sz w:val="20"/>
              </w:rPr>
              <w:t xml:space="preserve">Region</w:t>
            </w:r>
          </w:p>
        </w:tc>
        <w:tc>
          <w:tcPr>
            <w:tcW w:type="dxa" w:w="709"/>
          </w:tcPr>
          <w:p>
            <w:pPr>
              <w:pStyle w:val="Compact"/>
              <w:spacing w:line="240" w:lineRule="auto" w:after="20"/>
            </w:pPr>
            <w:r>
              <w:rPr>
                <w:sz w:val="20"/>
              </w:rPr>
              <w:t xml:space="preserve">Block</w:t>
            </w:r>
          </w:p>
        </w:tc>
        <w:tc>
          <w:tcPr>
            <w:tcW w:type="dxa" w:w="1134"/>
          </w:tcPr>
          <w:p>
            <w:pPr>
              <w:pStyle w:val="Compact"/>
              <w:spacing w:line="240" w:lineRule="auto" w:after="20"/>
            </w:pPr>
            <w:r>
              <w:rPr>
                <w:sz w:val="20"/>
              </w:rPr>
              <w:t xml:space="preserve">Baseline</w:t>
            </w:r>
          </w:p>
        </w:tc>
        <w:tc>
          <w:tcPr>
            <w:tcW w:type="dxa" w:w="992"/>
          </w:tcPr>
          <w:p>
            <w:pPr>
              <w:pStyle w:val="Compact"/>
              <w:spacing w:line="240" w:lineRule="auto" w:after="20"/>
            </w:pPr>
            <w:r>
              <w:rPr>
                <w:sz w:val="20"/>
              </w:rPr>
              <w:t xml:space="preserve">Thermal</w:t>
            </w:r>
          </w:p>
        </w:tc>
        <w:tc>
          <w:tcPr>
            <w:tcW w:type="dxa" w:w="850"/>
          </w:tcPr>
          <w:p>
            <w:pPr>
              <w:pStyle w:val="Compact"/>
              <w:spacing w:line="240" w:lineRule="auto" w:after="20"/>
            </w:pPr>
            <w:r>
              <w:rPr>
                <w:sz w:val="20"/>
              </w:rPr>
              <w:t xml:space="preserve">ΔAUC</w:t>
            </w:r>
          </w:p>
        </w:tc>
        <w:tc>
          <w:tcPr>
            <w:tcW w:type="dxa" w:w="2268"/>
          </w:tcPr>
          <w:p>
            <w:pPr>
              <w:pStyle w:val="Compact"/>
              <w:spacing w:line="240" w:lineRule="auto" w:after="20"/>
            </w:pPr>
            <w:r>
              <w:rPr>
                <w:sz w:val="20"/>
              </w:rPr>
              <w:t xml:space="preserve">95% CI</w:t>
            </w:r>
          </w:p>
        </w:tc>
      </w:tr>
      <w:tr>
        <w:trPr>
          <w:cantSplit/>
        </w:trPr>
        <w:tc>
          <w:tcPr>
            <w:tcW w:type="dxa" w:w="3118"/>
          </w:tcPr>
          <w:p>
            <w:pPr>
              <w:pStyle w:val="Compact"/>
              <w:spacing w:line="240" w:lineRule="auto" w:after="20"/>
            </w:pPr>
            <w:r>
              <w:rPr>
                <w:sz w:val="20"/>
              </w:rPr>
              <w:t xml:space="preserve">Manavgat 2021</w:t>
            </w:r>
          </w:p>
        </w:tc>
        <w:tc>
          <w:tcPr>
            <w:tcW w:type="dxa" w:w="709"/>
          </w:tcPr>
          <w:p>
            <w:pPr>
              <w:pStyle w:val="Compact"/>
              <w:spacing w:line="240" w:lineRule="auto" w:after="20"/>
            </w:pPr>
            <w:r>
              <w:rPr>
                <w:sz w:val="20"/>
              </w:rPr>
              <w:t xml:space="preserve">2</w:t>
            </w:r>
          </w:p>
        </w:tc>
        <w:tc>
          <w:tcPr>
            <w:tcW w:type="dxa" w:w="1134"/>
          </w:tcPr>
          <w:p>
            <w:pPr>
              <w:pStyle w:val="Compact"/>
              <w:spacing w:line="240" w:lineRule="auto" w:after="20"/>
            </w:pPr>
            <w:r>
              <w:rPr>
                <w:sz w:val="20"/>
              </w:rPr>
              <w:t xml:space="preserve">0.841</w:t>
            </w:r>
          </w:p>
        </w:tc>
        <w:tc>
          <w:tcPr>
            <w:tcW w:type="dxa" w:w="992"/>
          </w:tcPr>
          <w:p>
            <w:pPr>
              <w:pStyle w:val="Compact"/>
              <w:spacing w:line="240" w:lineRule="auto" w:after="20"/>
            </w:pPr>
            <w:r>
              <w:rPr>
                <w:sz w:val="20"/>
              </w:rPr>
              <w:t xml:space="preserve">0.908</w:t>
            </w:r>
          </w:p>
        </w:tc>
        <w:tc>
          <w:tcPr>
            <w:tcW w:type="dxa" w:w="850"/>
          </w:tcPr>
          <w:p>
            <w:pPr>
              <w:pStyle w:val="Compact"/>
              <w:spacing w:line="240" w:lineRule="auto" w:after="20"/>
            </w:pPr>
            <w:r>
              <w:rPr>
                <w:sz w:val="20"/>
              </w:rPr>
              <w:t xml:space="preserve">+0.067</w:t>
            </w:r>
          </w:p>
        </w:tc>
        <w:tc>
          <w:tcPr>
            <w:tcW w:type="dxa" w:w="2268"/>
          </w:tcPr>
          <w:p>
            <w:pPr>
              <w:pStyle w:val="Compact"/>
              <w:spacing w:line="240" w:lineRule="auto" w:after="20"/>
            </w:pPr>
            <w:r>
              <w:rPr>
                <w:sz w:val="20"/>
              </w:rPr>
              <w:t xml:space="preserve">[+0.060, +0.073]</w:t>
            </w:r>
          </w:p>
        </w:tc>
      </w:tr>
      <w:tr>
        <w:trPr>
          <w:cantSplit/>
        </w:trPr>
        <w:tc>
          <w:tcPr>
            <w:tcW w:type="dxa" w:w="3118"/>
          </w:tcPr>
          <w:p>
            <w:pPr>
              <w:pStyle w:val="Compact"/>
              <w:spacing w:line="240" w:lineRule="auto" w:after="20"/>
            </w:pPr>
          </w:p>
        </w:tc>
        <w:tc>
          <w:tcPr>
            <w:tcW w:type="dxa" w:w="709"/>
          </w:tcPr>
          <w:p>
            <w:pPr>
              <w:pStyle w:val="Compact"/>
              <w:spacing w:line="240" w:lineRule="auto" w:after="20"/>
            </w:pPr>
            <w:r>
              <w:rPr>
                <w:sz w:val="20"/>
              </w:rPr>
              <w:t xml:space="preserve">10</w:t>
            </w:r>
          </w:p>
        </w:tc>
        <w:tc>
          <w:tcPr>
            <w:tcW w:type="dxa" w:w="1134"/>
          </w:tcPr>
          <w:p>
            <w:pPr>
              <w:pStyle w:val="Compact"/>
              <w:spacing w:line="240" w:lineRule="auto" w:after="20"/>
            </w:pPr>
            <w:r>
              <w:rPr>
                <w:sz w:val="20"/>
              </w:rPr>
              <w:t xml:space="preserve">0.820</w:t>
            </w:r>
          </w:p>
        </w:tc>
        <w:tc>
          <w:tcPr>
            <w:tcW w:type="dxa" w:w="992"/>
          </w:tcPr>
          <w:p>
            <w:pPr>
              <w:pStyle w:val="Compact"/>
              <w:spacing w:line="240" w:lineRule="auto" w:after="20"/>
            </w:pPr>
            <w:r>
              <w:rPr>
                <w:sz w:val="20"/>
              </w:rPr>
              <w:t xml:space="preserve">0.882</w:t>
            </w:r>
          </w:p>
        </w:tc>
        <w:tc>
          <w:tcPr>
            <w:tcW w:type="dxa" w:w="850"/>
          </w:tcPr>
          <w:p>
            <w:pPr>
              <w:pStyle w:val="Compact"/>
              <w:spacing w:line="240" w:lineRule="auto" w:after="20"/>
            </w:pPr>
            <w:r>
              <w:rPr>
                <w:sz w:val="20"/>
              </w:rPr>
              <w:t xml:space="preserve">+0.062</w:t>
            </w:r>
          </w:p>
        </w:tc>
        <w:tc>
          <w:tcPr>
            <w:tcW w:type="dxa" w:w="2268"/>
          </w:tcPr>
          <w:p>
            <w:pPr>
              <w:pStyle w:val="Compact"/>
              <w:spacing w:line="240" w:lineRule="auto" w:after="20"/>
            </w:pPr>
            <w:r>
              <w:rPr>
                <w:sz w:val="20"/>
              </w:rPr>
              <w:t xml:space="preserve">[+0.040, +0.082]</w:t>
            </w:r>
          </w:p>
        </w:tc>
      </w:tr>
      <w:tr>
        <w:trPr>
          <w:cantSplit/>
        </w:trPr>
        <w:tc>
          <w:tcPr>
            <w:tcW w:type="dxa" w:w="3118"/>
          </w:tcPr>
          <w:p>
            <w:pPr>
              <w:pStyle w:val="Compact"/>
              <w:spacing w:line="240" w:lineRule="auto" w:after="20"/>
            </w:pPr>
          </w:p>
        </w:tc>
        <w:tc>
          <w:tcPr>
            <w:tcW w:type="dxa" w:w="709"/>
          </w:tcPr>
          <w:p>
            <w:pPr>
              <w:pStyle w:val="Compact"/>
              <w:spacing w:line="240" w:lineRule="auto" w:after="20"/>
            </w:pPr>
            <w:r>
              <w:rPr>
                <w:sz w:val="20"/>
              </w:rPr>
              <w:t xml:space="preserve">20</w:t>
            </w:r>
          </w:p>
        </w:tc>
        <w:tc>
          <w:tcPr>
            <w:tcW w:type="dxa" w:w="1134"/>
          </w:tcPr>
          <w:p>
            <w:pPr>
              <w:pStyle w:val="Compact"/>
              <w:spacing w:line="240" w:lineRule="auto" w:after="20"/>
            </w:pPr>
            <w:r>
              <w:rPr>
                <w:sz w:val="20"/>
              </w:rPr>
              <w:t xml:space="preserve">0.798</w:t>
            </w:r>
          </w:p>
        </w:tc>
        <w:tc>
          <w:tcPr>
            <w:tcW w:type="dxa" w:w="992"/>
          </w:tcPr>
          <w:p>
            <w:pPr>
              <w:pStyle w:val="Compact"/>
              <w:spacing w:line="240" w:lineRule="auto" w:after="20"/>
            </w:pPr>
            <w:r>
              <w:rPr>
                <w:sz w:val="20"/>
              </w:rPr>
              <w:t xml:space="preserve">0.845</w:t>
            </w:r>
          </w:p>
        </w:tc>
        <w:tc>
          <w:tcPr>
            <w:tcW w:type="dxa" w:w="850"/>
          </w:tcPr>
          <w:p>
            <w:pPr>
              <w:pStyle w:val="Compact"/>
              <w:spacing w:line="240" w:lineRule="auto" w:after="20"/>
            </w:pPr>
            <w:r>
              <w:rPr>
                <w:sz w:val="20"/>
              </w:rPr>
              <w:t xml:space="preserve">+0.047</w:t>
            </w:r>
          </w:p>
        </w:tc>
        <w:tc>
          <w:tcPr>
            <w:tcW w:type="dxa" w:w="2268"/>
          </w:tcPr>
          <w:p>
            <w:pPr>
              <w:pStyle w:val="Compact"/>
              <w:spacing w:line="240" w:lineRule="auto" w:after="20"/>
            </w:pPr>
            <w:r>
              <w:rPr>
                <w:sz w:val="20"/>
              </w:rPr>
              <w:t xml:space="preserve">[+0.016, +0.081]</w:t>
            </w:r>
          </w:p>
        </w:tc>
      </w:tr>
      <w:tr>
        <w:trPr>
          <w:cantSplit/>
        </w:trPr>
        <w:tc>
          <w:tcPr>
            <w:tcW w:type="dxa" w:w="3118"/>
          </w:tcPr>
          <w:p>
            <w:pPr>
              <w:pStyle w:val="Compact"/>
              <w:spacing w:line="240" w:lineRule="auto" w:after="20"/>
            </w:pPr>
            <w:r>
              <w:rPr>
                <w:sz w:val="20"/>
              </w:rPr>
              <w:t xml:space="preserve">Bejís 2022</w:t>
            </w:r>
          </w:p>
        </w:tc>
        <w:tc>
          <w:tcPr>
            <w:tcW w:type="dxa" w:w="709"/>
          </w:tcPr>
          <w:p>
            <w:pPr>
              <w:pStyle w:val="Compact"/>
              <w:spacing w:line="240" w:lineRule="auto" w:after="20"/>
            </w:pPr>
            <w:r>
              <w:rPr>
                <w:sz w:val="20"/>
              </w:rPr>
              <w:t xml:space="preserve">2</w:t>
            </w:r>
          </w:p>
        </w:tc>
        <w:tc>
          <w:tcPr>
            <w:tcW w:type="dxa" w:w="1134"/>
          </w:tcPr>
          <w:p>
            <w:pPr>
              <w:pStyle w:val="Compact"/>
              <w:spacing w:line="240" w:lineRule="auto" w:after="20"/>
            </w:pPr>
            <w:r>
              <w:rPr>
                <w:sz w:val="20"/>
              </w:rPr>
              <w:t xml:space="preserve">0.862</w:t>
            </w:r>
          </w:p>
        </w:tc>
        <w:tc>
          <w:tcPr>
            <w:tcW w:type="dxa" w:w="992"/>
          </w:tcPr>
          <w:p>
            <w:pPr>
              <w:pStyle w:val="Compact"/>
              <w:spacing w:line="240" w:lineRule="auto" w:after="20"/>
            </w:pPr>
            <w:r>
              <w:rPr>
                <w:sz w:val="20"/>
              </w:rPr>
              <w:t xml:space="preserve">0.918</w:t>
            </w:r>
          </w:p>
        </w:tc>
        <w:tc>
          <w:tcPr>
            <w:tcW w:type="dxa" w:w="850"/>
          </w:tcPr>
          <w:p>
            <w:pPr>
              <w:pStyle w:val="Compact"/>
              <w:spacing w:line="240" w:lineRule="auto" w:after="20"/>
            </w:pPr>
            <w:r>
              <w:rPr>
                <w:sz w:val="20"/>
              </w:rPr>
              <w:t xml:space="preserve">+0.056</w:t>
            </w:r>
          </w:p>
        </w:tc>
        <w:tc>
          <w:tcPr>
            <w:tcW w:type="dxa" w:w="2268"/>
          </w:tcPr>
          <w:p>
            <w:pPr>
              <w:pStyle w:val="Compact"/>
              <w:spacing w:line="240" w:lineRule="auto" w:after="20"/>
            </w:pPr>
            <w:r>
              <w:rPr>
                <w:sz w:val="20"/>
              </w:rPr>
              <w:t xml:space="preserve">[+0.048, +0.065]</w:t>
            </w:r>
          </w:p>
        </w:tc>
      </w:tr>
      <w:tr>
        <w:trPr>
          <w:cantSplit/>
        </w:trPr>
        <w:tc>
          <w:tcPr>
            <w:tcW w:type="dxa" w:w="3118"/>
          </w:tcPr>
          <w:p>
            <w:pPr>
              <w:pStyle w:val="Compact"/>
              <w:spacing w:line="240" w:lineRule="auto" w:after="20"/>
            </w:pPr>
          </w:p>
        </w:tc>
        <w:tc>
          <w:tcPr>
            <w:tcW w:type="dxa" w:w="709"/>
          </w:tcPr>
          <w:p>
            <w:pPr>
              <w:pStyle w:val="Compact"/>
              <w:spacing w:line="240" w:lineRule="auto" w:after="20"/>
            </w:pPr>
            <w:r>
              <w:rPr>
                <w:sz w:val="20"/>
              </w:rPr>
              <w:t xml:space="preserve">10</w:t>
            </w:r>
          </w:p>
        </w:tc>
        <w:tc>
          <w:tcPr>
            <w:tcW w:type="dxa" w:w="1134"/>
          </w:tcPr>
          <w:p>
            <w:pPr>
              <w:pStyle w:val="Compact"/>
              <w:spacing w:line="240" w:lineRule="auto" w:after="20"/>
            </w:pPr>
            <w:r>
              <w:rPr>
                <w:sz w:val="20"/>
              </w:rPr>
              <w:t xml:space="preserve">0.779</w:t>
            </w:r>
          </w:p>
        </w:tc>
        <w:tc>
          <w:tcPr>
            <w:tcW w:type="dxa" w:w="992"/>
          </w:tcPr>
          <w:p>
            <w:pPr>
              <w:pStyle w:val="Compact"/>
              <w:spacing w:line="240" w:lineRule="auto" w:after="20"/>
            </w:pPr>
            <w:r>
              <w:rPr>
                <w:sz w:val="20"/>
              </w:rPr>
              <w:t xml:space="preserve">0.824</w:t>
            </w:r>
          </w:p>
        </w:tc>
        <w:tc>
          <w:tcPr>
            <w:tcW w:type="dxa" w:w="850"/>
          </w:tcPr>
          <w:p>
            <w:pPr>
              <w:pStyle w:val="Compact"/>
              <w:spacing w:line="240" w:lineRule="auto" w:after="20"/>
            </w:pPr>
            <w:r>
              <w:rPr>
                <w:sz w:val="20"/>
              </w:rPr>
              <w:t xml:space="preserve">+0.045</w:t>
            </w:r>
          </w:p>
        </w:tc>
        <w:tc>
          <w:tcPr>
            <w:tcW w:type="dxa" w:w="2268"/>
          </w:tcPr>
          <w:p>
            <w:pPr>
              <w:pStyle w:val="Compact"/>
              <w:spacing w:line="240" w:lineRule="auto" w:after="20"/>
            </w:pPr>
            <w:r>
              <w:rPr>
                <w:sz w:val="20"/>
              </w:rPr>
              <w:t xml:space="preserve">[+0.018, +0.069]</w:t>
            </w:r>
          </w:p>
        </w:tc>
      </w:tr>
      <w:tr>
        <w:trPr>
          <w:cantSplit/>
        </w:trPr>
        <w:tc>
          <w:tcPr>
            <w:tcW w:type="dxa" w:w="3118"/>
          </w:tcPr>
          <w:p>
            <w:pPr>
              <w:pStyle w:val="Compact"/>
              <w:spacing w:line="240" w:lineRule="auto" w:after="20"/>
            </w:pPr>
          </w:p>
        </w:tc>
        <w:tc>
          <w:tcPr>
            <w:tcW w:type="dxa" w:w="709"/>
          </w:tcPr>
          <w:p>
            <w:pPr>
              <w:pStyle w:val="Compact"/>
              <w:spacing w:line="240" w:lineRule="auto" w:after="20"/>
            </w:pPr>
            <w:r>
              <w:rPr>
                <w:sz w:val="20"/>
              </w:rPr>
              <w:t xml:space="preserve">20</w:t>
            </w:r>
          </w:p>
        </w:tc>
        <w:tc>
          <w:tcPr>
            <w:tcW w:type="dxa" w:w="1134"/>
          </w:tcPr>
          <w:p>
            <w:pPr>
              <w:pStyle w:val="Compact"/>
              <w:spacing w:line="240" w:lineRule="auto" w:after="20"/>
            </w:pPr>
            <w:r>
              <w:rPr>
                <w:sz w:val="20"/>
              </w:rPr>
              <w:t xml:space="preserve">0.739</w:t>
            </w:r>
          </w:p>
        </w:tc>
        <w:tc>
          <w:tcPr>
            <w:tcW w:type="dxa" w:w="992"/>
          </w:tcPr>
          <w:p>
            <w:pPr>
              <w:pStyle w:val="Compact"/>
              <w:spacing w:line="240" w:lineRule="auto" w:after="20"/>
            </w:pPr>
            <w:r>
              <w:rPr>
                <w:sz w:val="20"/>
              </w:rPr>
              <w:t xml:space="preserve">0.795</w:t>
            </w:r>
          </w:p>
        </w:tc>
        <w:tc>
          <w:tcPr>
            <w:tcW w:type="dxa" w:w="850"/>
          </w:tcPr>
          <w:p>
            <w:pPr>
              <w:pStyle w:val="Compact"/>
              <w:spacing w:line="240" w:lineRule="auto" w:after="20"/>
            </w:pPr>
            <w:r>
              <w:rPr>
                <w:sz w:val="20"/>
              </w:rPr>
              <w:t xml:space="preserve">+0.057</w:t>
            </w:r>
          </w:p>
        </w:tc>
        <w:tc>
          <w:tcPr>
            <w:tcW w:type="dxa" w:w="2268"/>
          </w:tcPr>
          <w:p>
            <w:pPr>
              <w:pStyle w:val="Compact"/>
              <w:spacing w:line="240" w:lineRule="auto" w:after="20"/>
            </w:pPr>
            <w:r>
              <w:rPr>
                <w:sz w:val="20"/>
              </w:rPr>
              <w:t xml:space="preserve">[+0.031, +0.090]</w:t>
            </w:r>
          </w:p>
        </w:tc>
      </w:tr>
      <w:tr>
        <w:trPr>
          <w:cantSplit/>
        </w:trPr>
        <w:tc>
          <w:tcPr>
            <w:tcW w:type="dxa" w:w="3118"/>
          </w:tcPr>
          <w:p>
            <w:pPr>
              <w:pStyle w:val="Compact"/>
              <w:spacing w:line="240" w:lineRule="auto" w:after="20"/>
            </w:pPr>
            <w:r>
              <w:rPr>
                <w:sz w:val="20"/>
              </w:rPr>
              <w:t xml:space="preserve">Muğla 2021</w:t>
            </w:r>
          </w:p>
        </w:tc>
        <w:tc>
          <w:tcPr>
            <w:tcW w:type="dxa" w:w="709"/>
          </w:tcPr>
          <w:p>
            <w:pPr>
              <w:pStyle w:val="Compact"/>
              <w:spacing w:line="240" w:lineRule="auto" w:after="20"/>
            </w:pPr>
            <w:r>
              <w:rPr>
                <w:sz w:val="20"/>
              </w:rPr>
              <w:t xml:space="preserve">2</w:t>
            </w:r>
          </w:p>
        </w:tc>
        <w:tc>
          <w:tcPr>
            <w:tcW w:type="dxa" w:w="1134"/>
          </w:tcPr>
          <w:p>
            <w:pPr>
              <w:pStyle w:val="Compact"/>
              <w:spacing w:line="240" w:lineRule="auto" w:after="20"/>
            </w:pPr>
            <w:r>
              <w:rPr>
                <w:sz w:val="20"/>
              </w:rPr>
              <w:t xml:space="preserve">0.743</w:t>
            </w:r>
          </w:p>
        </w:tc>
        <w:tc>
          <w:tcPr>
            <w:tcW w:type="dxa" w:w="992"/>
          </w:tcPr>
          <w:p>
            <w:pPr>
              <w:pStyle w:val="Compact"/>
              <w:spacing w:line="240" w:lineRule="auto" w:after="20"/>
            </w:pPr>
            <w:r>
              <w:rPr>
                <w:sz w:val="20"/>
              </w:rPr>
              <w:t xml:space="preserve">0.859</w:t>
            </w:r>
          </w:p>
        </w:tc>
        <w:tc>
          <w:tcPr>
            <w:tcW w:type="dxa" w:w="850"/>
          </w:tcPr>
          <w:p>
            <w:pPr>
              <w:pStyle w:val="Compact"/>
              <w:spacing w:line="240" w:lineRule="auto" w:after="20"/>
            </w:pPr>
            <w:r>
              <w:rPr>
                <w:sz w:val="20"/>
              </w:rPr>
              <w:t xml:space="preserve">+0.116</w:t>
            </w:r>
          </w:p>
        </w:tc>
        <w:tc>
          <w:tcPr>
            <w:tcW w:type="dxa" w:w="2268"/>
          </w:tcPr>
          <w:p>
            <w:pPr>
              <w:pStyle w:val="Compact"/>
              <w:spacing w:line="240" w:lineRule="auto" w:after="20"/>
            </w:pPr>
            <w:r>
              <w:rPr>
                <w:sz w:val="20"/>
              </w:rPr>
              <w:t xml:space="preserve">[+0.106, +0.125]</w:t>
            </w:r>
          </w:p>
        </w:tc>
      </w:tr>
      <w:tr>
        <w:trPr>
          <w:cantSplit/>
        </w:trPr>
        <w:tc>
          <w:tcPr>
            <w:tcW w:type="dxa" w:w="3118"/>
          </w:tcPr>
          <w:p>
            <w:pPr>
              <w:pStyle w:val="Compact"/>
              <w:spacing w:line="240" w:lineRule="auto" w:after="20"/>
            </w:pPr>
          </w:p>
        </w:tc>
        <w:tc>
          <w:tcPr>
            <w:tcW w:type="dxa" w:w="709"/>
          </w:tcPr>
          <w:p>
            <w:pPr>
              <w:pStyle w:val="Compact"/>
              <w:spacing w:line="240" w:lineRule="auto" w:after="20"/>
            </w:pPr>
            <w:r>
              <w:rPr>
                <w:sz w:val="20"/>
              </w:rPr>
              <w:t xml:space="preserve">10</w:t>
            </w:r>
          </w:p>
        </w:tc>
        <w:tc>
          <w:tcPr>
            <w:tcW w:type="dxa" w:w="1134"/>
          </w:tcPr>
          <w:p>
            <w:pPr>
              <w:pStyle w:val="Compact"/>
              <w:spacing w:line="240" w:lineRule="auto" w:after="20"/>
            </w:pPr>
            <w:r>
              <w:rPr>
                <w:sz w:val="20"/>
              </w:rPr>
              <w:t xml:space="preserve">0.698</w:t>
            </w:r>
          </w:p>
        </w:tc>
        <w:tc>
          <w:tcPr>
            <w:tcW w:type="dxa" w:w="992"/>
          </w:tcPr>
          <w:p>
            <w:pPr>
              <w:pStyle w:val="Compact"/>
              <w:spacing w:line="240" w:lineRule="auto" w:after="20"/>
            </w:pPr>
            <w:r>
              <w:rPr>
                <w:sz w:val="20"/>
              </w:rPr>
              <w:t xml:space="preserve">0.777</w:t>
            </w:r>
          </w:p>
        </w:tc>
        <w:tc>
          <w:tcPr>
            <w:tcW w:type="dxa" w:w="850"/>
          </w:tcPr>
          <w:p>
            <w:pPr>
              <w:pStyle w:val="Compact"/>
              <w:spacing w:line="240" w:lineRule="auto" w:after="20"/>
            </w:pPr>
            <w:r>
              <w:rPr>
                <w:sz w:val="20"/>
              </w:rPr>
              <w:t xml:space="preserve">+0.079</w:t>
            </w:r>
          </w:p>
        </w:tc>
        <w:tc>
          <w:tcPr>
            <w:tcW w:type="dxa" w:w="2268"/>
          </w:tcPr>
          <w:p>
            <w:pPr>
              <w:pStyle w:val="Compact"/>
              <w:spacing w:line="240" w:lineRule="auto" w:after="20"/>
            </w:pPr>
            <w:r>
              <w:rPr>
                <w:sz w:val="20"/>
              </w:rPr>
              <w:t xml:space="preserve">[+0.050, +0.105]</w:t>
            </w:r>
          </w:p>
        </w:tc>
      </w:tr>
      <w:tr>
        <w:trPr>
          <w:cantSplit/>
        </w:trPr>
        <w:tc>
          <w:tcPr>
            <w:tcW w:type="dxa" w:w="3118"/>
          </w:tcPr>
          <w:p>
            <w:pPr>
              <w:pStyle w:val="Compact"/>
              <w:spacing w:line="240" w:lineRule="auto" w:after="20"/>
            </w:pPr>
          </w:p>
        </w:tc>
        <w:tc>
          <w:tcPr>
            <w:tcW w:type="dxa" w:w="709"/>
          </w:tcPr>
          <w:p>
            <w:pPr>
              <w:pStyle w:val="Compact"/>
              <w:spacing w:line="240" w:lineRule="auto" w:after="20"/>
            </w:pPr>
            <w:r>
              <w:rPr>
                <w:sz w:val="20"/>
              </w:rPr>
              <w:t xml:space="preserve">20</w:t>
            </w:r>
          </w:p>
        </w:tc>
        <w:tc>
          <w:tcPr>
            <w:tcW w:type="dxa" w:w="1134"/>
          </w:tcPr>
          <w:p>
            <w:pPr>
              <w:pStyle w:val="Compact"/>
              <w:spacing w:line="240" w:lineRule="auto" w:after="20"/>
            </w:pPr>
            <w:r>
              <w:rPr>
                <w:sz w:val="20"/>
              </w:rPr>
              <w:t xml:space="preserve">0.673</w:t>
            </w:r>
          </w:p>
        </w:tc>
        <w:tc>
          <w:tcPr>
            <w:tcW w:type="dxa" w:w="992"/>
          </w:tcPr>
          <w:p>
            <w:pPr>
              <w:pStyle w:val="Compact"/>
              <w:spacing w:line="240" w:lineRule="auto" w:after="20"/>
            </w:pPr>
            <w:r>
              <w:rPr>
                <w:sz w:val="20"/>
              </w:rPr>
              <w:t xml:space="preserve">0.733</w:t>
            </w:r>
          </w:p>
        </w:tc>
        <w:tc>
          <w:tcPr>
            <w:tcW w:type="dxa" w:w="850"/>
          </w:tcPr>
          <w:p>
            <w:pPr>
              <w:pStyle w:val="Compact"/>
              <w:spacing w:line="240" w:lineRule="auto" w:after="20"/>
            </w:pPr>
            <w:r>
              <w:rPr>
                <w:sz w:val="20"/>
              </w:rPr>
              <w:t xml:space="preserve">+0.061</w:t>
            </w:r>
          </w:p>
        </w:tc>
        <w:tc>
          <w:tcPr>
            <w:tcW w:type="dxa" w:w="2268"/>
          </w:tcPr>
          <w:p>
            <w:pPr>
              <w:pStyle w:val="Compact"/>
              <w:spacing w:line="240" w:lineRule="auto" w:after="20"/>
            </w:pPr>
            <w:r>
              <w:rPr>
                <w:sz w:val="20"/>
              </w:rPr>
              <w:t xml:space="preserve">[+0.030, +0.094]</w:t>
            </w:r>
          </w:p>
        </w:tc>
      </w:tr>
      <w:tr>
        <w:trPr>
          <w:cantSplit/>
        </w:trPr>
        <w:tc>
          <w:tcPr>
            <w:tcW w:type="dxa" w:w="3118"/>
          </w:tcPr>
          <w:p>
            <w:pPr>
              <w:pStyle w:val="Compact"/>
              <w:spacing w:line="240" w:lineRule="auto" w:after="20"/>
            </w:pPr>
            <w:r>
              <w:rPr>
                <w:sz w:val="20"/>
              </w:rPr>
              <w:t xml:space="preserve">North Evia 2021 (ext.)</w:t>
            </w:r>
          </w:p>
        </w:tc>
        <w:tc>
          <w:tcPr>
            <w:tcW w:type="dxa" w:w="709"/>
          </w:tcPr>
          <w:p>
            <w:pPr>
              <w:pStyle w:val="Compact"/>
              <w:spacing w:line="240" w:lineRule="auto" w:after="20"/>
            </w:pPr>
            <w:r>
              <w:rPr>
                <w:sz w:val="20"/>
              </w:rPr>
              <w:t xml:space="preserve">2</w:t>
            </w:r>
          </w:p>
        </w:tc>
        <w:tc>
          <w:tcPr>
            <w:tcW w:type="dxa" w:w="1134"/>
          </w:tcPr>
          <w:p>
            <w:pPr>
              <w:pStyle w:val="Compact"/>
              <w:spacing w:line="240" w:lineRule="auto" w:after="20"/>
            </w:pPr>
            <w:r>
              <w:rPr>
                <w:sz w:val="20"/>
              </w:rPr>
              <w:t xml:space="preserve">0.759</w:t>
            </w:r>
          </w:p>
        </w:tc>
        <w:tc>
          <w:tcPr>
            <w:tcW w:type="dxa" w:w="992"/>
          </w:tcPr>
          <w:p>
            <w:pPr>
              <w:pStyle w:val="Compact"/>
              <w:spacing w:line="240" w:lineRule="auto" w:after="20"/>
            </w:pPr>
            <w:r>
              <w:rPr>
                <w:sz w:val="20"/>
              </w:rPr>
              <w:t xml:space="preserve">0.912</w:t>
            </w:r>
          </w:p>
        </w:tc>
        <w:tc>
          <w:tcPr>
            <w:tcW w:type="dxa" w:w="850"/>
          </w:tcPr>
          <w:p>
            <w:pPr>
              <w:pStyle w:val="Compact"/>
              <w:spacing w:line="240" w:lineRule="auto" w:after="20"/>
            </w:pPr>
            <w:r>
              <w:rPr>
                <w:sz w:val="20"/>
              </w:rPr>
              <w:t xml:space="preserve">+0.153</w:t>
            </w:r>
          </w:p>
        </w:tc>
        <w:tc>
          <w:tcPr>
            <w:tcW w:type="dxa" w:w="2268"/>
          </w:tcPr>
          <w:p>
            <w:pPr>
              <w:pStyle w:val="Compact"/>
              <w:spacing w:line="240" w:lineRule="auto" w:after="20"/>
            </w:pPr>
            <w:r>
              <w:rPr>
                <w:sz w:val="20"/>
              </w:rPr>
              <w:t xml:space="preserve">[+0.142, +0.166]</w:t>
            </w:r>
          </w:p>
        </w:tc>
      </w:tr>
      <w:tr>
        <w:trPr>
          <w:cantSplit/>
        </w:trPr>
        <w:tc>
          <w:tcPr>
            <w:tcW w:type="dxa" w:w="3118"/>
          </w:tcPr>
          <w:p>
            <w:pPr>
              <w:pStyle w:val="Compact"/>
              <w:spacing w:line="240" w:lineRule="auto" w:after="20"/>
            </w:pPr>
          </w:p>
        </w:tc>
        <w:tc>
          <w:tcPr>
            <w:tcW w:type="dxa" w:w="709"/>
          </w:tcPr>
          <w:p>
            <w:pPr>
              <w:pStyle w:val="Compact"/>
              <w:spacing w:line="240" w:lineRule="auto" w:after="20"/>
            </w:pPr>
            <w:r>
              <w:rPr>
                <w:sz w:val="20"/>
              </w:rPr>
              <w:t xml:space="preserve">10</w:t>
            </w:r>
          </w:p>
        </w:tc>
        <w:tc>
          <w:tcPr>
            <w:tcW w:type="dxa" w:w="1134"/>
          </w:tcPr>
          <w:p>
            <w:pPr>
              <w:pStyle w:val="Compact"/>
              <w:spacing w:line="240" w:lineRule="auto" w:after="20"/>
            </w:pPr>
            <w:r>
              <w:rPr>
                <w:sz w:val="20"/>
              </w:rPr>
              <w:t xml:space="preserve">0.716</w:t>
            </w:r>
          </w:p>
        </w:tc>
        <w:tc>
          <w:tcPr>
            <w:tcW w:type="dxa" w:w="992"/>
          </w:tcPr>
          <w:p>
            <w:pPr>
              <w:pStyle w:val="Compact"/>
              <w:spacing w:line="240" w:lineRule="auto" w:after="20"/>
            </w:pPr>
            <w:r>
              <w:rPr>
                <w:sz w:val="20"/>
              </w:rPr>
              <w:t xml:space="preserve">0.864</w:t>
            </w:r>
          </w:p>
        </w:tc>
        <w:tc>
          <w:tcPr>
            <w:tcW w:type="dxa" w:w="850"/>
          </w:tcPr>
          <w:p>
            <w:pPr>
              <w:pStyle w:val="Compact"/>
              <w:spacing w:line="240" w:lineRule="auto" w:after="20"/>
            </w:pPr>
            <w:r>
              <w:rPr>
                <w:sz w:val="20"/>
              </w:rPr>
              <w:t xml:space="preserve">+0.148</w:t>
            </w:r>
          </w:p>
        </w:tc>
        <w:tc>
          <w:tcPr>
            <w:tcW w:type="dxa" w:w="2268"/>
          </w:tcPr>
          <w:p>
            <w:pPr>
              <w:pStyle w:val="Compact"/>
              <w:spacing w:line="240" w:lineRule="auto" w:after="20"/>
            </w:pPr>
            <w:r>
              <w:rPr>
                <w:sz w:val="20"/>
              </w:rPr>
              <w:t xml:space="preserve">[+0.119, +0.182]</w:t>
            </w:r>
          </w:p>
        </w:tc>
      </w:tr>
      <w:tr>
        <w:trPr>
          <w:cantSplit/>
        </w:trPr>
        <w:tc>
          <w:tcPr>
            <w:tcW w:type="dxa" w:w="3118"/>
          </w:tcPr>
          <w:p>
            <w:pPr>
              <w:pStyle w:val="Compact"/>
              <w:spacing w:line="240" w:lineRule="auto" w:after="20"/>
            </w:pPr>
          </w:p>
        </w:tc>
        <w:tc>
          <w:tcPr>
            <w:tcW w:type="dxa" w:w="709"/>
          </w:tcPr>
          <w:p>
            <w:pPr>
              <w:pStyle w:val="Compact"/>
              <w:spacing w:line="240" w:lineRule="auto" w:after="20"/>
            </w:pPr>
            <w:r>
              <w:rPr>
                <w:sz w:val="20"/>
              </w:rPr>
              <w:t xml:space="preserve">20</w:t>
            </w:r>
          </w:p>
        </w:tc>
        <w:tc>
          <w:tcPr>
            <w:tcW w:type="dxa" w:w="1134"/>
          </w:tcPr>
          <w:p>
            <w:pPr>
              <w:pStyle w:val="Compact"/>
              <w:spacing w:line="240" w:lineRule="auto" w:after="20"/>
            </w:pPr>
            <w:r>
              <w:rPr>
                <w:sz w:val="20"/>
              </w:rPr>
              <w:t xml:space="preserve">0.679</w:t>
            </w:r>
          </w:p>
        </w:tc>
        <w:tc>
          <w:tcPr>
            <w:tcW w:type="dxa" w:w="992"/>
          </w:tcPr>
          <w:p>
            <w:pPr>
              <w:pStyle w:val="Compact"/>
              <w:spacing w:line="240" w:lineRule="auto" w:after="20"/>
            </w:pPr>
            <w:r>
              <w:rPr>
                <w:sz w:val="20"/>
              </w:rPr>
              <w:t xml:space="preserve">0.833</w:t>
            </w:r>
          </w:p>
        </w:tc>
        <w:tc>
          <w:tcPr>
            <w:tcW w:type="dxa" w:w="850"/>
          </w:tcPr>
          <w:p>
            <w:pPr>
              <w:pStyle w:val="Compact"/>
              <w:spacing w:line="240" w:lineRule="auto" w:after="20"/>
            </w:pPr>
            <w:r>
              <w:rPr>
                <w:sz w:val="20"/>
              </w:rPr>
              <w:t xml:space="preserve">+0.154</w:t>
            </w:r>
          </w:p>
        </w:tc>
        <w:tc>
          <w:tcPr>
            <w:tcW w:type="dxa" w:w="2268"/>
          </w:tcPr>
          <w:p>
            <w:pPr>
              <w:pStyle w:val="Compact"/>
              <w:spacing w:line="240" w:lineRule="auto" w:after="20"/>
            </w:pPr>
            <w:r>
              <w:rPr>
                <w:sz w:val="20"/>
              </w:rPr>
              <w:t xml:space="preserve">[+0.124, +0.189]</w:t>
            </w:r>
          </w:p>
        </w:tc>
      </w:tr>
      <w:tr>
        <w:trPr>
          <w:cantSplit/>
        </w:trPr>
        <w:tc>
          <w:tcPr>
            <w:tcW w:type="dxa" w:w="3118"/>
          </w:tcPr>
          <w:p>
            <w:pPr>
              <w:pStyle w:val="Compact"/>
              <w:spacing w:line="240" w:lineRule="auto" w:after="20"/>
            </w:pPr>
            <w:r>
              <w:rPr>
                <w:sz w:val="20"/>
              </w:rPr>
              <w:t xml:space="preserve">Montiferru 2021</w:t>
            </w:r>
          </w:p>
        </w:tc>
        <w:tc>
          <w:tcPr>
            <w:tcW w:type="dxa" w:w="709"/>
          </w:tcPr>
          <w:p>
            <w:pPr>
              <w:pStyle w:val="Compact"/>
              <w:spacing w:line="240" w:lineRule="auto" w:after="20"/>
            </w:pPr>
            <w:r>
              <w:rPr>
                <w:sz w:val="20"/>
              </w:rPr>
              <w:t xml:space="preserve">2</w:t>
            </w:r>
          </w:p>
        </w:tc>
        <w:tc>
          <w:tcPr>
            <w:tcW w:type="dxa" w:w="1134"/>
          </w:tcPr>
          <w:p>
            <w:pPr>
              <w:pStyle w:val="Compact"/>
              <w:spacing w:line="240" w:lineRule="auto" w:after="20"/>
            </w:pPr>
            <w:r>
              <w:rPr>
                <w:sz w:val="20"/>
              </w:rPr>
              <w:t xml:space="preserve">0.781</w:t>
            </w:r>
          </w:p>
        </w:tc>
        <w:tc>
          <w:tcPr>
            <w:tcW w:type="dxa" w:w="992"/>
          </w:tcPr>
          <w:p>
            <w:pPr>
              <w:pStyle w:val="Compact"/>
              <w:spacing w:line="240" w:lineRule="auto" w:after="20"/>
            </w:pPr>
            <w:r>
              <w:rPr>
                <w:sz w:val="20"/>
              </w:rPr>
              <w:t xml:space="preserve">0.883</w:t>
            </w:r>
          </w:p>
        </w:tc>
        <w:tc>
          <w:tcPr>
            <w:tcW w:type="dxa" w:w="850"/>
          </w:tcPr>
          <w:p>
            <w:pPr>
              <w:pStyle w:val="Compact"/>
              <w:spacing w:line="240" w:lineRule="auto" w:after="20"/>
            </w:pPr>
            <w:r>
              <w:rPr>
                <w:sz w:val="20"/>
              </w:rPr>
              <w:t xml:space="preserve">+0.101</w:t>
            </w:r>
          </w:p>
        </w:tc>
        <w:tc>
          <w:tcPr>
            <w:tcW w:type="dxa" w:w="2268"/>
          </w:tcPr>
          <w:p>
            <w:pPr>
              <w:pStyle w:val="Compact"/>
              <w:spacing w:line="240" w:lineRule="auto" w:after="20"/>
            </w:pPr>
            <w:r>
              <w:rPr>
                <w:sz w:val="20"/>
              </w:rPr>
              <w:t xml:space="preserve">[+0.080, +0.125]</w:t>
            </w:r>
          </w:p>
        </w:tc>
      </w:tr>
      <w:tr>
        <w:trPr>
          <w:cantSplit/>
        </w:trPr>
        <w:tc>
          <w:tcPr>
            <w:tcW w:type="dxa" w:w="3118"/>
          </w:tcPr>
          <w:p>
            <w:pPr>
              <w:pStyle w:val="Compact"/>
              <w:spacing w:line="240" w:lineRule="auto" w:after="20"/>
            </w:pPr>
          </w:p>
        </w:tc>
        <w:tc>
          <w:tcPr>
            <w:tcW w:type="dxa" w:w="709"/>
          </w:tcPr>
          <w:p>
            <w:pPr>
              <w:pStyle w:val="Compact"/>
              <w:spacing w:line="240" w:lineRule="auto" w:after="20"/>
            </w:pPr>
            <w:r>
              <w:rPr>
                <w:sz w:val="20"/>
              </w:rPr>
              <w:t xml:space="preserve">10</w:t>
            </w:r>
          </w:p>
        </w:tc>
        <w:tc>
          <w:tcPr>
            <w:tcW w:type="dxa" w:w="1134"/>
          </w:tcPr>
          <w:p>
            <w:pPr>
              <w:pStyle w:val="Compact"/>
              <w:spacing w:line="240" w:lineRule="auto" w:after="20"/>
            </w:pPr>
            <w:r>
              <w:rPr>
                <w:sz w:val="20"/>
              </w:rPr>
              <w:t xml:space="preserve">0.620</w:t>
            </w:r>
          </w:p>
        </w:tc>
        <w:tc>
          <w:tcPr>
            <w:tcW w:type="dxa" w:w="992"/>
          </w:tcPr>
          <w:p>
            <w:pPr>
              <w:pStyle w:val="Compact"/>
              <w:spacing w:line="240" w:lineRule="auto" w:after="20"/>
            </w:pPr>
            <w:r>
              <w:rPr>
                <w:sz w:val="20"/>
              </w:rPr>
              <w:t xml:space="preserve">0.720</w:t>
            </w:r>
          </w:p>
        </w:tc>
        <w:tc>
          <w:tcPr>
            <w:tcW w:type="dxa" w:w="850"/>
          </w:tcPr>
          <w:p>
            <w:pPr>
              <w:pStyle w:val="Compact"/>
              <w:spacing w:line="240" w:lineRule="auto" w:after="20"/>
            </w:pPr>
            <w:r>
              <w:rPr>
                <w:sz w:val="20"/>
              </w:rPr>
              <w:t xml:space="preserve">+0.099</w:t>
            </w:r>
          </w:p>
        </w:tc>
        <w:tc>
          <w:tcPr>
            <w:tcW w:type="dxa" w:w="2268"/>
          </w:tcPr>
          <w:p>
            <w:pPr>
              <w:pStyle w:val="Compact"/>
              <w:spacing w:line="240" w:lineRule="auto" w:after="20"/>
            </w:pPr>
            <w:r>
              <w:rPr>
                <w:sz w:val="20"/>
              </w:rPr>
              <w:t xml:space="preserve">[+0.017, +0.186]</w:t>
            </w:r>
          </w:p>
        </w:tc>
      </w:tr>
      <w:tr>
        <w:trPr>
          <w:cantSplit/>
        </w:trPr>
        <w:tc>
          <w:tcPr>
            <w:tcW w:type="dxa" w:w="3118"/>
          </w:tcPr>
          <w:p>
            <w:pPr>
              <w:pStyle w:val="Compact"/>
              <w:spacing w:line="240" w:lineRule="auto" w:after="20"/>
            </w:pPr>
          </w:p>
        </w:tc>
        <w:tc>
          <w:tcPr>
            <w:tcW w:type="dxa" w:w="709"/>
          </w:tcPr>
          <w:p>
            <w:pPr>
              <w:pStyle w:val="Compact"/>
              <w:spacing w:line="240" w:lineRule="auto" w:after="20"/>
            </w:pPr>
            <w:r>
              <w:rPr>
                <w:sz w:val="20"/>
              </w:rPr>
              <w:t xml:space="preserve">20</w:t>
            </w:r>
          </w:p>
        </w:tc>
        <w:tc>
          <w:tcPr>
            <w:tcW w:type="dxa" w:w="1134"/>
          </w:tcPr>
          <w:p>
            <w:pPr>
              <w:pStyle w:val="Compact"/>
              <w:spacing w:line="240" w:lineRule="auto" w:after="20"/>
            </w:pPr>
            <w:r>
              <w:rPr>
                <w:sz w:val="20"/>
              </w:rPr>
              <w:t xml:space="preserve">0.555</w:t>
            </w:r>
          </w:p>
        </w:tc>
        <w:tc>
          <w:tcPr>
            <w:tcW w:type="dxa" w:w="992"/>
          </w:tcPr>
          <w:p>
            <w:pPr>
              <w:pStyle w:val="Compact"/>
              <w:spacing w:line="240" w:lineRule="auto" w:after="20"/>
            </w:pPr>
            <w:r>
              <w:rPr>
                <w:sz w:val="20"/>
              </w:rPr>
              <w:t xml:space="preserve">0.681</w:t>
            </w:r>
          </w:p>
        </w:tc>
        <w:tc>
          <w:tcPr>
            <w:tcW w:type="dxa" w:w="850"/>
          </w:tcPr>
          <w:p>
            <w:pPr>
              <w:pStyle w:val="Compact"/>
              <w:spacing w:line="240" w:lineRule="auto" w:after="20"/>
            </w:pPr>
            <w:r>
              <w:rPr>
                <w:sz w:val="20"/>
              </w:rPr>
              <w:t xml:space="preserve">+0.126</w:t>
            </w:r>
          </w:p>
        </w:tc>
        <w:tc>
          <w:tcPr>
            <w:tcW w:type="dxa" w:w="2268"/>
          </w:tcPr>
          <w:p>
            <w:pPr>
              <w:pStyle w:val="Compact"/>
              <w:spacing w:line="240" w:lineRule="auto" w:after="20"/>
            </w:pPr>
            <w:r>
              <w:rPr>
                <w:sz w:val="20"/>
              </w:rPr>
              <w:t xml:space="preserve">[+0.053, +0.228]</w:t>
            </w:r>
          </w:p>
        </w:tc>
      </w:tr>
    </w:tbl>
    <w:p>
      <w:pPr>
        <w:pStyle w:val="BodyText"/>
      </w:pPr>
      <w:r>
        <w:rPr>
          <w:i/>
          <w:iCs/>
        </w:rPr>
        <w:t xml:space="preserve">Table note.</w:t>
      </w:r>
      <w:r>
        <w:t xml:space="preserve"> </w:t>
      </w:r>
      <w:r>
        <w:t xml:space="preserve">At 10 cells (about 5 km), every region has 16 to 70 blocks with burned cells, so this is</w:t>
      </w:r>
      <w:r>
        <w:t xml:space="preserve"> </w:t>
      </w:r>
      <w:r>
        <w:t xml:space="preserve">the coarsest blocking that the design supports. The 20-cell rows are indicative. Block counts are</w:t>
      </w:r>
      <w:r>
        <w:t xml:space="preserve"> </w:t>
      </w:r>
      <w:r>
        <w:t xml:space="preserve">given in Section S1.3.</w:t>
      </w:r>
    </w:p>
    <w:bookmarkEnd w:id="43"/>
    <w:bookmarkStart w:id="44" w:name="Xbabaa583d4cd0f63ce80a00e9c1cb16703a29e2"/>
    <w:p>
      <w:pPr>
        <w:pStyle w:val="Heading2"/>
      </w:pPr>
      <w:r>
        <w:t xml:space="preserve">4.3 The effect of the evaluation frame within one region</w:t>
      </w:r>
    </w:p>
    <w:p>
      <w:pPr>
        <w:pStyle w:val="FirstParagraph"/>
      </w:pPr>
      <w:r>
        <w:t xml:space="preserve">This section measures the effect of the evaluation frame on one model in one region, so no transfer</w:t>
      </w:r>
      <w:r>
        <w:t xml:space="preserve"> </w:t>
      </w:r>
      <w:r>
        <w:t xml:space="preserve">is involved. Four evaluations are compared (Table 2). The last three are scored on</w:t>
      </w:r>
      <w:r>
        <w:t xml:space="preserve"> </w:t>
      </w:r>
      <w:r>
        <w:rPr>
          <w:b/>
          <w:bCs/>
        </w:rPr>
        <w:t xml:space="preserve">the same cells</w:t>
      </w:r>
      <w:r>
        <w:t xml:space="preserve">,</w:t>
      </w:r>
      <w:r>
        <w:t xml:space="preserve"> </w:t>
      </w:r>
      <w:r>
        <w:t xml:space="preserve">so they differ only in the training data. The held-out unit is a scar of at least 50 burned cells</w:t>
      </w:r>
      <w:r>
        <w:t xml:space="preserve"> </w:t>
      </w:r>
      <w:r>
        <w:t xml:space="preserve">together with its 2 km collar.</w:t>
      </w:r>
    </w:p>
    <w:p>
      <w:pPr>
        <w:pStyle w:val="BodyText"/>
        <w:keepNext/>
      </w:pPr>
      <w:r>
        <w:rPr>
          <w:b/>
          <w:bCs/>
        </w:rPr>
        <w:t xml:space="preserve">Table 2. The four evaluations of the frame test.</w:t>
      </w:r>
      <w:r>
        <w:t xml:space="preserve"> </w:t>
      </w:r>
      <w:r>
        <w:t xml:space="preserve">Primary population, 5 km blocking. Rows B, C</w:t>
      </w:r>
      <w:r>
        <w:t xml:space="preserve"> </w:t>
      </w:r>
      <w:r>
        <w:t xml:space="preserve">and D are scored on the scar frame. Row A is the whole region and is shown to make the difference</w:t>
      </w:r>
      <w:r>
        <w:t xml:space="preserve"> </w:t>
      </w:r>
      <w:r>
        <w:t xml:space="preserve">visible. Means and Student</w:t>
      </w:r>
      <w:r>
        <w:t xml:space="preserve"> </w:t>
      </w:r>
      <w:r>
        <w:rPr>
          <w:i/>
          <w:iCs/>
        </w:rPr>
        <w:t xml:space="preserve">t</w:t>
      </w:r>
      <w:r>
        <w:t xml:space="preserve"> </w:t>
      </w:r>
      <w:r>
        <w:t xml:space="preserve">intervals over the seven scars that allow row C: four in Muğla, two in</w:t>
      </w:r>
      <w:r>
        <w:t xml:space="preserve"> </w:t>
      </w:r>
      <w:r>
        <w:t xml:space="preserve">Montiferru and one in Evia. The</w:t>
      </w:r>
      <w:r>
        <w:t xml:space="preserve"> </w:t>
      </w:r>
      <w:r>
        <w:rPr>
          <w:i/>
          <w:iCs/>
        </w:rPr>
        <w:t xml:space="preserve">t</w:t>
      </w:r>
      <w:r>
        <w:t xml:space="preserve"> </w:t>
      </w:r>
      <w:r>
        <w:t xml:space="preserve">intervals treat scars as independent; region-level estimates are</w:t>
      </w:r>
      <w:r>
        <w:t xml:space="preserve"> </w:t>
      </w:r>
      <w:r>
        <w:t xml:space="preserve">given in the text. Cell counts per scar are in Table S1.</w:t>
      </w:r>
    </w:p>
    <w:tbl>
      <w:tblPr>
        <w:tblStyle w:val="Table"/>
        <w:tblW w:type="auto" w:w="0"/>
        <w:tblLook w:firstRow="1" w:lastRow="0" w:firstColumn="0" w:lastColumn="0" w:noHBand="0" w:noVBand="0" w:val="0020"/>
      </w:tblPr>
      <w:tblGrid>
        <w:gridCol w:w="2797"/>
        <w:gridCol w:w="3052"/>
        <w:gridCol w:w="1356"/>
        <w:gridCol w:w="678"/>
        <w:gridCol w:w="1187"/>
      </w:tblGrid>
      <w:tr>
        <w:trPr>
          <w:tblHeader w:val="on"/>
          <w:cantSplit/>
        </w:trPr>
        <w:tc>
          <w:tcPr>
            <w:tcW w:type="dxa" w:w="2797"/>
          </w:tcPr>
          <w:p>
            <w:pPr>
              <w:pStyle w:val="Compact"/>
              <w:spacing w:line="240" w:lineRule="auto" w:after="20"/>
            </w:pPr>
            <w:r>
              <w:rPr>
                <w:sz w:val="20"/>
              </w:rPr>
              <w:t xml:space="preserve">Evaluation</w:t>
            </w:r>
          </w:p>
        </w:tc>
        <w:tc>
          <w:tcPr>
            <w:tcW w:type="dxa" w:w="3052"/>
          </w:tcPr>
          <w:p>
            <w:pPr>
              <w:pStyle w:val="Compact"/>
              <w:spacing w:line="240" w:lineRule="auto" w:after="20"/>
            </w:pPr>
            <w:r>
              <w:rPr>
                <w:sz w:val="20"/>
              </w:rPr>
              <w:t xml:space="preserve">Model trained on</w:t>
            </w:r>
          </w:p>
        </w:tc>
        <w:tc>
          <w:tcPr>
            <w:tcW w:type="dxa" w:w="1356"/>
          </w:tcPr>
          <w:p>
            <w:pPr>
              <w:pStyle w:val="Compact"/>
              <w:spacing w:line="240" w:lineRule="auto" w:after="20"/>
            </w:pPr>
            <w:r>
              <w:rPr>
                <w:sz w:val="20"/>
              </w:rPr>
              <w:t xml:space="preserve">Scored on</w:t>
            </w:r>
          </w:p>
        </w:tc>
        <w:tc>
          <w:tcPr>
            <w:tcW w:type="dxa" w:w="678"/>
          </w:tcPr>
          <w:p>
            <w:pPr>
              <w:pStyle w:val="Compact"/>
              <w:spacing w:line="240" w:lineRule="auto" w:after="20"/>
              <w:jc w:val="right"/>
            </w:pPr>
            <w:r>
              <w:rPr>
                <w:sz w:val="20"/>
              </w:rPr>
              <w:t xml:space="preserve">Mean AUC</w:t>
            </w:r>
          </w:p>
        </w:tc>
        <w:tc>
          <w:tcPr>
            <w:tcW w:type="dxa" w:w="1187"/>
          </w:tcPr>
          <w:p>
            <w:pPr>
              <w:pStyle w:val="Compact"/>
              <w:spacing w:line="240" w:lineRule="auto" w:after="20"/>
            </w:pPr>
            <w:r>
              <w:rPr>
                <w:sz w:val="20"/>
              </w:rPr>
              <w:t xml:space="preserve">95 % CI</w:t>
            </w:r>
          </w:p>
        </w:tc>
      </w:tr>
      <w:tr>
        <w:trPr>
          <w:cantSplit/>
        </w:trPr>
        <w:tc>
          <w:tcPr>
            <w:tcW w:type="dxa" w:w="2797"/>
          </w:tcPr>
          <w:p>
            <w:pPr>
              <w:pStyle w:val="Compact"/>
              <w:spacing w:line="240" w:lineRule="auto" w:after="20"/>
            </w:pPr>
            <w:r>
              <w:rPr>
                <w:sz w:val="20"/>
              </w:rPr>
              <w:t xml:space="preserve">A. Blocked cross-validation</w:t>
            </w:r>
          </w:p>
        </w:tc>
        <w:tc>
          <w:tcPr>
            <w:tcW w:type="dxa" w:w="3052"/>
          </w:tcPr>
          <w:p>
            <w:pPr>
              <w:pStyle w:val="Compact"/>
              <w:spacing w:line="240" w:lineRule="auto" w:after="20"/>
            </w:pPr>
            <w:r>
              <w:rPr>
                <w:sz w:val="20"/>
              </w:rPr>
              <w:t xml:space="preserve">the region, scar included</w:t>
            </w:r>
          </w:p>
        </w:tc>
        <w:tc>
          <w:tcPr>
            <w:tcW w:type="dxa" w:w="1356"/>
          </w:tcPr>
          <w:p>
            <w:pPr>
              <w:pStyle w:val="Compact"/>
              <w:spacing w:line="240" w:lineRule="auto" w:after="20"/>
            </w:pPr>
            <w:r>
              <w:rPr>
                <w:sz w:val="20"/>
              </w:rPr>
              <w:t xml:space="preserve">the whole region</w:t>
            </w:r>
          </w:p>
        </w:tc>
        <w:tc>
          <w:tcPr>
            <w:tcW w:type="dxa" w:w="678"/>
          </w:tcPr>
          <w:p>
            <w:pPr>
              <w:pStyle w:val="Compact"/>
              <w:spacing w:line="240" w:lineRule="auto" w:after="20"/>
              <w:jc w:val="right"/>
            </w:pPr>
            <w:r>
              <w:rPr>
                <w:sz w:val="20"/>
              </w:rPr>
              <w:t xml:space="preserve">0.773</w:t>
            </w:r>
          </w:p>
        </w:tc>
        <w:tc>
          <w:tcPr>
            <w:tcW w:type="dxa" w:w="1187"/>
          </w:tcPr>
          <w:p>
            <w:pPr>
              <w:pStyle w:val="Compact"/>
              <w:spacing w:line="240" w:lineRule="auto" w:after="20"/>
            </w:pPr>
            <w:r>
              <w:rPr>
                <w:sz w:val="20"/>
              </w:rPr>
              <w:t xml:space="preserve">[0.729, 0.818]</w:t>
            </w:r>
          </w:p>
        </w:tc>
      </w:tr>
      <w:tr>
        <w:trPr>
          <w:cantSplit/>
        </w:trPr>
        <w:tc>
          <w:tcPr>
            <w:tcW w:type="dxa" w:w="2797"/>
          </w:tcPr>
          <w:p>
            <w:pPr>
              <w:pStyle w:val="Compact"/>
              <w:spacing w:line="240" w:lineRule="auto" w:after="20"/>
            </w:pPr>
            <w:r>
              <w:rPr>
                <w:sz w:val="20"/>
              </w:rPr>
              <w:t xml:space="preserve">B. Same blocked model, restricted</w:t>
            </w:r>
          </w:p>
        </w:tc>
        <w:tc>
          <w:tcPr>
            <w:tcW w:type="dxa" w:w="3052"/>
          </w:tcPr>
          <w:p>
            <w:pPr>
              <w:pStyle w:val="Compact"/>
              <w:spacing w:line="240" w:lineRule="auto" w:after="20"/>
            </w:pPr>
            <w:r>
              <w:rPr>
                <w:sz w:val="20"/>
              </w:rPr>
              <w:t xml:space="preserve">the region,</w:t>
            </w:r>
            <w:r>
              <w:rPr>
                <w:sz w:val="20"/>
              </w:rPr>
              <w:t xml:space="preserve"> </w:t>
            </w:r>
            <w:r>
              <w:rPr>
                <w:b/>
                <w:bCs/>
                <w:sz w:val="20"/>
              </w:rPr>
              <w:t xml:space="preserve">scar included</w:t>
            </w:r>
          </w:p>
        </w:tc>
        <w:tc>
          <w:tcPr>
            <w:tcW w:type="dxa" w:w="1356"/>
          </w:tcPr>
          <w:p>
            <w:pPr>
              <w:pStyle w:val="Compact"/>
              <w:spacing w:line="240" w:lineRule="auto" w:after="20"/>
            </w:pPr>
            <w:r>
              <w:rPr>
                <w:sz w:val="20"/>
              </w:rPr>
              <w:t xml:space="preserve">the scar area</w:t>
            </w:r>
          </w:p>
        </w:tc>
        <w:tc>
          <w:tcPr>
            <w:tcW w:type="dxa" w:w="678"/>
          </w:tcPr>
          <w:p>
            <w:pPr>
              <w:pStyle w:val="Compact"/>
              <w:spacing w:line="240" w:lineRule="auto" w:after="20"/>
              <w:jc w:val="right"/>
            </w:pPr>
            <w:r>
              <w:rPr>
                <w:sz w:val="20"/>
              </w:rPr>
              <w:t xml:space="preserve">0.640</w:t>
            </w:r>
          </w:p>
        </w:tc>
        <w:tc>
          <w:tcPr>
            <w:tcW w:type="dxa" w:w="1187"/>
          </w:tcPr>
          <w:p>
            <w:pPr>
              <w:pStyle w:val="Compact"/>
              <w:spacing w:line="240" w:lineRule="auto" w:after="20"/>
            </w:pPr>
            <w:r>
              <w:rPr>
                <w:sz w:val="20"/>
              </w:rPr>
              <w:t xml:space="preserve">[0.544, 0.736]</w:t>
            </w:r>
          </w:p>
        </w:tc>
      </w:tr>
      <w:tr>
        <w:trPr>
          <w:cantSplit/>
        </w:trPr>
        <w:tc>
          <w:tcPr>
            <w:tcW w:type="dxa" w:w="2797"/>
          </w:tcPr>
          <w:p>
            <w:pPr>
              <w:pStyle w:val="Compact"/>
              <w:spacing w:line="240" w:lineRule="auto" w:after="20"/>
            </w:pPr>
            <w:r>
              <w:rPr>
                <w:sz w:val="20"/>
              </w:rPr>
              <w:t xml:space="preserve">C. Leave-one-scar-out</w:t>
            </w:r>
          </w:p>
        </w:tc>
        <w:tc>
          <w:tcPr>
            <w:tcW w:type="dxa" w:w="3052"/>
          </w:tcPr>
          <w:p>
            <w:pPr>
              <w:pStyle w:val="Compact"/>
              <w:spacing w:line="240" w:lineRule="auto" w:after="20"/>
            </w:pPr>
            <w:r>
              <w:rPr>
                <w:sz w:val="20"/>
              </w:rPr>
              <w:t xml:space="preserve">the region,</w:t>
            </w:r>
            <w:r>
              <w:rPr>
                <w:sz w:val="20"/>
              </w:rPr>
              <w:t xml:space="preserve"> </w:t>
            </w:r>
            <w:r>
              <w:rPr>
                <w:b/>
                <w:bCs/>
                <w:sz w:val="20"/>
              </w:rPr>
              <w:t xml:space="preserve">scar withheld</w:t>
            </w:r>
          </w:p>
        </w:tc>
        <w:tc>
          <w:tcPr>
            <w:tcW w:type="dxa" w:w="1356"/>
          </w:tcPr>
          <w:p>
            <w:pPr>
              <w:pStyle w:val="Compact"/>
              <w:spacing w:line="240" w:lineRule="auto" w:after="20"/>
            </w:pPr>
            <w:r>
              <w:rPr>
                <w:sz w:val="20"/>
              </w:rPr>
              <w:t xml:space="preserve">the scar area</w:t>
            </w:r>
          </w:p>
        </w:tc>
        <w:tc>
          <w:tcPr>
            <w:tcW w:type="dxa" w:w="678"/>
          </w:tcPr>
          <w:p>
            <w:pPr>
              <w:pStyle w:val="Compact"/>
              <w:spacing w:line="240" w:lineRule="auto" w:after="20"/>
              <w:jc w:val="right"/>
            </w:pPr>
            <w:r>
              <w:rPr>
                <w:sz w:val="20"/>
              </w:rPr>
              <w:t xml:space="preserve">0.546</w:t>
            </w:r>
          </w:p>
        </w:tc>
        <w:tc>
          <w:tcPr>
            <w:tcW w:type="dxa" w:w="1187"/>
          </w:tcPr>
          <w:p>
            <w:pPr>
              <w:pStyle w:val="Compact"/>
              <w:spacing w:line="240" w:lineRule="auto" w:after="20"/>
            </w:pPr>
            <w:r>
              <w:rPr>
                <w:sz w:val="20"/>
              </w:rPr>
              <w:t xml:space="preserve">[0.488, 0.604]</w:t>
            </w:r>
          </w:p>
        </w:tc>
      </w:tr>
      <w:tr>
        <w:trPr>
          <w:cantSplit/>
        </w:trPr>
        <w:tc>
          <w:tcPr>
            <w:tcW w:type="dxa" w:w="2797"/>
          </w:tcPr>
          <w:p>
            <w:pPr>
              <w:pStyle w:val="Compact"/>
              <w:spacing w:line="240" w:lineRule="auto" w:after="20"/>
            </w:pPr>
            <w:r>
              <w:rPr>
                <w:sz w:val="20"/>
              </w:rPr>
              <w:t xml:space="preserve">D. Foreign region</w:t>
            </w:r>
          </w:p>
        </w:tc>
        <w:tc>
          <w:tcPr>
            <w:tcW w:type="dxa" w:w="3052"/>
          </w:tcPr>
          <w:p>
            <w:pPr>
              <w:pStyle w:val="Compact"/>
              <w:spacing w:line="240" w:lineRule="auto" w:after="20"/>
            </w:pPr>
            <w:r>
              <w:rPr>
                <w:sz w:val="20"/>
              </w:rPr>
              <w:t xml:space="preserve">another region, 306 to 2,802 km away</w:t>
            </w:r>
          </w:p>
        </w:tc>
        <w:tc>
          <w:tcPr>
            <w:tcW w:type="dxa" w:w="1356"/>
          </w:tcPr>
          <w:p>
            <w:pPr>
              <w:pStyle w:val="Compact"/>
              <w:spacing w:line="240" w:lineRule="auto" w:after="20"/>
            </w:pPr>
            <w:r>
              <w:rPr>
                <w:sz w:val="20"/>
              </w:rPr>
              <w:t xml:space="preserve">the scar area</w:t>
            </w:r>
          </w:p>
        </w:tc>
        <w:tc>
          <w:tcPr>
            <w:tcW w:type="dxa" w:w="678"/>
          </w:tcPr>
          <w:p>
            <w:pPr>
              <w:pStyle w:val="Compact"/>
              <w:spacing w:line="240" w:lineRule="auto" w:after="20"/>
              <w:jc w:val="right"/>
            </w:pPr>
            <w:r>
              <w:rPr>
                <w:sz w:val="20"/>
              </w:rPr>
              <w:t xml:space="preserve">0.553</w:t>
            </w:r>
          </w:p>
        </w:tc>
        <w:tc>
          <w:tcPr>
            <w:tcW w:type="dxa" w:w="1187"/>
          </w:tcPr>
          <w:p>
            <w:pPr>
              <w:pStyle w:val="Compact"/>
              <w:spacing w:line="240" w:lineRule="auto" w:after="20"/>
            </w:pPr>
            <w:r>
              <w:rPr>
                <w:sz w:val="20"/>
              </w:rPr>
              <w:t xml:space="preserve">[0.495, 0.611]</w:t>
            </w:r>
          </w:p>
        </w:tc>
      </w:tr>
    </w:tbl>
    <w:p>
      <w:pPr>
        <w:pStyle w:val="BodyText"/>
      </w:pPr>
      <w:r>
        <w:rPr>
          <w:b/>
          <w:bCs/>
        </w:rPr>
        <w:t xml:space="preserve">The same model scores 0.16 lower on the scar frame.</w:t>
      </w:r>
      <w:r>
        <w:t xml:space="preserve"> </w:t>
      </w:r>
      <w:r>
        <w:t xml:space="preserve">Rows A and B use one model and one set of</w:t>
      </w:r>
      <w:r>
        <w:t xml:space="preserve"> </w:t>
      </w:r>
      <w:r>
        <w:t xml:space="preserve">predictions, and only the scored cells differ. With the region as the unit, this change costs</w:t>
      </w:r>
      <w:r>
        <w:t xml:space="preserve"> </w:t>
      </w:r>
      <w:r>
        <w:rPr>
          <w:b/>
          <w:bCs/>
        </w:rPr>
        <w:t xml:space="preserve">+0.160 [+0.090, +0.230]</w:t>
      </w:r>
      <w:r>
        <w:t xml:space="preserve"> </w:t>
      </w:r>
      <w:r>
        <w:t xml:space="preserve">over all nine scars in five regions, and +0.137 [+0.048, +0.226] over the</w:t>
      </w:r>
      <w:r>
        <w:t xml:space="preserve"> </w:t>
      </w:r>
      <w:r>
        <w:t xml:space="preserve">three regions of Table 2. Over the seven scars the cost is 0.133 [+0.060, +0.207], but this interval</w:t>
      </w:r>
      <w:r>
        <w:t xml:space="preserve"> </w:t>
      </w:r>
      <w:r>
        <w:t xml:space="preserve">is too narrow, because row A is repeated for each scar of a region. With the region as the unit, the</w:t>
      </w:r>
      <w:r>
        <w:t xml:space="preserve"> </w:t>
      </w:r>
      <w:r>
        <w:t xml:space="preserve">fall from A to C is +0.266 [−0.022, +0.553].</w:t>
      </w:r>
      <w:r>
        <w:t xml:space="preserve"> </w:t>
      </w:r>
      <w:r>
        <w:rPr>
          <w:b/>
          <w:bCs/>
        </w:rPr>
        <w:t xml:space="preserve">Only the frame cost is therefore established at the</w:t>
      </w:r>
      <w:r>
        <w:rPr>
          <w:b/>
          <w:bCs/>
        </w:rPr>
        <w:t xml:space="preserve"> </w:t>
      </w:r>
      <w:r>
        <w:rPr>
          <w:b/>
          <w:bCs/>
        </w:rPr>
        <w:t xml:space="preserve">region level.</w:t>
      </w:r>
      <w:r>
        <w:t xml:space="preserve"> </w:t>
      </w:r>
      <w:r>
        <w:t xml:space="preserve">The two frames answer different questions (Section 3.12), so the region-wide score is</w:t>
      </w:r>
      <w:r>
        <w:t xml:space="preserve"> </w:t>
      </w:r>
      <w:r>
        <w:t xml:space="preserve">not a biased version of the scar score. It is, however, the more optimistic of the two, and it holds</w:t>
      </w:r>
      <w:r>
        <w:t xml:space="preserve"> </w:t>
      </w:r>
      <w:r>
        <w:t xml:space="preserve">in all nine scars.</w:t>
      </w:r>
    </w:p>
    <w:p>
      <w:pPr>
        <w:pStyle w:val="BodyText"/>
      </w:pPr>
      <w:r>
        <w:rPr>
          <w:b/>
          <w:bCs/>
        </w:rPr>
        <w:t xml:space="preserve">The cost comes from the unburned cells next to the fire.</w:t>
      </w:r>
      <w:r>
        <w:t xml:space="preserve"> </w:t>
      </w:r>
      <w:r>
        <w:t xml:space="preserve">Over nine scars, scoring the predictions</w:t>
      </w:r>
      <w:r>
        <w:t xml:space="preserve"> </w:t>
      </w:r>
      <w:r>
        <w:t xml:space="preserve">on a random sample with the same burned fraction as the scar frame changed nothing (−0.002 [−0.005,</w:t>
      </w:r>
      <w:r>
        <w:t xml:space="preserve"> </w:t>
      </w:r>
      <w:r>
        <w:t xml:space="preserve">+0.001]). This is expected, because ROC-AUC does not depend on class balance. Scoring them on the scar</w:t>
      </w:r>
      <w:r>
        <w:t xml:space="preserve"> </w:t>
      </w:r>
      <w:r>
        <w:t xml:space="preserve">frame cost +0.149 [+0.087, +0.211]. Replacing only the unburned cells explained 0.139 [0.098, 0.181]</w:t>
      </w:r>
      <w:r>
        <w:t xml:space="preserve"> </w:t>
      </w:r>
      <w:r>
        <w:t xml:space="preserve">of this, and replacing only the burned cells −0.002 [−0.055, +0.051] (Section S1.9.1). A placebo</w:t>
      </w:r>
      <w:r>
        <w:t xml:space="preserve"> </w:t>
      </w:r>
      <w:r>
        <w:t xml:space="preserve">collar of the same shape, placed away from any burned cell, reproduced the region-wide score, and</w:t>
      </w:r>
      <w:r>
        <w:t xml:space="preserve"> </w:t>
      </w:r>
      <w:r>
        <w:t xml:space="preserve">excluding up to two cells at the scar edge left the cost at 0.145 or more with the region as the</w:t>
      </w:r>
      <w:r>
        <w:t xml:space="preserve"> </w:t>
      </w:r>
      <w:r>
        <w:t xml:space="preserve">unit (Table S21). Across regions, the cost was not related to the share of distant cells in the study</w:t>
      </w:r>
      <w:r>
        <w:t xml:space="preserve"> </w:t>
      </w:r>
      <w:r>
        <w:t xml:space="preserve">area (slope 0.005 [−0.41, +0.42], n = 5). The unburned cells next to a fire are therefore hard to rank,</w:t>
      </w:r>
      <w:r>
        <w:t xml:space="preserve"> </w:t>
      </w:r>
      <w:r>
        <w:t xml:space="preserve">rather than the distant cells being easy.</w:t>
      </w:r>
    </w:p>
    <w:p>
      <w:pPr>
        <w:pStyle w:val="BodyText"/>
      </w:pPr>
      <w:r>
        <w:rPr>
          <w:b/>
          <w:bCs/>
        </w:rPr>
        <w:t xml:space="preserve">Withholding the fire or moving the model had no measurable cost, but the test is weak.</w:t>
      </w:r>
      <w:r>
        <w:t xml:space="preserve"> </w:t>
      </w:r>
      <w:r>
        <w:t xml:space="preserve">B minus</w:t>
      </w:r>
      <w:r>
        <w:t xml:space="preserve"> </w:t>
      </w:r>
      <w:r>
        <w:t xml:space="preserve">C, the effect of withholding the scar, is +0.094 [−0.012, +0.200]. C minus D, the effect of using a</w:t>
      </w:r>
      <w:r>
        <w:t xml:space="preserve"> </w:t>
      </w:r>
      <w:r>
        <w:t xml:space="preserve">model from 306 to 2,802 km away, is −0.007 [−0.070, +0.057]. Both intervals include zero, and both</w:t>
      </w:r>
      <w:r>
        <w:t xml:space="preserve"> </w:t>
      </w:r>
      <w:r>
        <w:t xml:space="preserve">evaluations are close to chance. In Evia, however, withholding the scar leaves only 11 burned cells</w:t>
      </w:r>
      <w:r>
        <w:t xml:space="preserve"> </w:t>
      </w:r>
      <w:r>
        <w:t xml:space="preserve">for training. In Muğla alone, where every held-out case keeps a well-trained model, C and D are 0.579</w:t>
      </w:r>
      <w:r>
        <w:t xml:space="preserve"> </w:t>
      </w:r>
      <w:r>
        <w:t xml:space="preserve">and 0.586. With region-level clustering the intervals widen strongly. For example, the difference in</w:t>
      </w:r>
      <w:r>
        <w:t xml:space="preserve"> </w:t>
      </w:r>
      <w:r>
        <w:t xml:space="preserve">thermal gain between rows C and D widens from [−0.061, +0.094] to [−0.154, +0.186]. Effects of up to</w:t>
      </w:r>
      <w:r>
        <w:t xml:space="preserve"> </w:t>
      </w:r>
      <w:r>
        <w:t xml:space="preserve">about 0.2 therefore cannot be excluded.</w:t>
      </w:r>
    </w:p>
    <w:p>
      <w:pPr>
        <w:pStyle w:val="BodyText"/>
      </w:pPr>
      <w:r>
        <w:rPr>
          <w:b/>
          <w:bCs/>
        </w:rPr>
        <w:t xml:space="preserve">On the scar frame, the thermal gain is not established.</w:t>
      </w:r>
      <w:r>
        <w:t xml:space="preserve"> </w:t>
      </w:r>
      <w:r>
        <w:t xml:space="preserve">The same four evaluations were applied to</w:t>
      </w:r>
      <w:r>
        <w:t xml:space="preserve"> </w:t>
      </w:r>
      <w:r>
        <w:t xml:space="preserve">the thermal gain at 5 km blocking. Averaged over the seven scars, with Muğla counted four times, the</w:t>
      </w:r>
      <w:r>
        <w:t xml:space="preserve"> </w:t>
      </w:r>
      <w:r>
        <w:t xml:space="preserve">region-wide gain is +0.095. On the scar frame the same predictions give +0.021 [−0.059, +0.100].</w:t>
      </w:r>
      <w:r>
        <w:t xml:space="preserve"> </w:t>
      </w:r>
      <w:r>
        <w:t xml:space="preserve">Leave-one-scar-out gives +0.024 [−0.040, +0.089], and a foreign model +0.008 [−0.021, +0.038]. The</w:t>
      </w:r>
      <w:r>
        <w:t xml:space="preserve"> </w:t>
      </w:r>
      <w:r>
        <w:t xml:space="preserve">fall from +0.095 therefore occurs when the frame changes, not when the training data change (Section</w:t>
      </w:r>
      <w:r>
        <w:t xml:space="preserve"> </w:t>
      </w:r>
      <w:r>
        <w:t xml:space="preserve">S1.9.3).</w:t>
      </w:r>
    </w:p>
    <w:bookmarkEnd w:id="44"/>
    <w:bookmarkStart w:id="45" w:name="the-frame-effect-between-regions"/>
    <w:p>
      <w:pPr>
        <w:pStyle w:val="Heading2"/>
      </w:pPr>
      <w:r>
        <w:t xml:space="preserve">4.4 The frame effect between regions</w:t>
      </w:r>
    </w:p>
    <w:p>
      <w:pPr>
        <w:pStyle w:val="FirstParagraph"/>
      </w:pPr>
      <w:r>
        <w:t xml:space="preserve">The five study areas differ strongly in how many distant unburned cells they contain. The share of</w:t>
      </w:r>
      <w:r>
        <w:t xml:space="preserve"> </w:t>
      </w:r>
      <w:r>
        <w:t xml:space="preserve">cells more than 10 km from any burned cell is</w:t>
      </w:r>
      <w:r>
        <w:t xml:space="preserve"> </w:t>
      </w:r>
      <w:r>
        <w:rPr>
          <w:b/>
          <w:bCs/>
        </w:rPr>
        <w:t xml:space="preserve">2.1 %</w:t>
      </w:r>
      <w:r>
        <w:t xml:space="preserve"> </w:t>
      </w:r>
      <w:r>
        <w:t xml:space="preserve">in Montiferru and</w:t>
      </w:r>
      <w:r>
        <w:t xml:space="preserve"> </w:t>
      </w:r>
      <w:r>
        <w:rPr>
          <w:b/>
          <w:bCs/>
        </w:rPr>
        <w:t xml:space="preserve">63.1 %</w:t>
      </w:r>
      <w:r>
        <w:t xml:space="preserve"> </w:t>
      </w:r>
      <w:r>
        <w:t xml:space="preserve">in Bejís (Table</w:t>
      </w:r>
      <w:r>
        <w:t xml:space="preserve"> </w:t>
      </w:r>
      <w:r>
        <w:t xml:space="preserve">S13). In Manavgat, the median elevation of these cells rises from 330 m within 5 km of the fire to</w:t>
      </w:r>
      <w:r>
        <w:t xml:space="preserve"> </w:t>
      </w:r>
      <w:r>
        <w:t xml:space="preserve">1,273 m at 20 to 50 km, while the burned cells have a median of 287 m.</w:t>
      </w:r>
    </w:p>
    <w:p>
      <w:pPr>
        <w:pStyle w:val="BodyText"/>
      </w:pPr>
      <w:r>
        <w:rPr>
          <w:b/>
          <w:bCs/>
        </w:rPr>
        <w:t xml:space="preserve">Comparable study areas.</w:t>
      </w:r>
      <w:r>
        <w:t xml:space="preserve"> </w:t>
      </w:r>
      <w:r>
        <w:t xml:space="preserve">Every region was restricted to cells within 10 km of any burned cell.</w:t>
      </w:r>
      <w:r>
        <w:t xml:space="preserve"> </w:t>
      </w:r>
      <w:r>
        <w:t xml:space="preserve">This removes only distant unburned cells. Table 3 compares transfer on these collars with transfer on</w:t>
      </w:r>
      <w:r>
        <w:t xml:space="preserve"> </w:t>
      </w:r>
      <w:r>
        <w:t xml:space="preserve">the original areas. Mean transfer rose from 0.527 to 0.589, and the number of directions below chance</w:t>
      </w:r>
      <w:r>
        <w:t xml:space="preserve"> </w:t>
      </w:r>
      <w:r>
        <w:t xml:space="preserve">fell from seven to five. The thermal gain rose from +0.007 to +0.024, and the static baseline rose</w:t>
      </w:r>
      <w:r>
        <w:t xml:space="preserve"> </w:t>
      </w:r>
      <w:r>
        <w:t xml:space="preserve">with it, from 0.519 to 0.565. Because the collars are defined from burned cells, they cannot be drawn</w:t>
      </w:r>
      <w:r>
        <w:t xml:space="preserve"> </w:t>
      </w:r>
      <w:r>
        <w:t xml:space="preserve">before a fire (Section 3.12).</w:t>
      </w:r>
    </w:p>
    <w:p>
      <w:pPr>
        <w:pStyle w:val="BodyText"/>
        <w:keepNext/>
      </w:pPr>
      <w:r>
        <w:rPr>
          <w:b/>
          <w:bCs/>
        </w:rPr>
        <w:t xml:space="preserve">Table 3. Cross-region transfer on the original study areas and on the distance collars.</w:t>
      </w:r>
      <w:r>
        <w:t xml:space="preserve"> </w:t>
      </w:r>
      <w:r>
        <w:t xml:space="preserve">Twenty</w:t>
      </w:r>
      <w:r>
        <w:t xml:space="preserve"> </w:t>
      </w:r>
      <w:r>
        <w:t xml:space="preserve">ordered directions, primary population, thermal feature set unless stated. The below-chance count is</w:t>
      </w:r>
      <w:r>
        <w:t xml:space="preserve"> </w:t>
      </w:r>
      <w:r>
        <w:t xml:space="preserve">a point count.</w:t>
      </w:r>
      <w:r>
        <w:t xml:space="preserve"> </w:t>
      </w:r>
      <w:r>
        <w:t xml:space="preserve">“Supported above / below”</w:t>
      </w:r>
      <w:r>
        <w:t xml:space="preserve"> </w:t>
      </w:r>
      <w:r>
        <w:t xml:space="preserve">counts directions whose interval excludes 0.5, from a 10-cell</w:t>
      </w:r>
      <w:r>
        <w:t xml:space="preserve"> </w:t>
      </w:r>
      <w:r>
        <w:t xml:space="preserve">(about 5 km) target-block bootstrap. Δ is the paired thermal-minus-baseline difference with a</w:t>
      </w:r>
      <w:r>
        <w:t xml:space="preserve"> </w:t>
      </w:r>
      <w:r>
        <w:t xml:space="preserve">pair-cluster bootstrap interval, 1000 replicates. W − T is the within-region thermal gain minus the</w:t>
      </w:r>
      <w:r>
        <w:t xml:space="preserve"> </w:t>
      </w:r>
      <w:r>
        <w:t xml:space="preserve">transfer gain, averaged by target region, with a Student</w:t>
      </w:r>
      <w:r>
        <w:t xml:space="preserve"> </w:t>
      </w:r>
      <w:r>
        <w:rPr>
          <w:i/>
          <w:iCs/>
        </w:rPr>
        <w:t xml:space="preserve">t</w:t>
      </w:r>
      <w:r>
        <w:t xml:space="preserve"> </w:t>
      </w:r>
      <w:r>
        <w:t xml:space="preserve">interval over the five targets.</w:t>
      </w:r>
    </w:p>
    <w:tbl>
      <w:tblPr>
        <w:tblStyle w:val="Table"/>
        <w:tblW w:type="auto" w:w="0"/>
        <w:tblLook w:firstRow="1" w:lastRow="0" w:firstColumn="0" w:lastColumn="0" w:noHBand="0" w:noVBand="0" w:val="0020"/>
      </w:tblPr>
      <w:tblGrid>
        <w:gridCol w:w="1575"/>
        <w:gridCol w:w="1008"/>
        <w:gridCol w:w="1071"/>
        <w:gridCol w:w="1449"/>
        <w:gridCol w:w="1071"/>
        <w:gridCol w:w="1449"/>
        <w:gridCol w:w="1449"/>
      </w:tblGrid>
      <w:tr>
        <w:trPr>
          <w:tblHeader w:val="on"/>
          <w:cantSplit/>
        </w:trPr>
        <w:tc>
          <w:tcPr>
            <w:tcW w:type="dxa" w:w="1575"/>
          </w:tcPr>
          <w:p>
            <w:pPr>
              <w:pStyle w:val="Compact"/>
              <w:spacing w:line="240" w:lineRule="auto" w:after="20"/>
            </w:pPr>
            <w:r>
              <w:rPr>
                <w:sz w:val="20"/>
              </w:rPr>
              <w:t xml:space="preserve">Frame (source and target)</w:t>
            </w:r>
          </w:p>
        </w:tc>
        <w:tc>
          <w:tcPr>
            <w:tcW w:type="dxa" w:w="1008"/>
          </w:tcPr>
          <w:p>
            <w:pPr>
              <w:pStyle w:val="Compact"/>
              <w:spacing w:line="240" w:lineRule="auto" w:after="20"/>
              <w:jc w:val="right"/>
            </w:pPr>
            <w:r>
              <w:rPr>
                <w:sz w:val="20"/>
              </w:rPr>
              <w:t xml:space="preserve">Mean thermal AUC</w:t>
            </w:r>
          </w:p>
        </w:tc>
        <w:tc>
          <w:tcPr>
            <w:tcW w:type="dxa" w:w="1071"/>
          </w:tcPr>
          <w:p>
            <w:pPr>
              <w:pStyle w:val="Compact"/>
              <w:spacing w:line="240" w:lineRule="auto" w:after="20"/>
              <w:jc w:val="right"/>
            </w:pPr>
            <w:r>
              <w:rPr>
                <w:sz w:val="20"/>
              </w:rPr>
              <w:t xml:space="preserve">Mean baseline AUC</w:t>
            </w:r>
          </w:p>
        </w:tc>
        <w:tc>
          <w:tcPr>
            <w:tcW w:type="dxa" w:w="1449"/>
          </w:tcPr>
          <w:p>
            <w:pPr>
              <w:pStyle w:val="Compact"/>
              <w:spacing w:line="240" w:lineRule="auto" w:after="20"/>
            </w:pPr>
            <w:r>
              <w:rPr>
                <w:sz w:val="20"/>
              </w:rPr>
              <w:t xml:space="preserve">Δ [95 % CI]</w:t>
            </w:r>
          </w:p>
        </w:tc>
        <w:tc>
          <w:tcPr>
            <w:tcW w:type="dxa" w:w="1071"/>
          </w:tcPr>
          <w:p>
            <w:pPr>
              <w:pStyle w:val="Compact"/>
              <w:spacing w:line="240" w:lineRule="auto" w:after="20"/>
              <w:jc w:val="right"/>
            </w:pPr>
            <w:r>
              <w:rPr>
                <w:sz w:val="20"/>
              </w:rPr>
              <w:t xml:space="preserve">Below 0.5 (point)</w:t>
            </w:r>
          </w:p>
        </w:tc>
        <w:tc>
          <w:tcPr>
            <w:tcW w:type="dxa" w:w="1449"/>
          </w:tcPr>
          <w:p>
            <w:pPr>
              <w:pStyle w:val="Compact"/>
              <w:spacing w:line="240" w:lineRule="auto" w:after="20"/>
            </w:pPr>
            <w:r>
              <w:rPr>
                <w:sz w:val="20"/>
              </w:rPr>
              <w:t xml:space="preserve">Supported above / below</w:t>
            </w:r>
          </w:p>
        </w:tc>
        <w:tc>
          <w:tcPr>
            <w:tcW w:type="dxa" w:w="1449"/>
          </w:tcPr>
          <w:p>
            <w:pPr>
              <w:pStyle w:val="Compact"/>
              <w:spacing w:line="240" w:lineRule="auto" w:after="20"/>
            </w:pPr>
            <w:r>
              <w:rPr>
                <w:sz w:val="20"/>
              </w:rPr>
              <w:t xml:space="preserve">W − T [95 % CI]</w:t>
            </w:r>
          </w:p>
        </w:tc>
      </w:tr>
      <w:tr>
        <w:trPr>
          <w:cantSplit/>
        </w:trPr>
        <w:tc>
          <w:tcPr>
            <w:tcW w:type="dxa" w:w="1575"/>
          </w:tcPr>
          <w:p>
            <w:pPr>
              <w:pStyle w:val="Compact"/>
              <w:spacing w:line="240" w:lineRule="auto" w:after="20"/>
            </w:pPr>
            <w:r>
              <w:rPr>
                <w:sz w:val="20"/>
              </w:rPr>
              <w:t xml:space="preserve">As drawn</w:t>
            </w:r>
          </w:p>
        </w:tc>
        <w:tc>
          <w:tcPr>
            <w:tcW w:type="dxa" w:w="1008"/>
          </w:tcPr>
          <w:p>
            <w:pPr>
              <w:pStyle w:val="Compact"/>
              <w:spacing w:line="240" w:lineRule="auto" w:after="20"/>
              <w:jc w:val="right"/>
            </w:pPr>
            <w:r>
              <w:rPr>
                <w:sz w:val="20"/>
              </w:rPr>
              <w:t xml:space="preserve">0.527</w:t>
            </w:r>
          </w:p>
        </w:tc>
        <w:tc>
          <w:tcPr>
            <w:tcW w:type="dxa" w:w="1071"/>
          </w:tcPr>
          <w:p>
            <w:pPr>
              <w:pStyle w:val="Compact"/>
              <w:spacing w:line="240" w:lineRule="auto" w:after="20"/>
              <w:jc w:val="right"/>
            </w:pPr>
            <w:r>
              <w:rPr>
                <w:sz w:val="20"/>
              </w:rPr>
              <w:t xml:space="preserve">0.519</w:t>
            </w:r>
          </w:p>
        </w:tc>
        <w:tc>
          <w:tcPr>
            <w:tcW w:type="dxa" w:w="1449"/>
          </w:tcPr>
          <w:p>
            <w:pPr>
              <w:pStyle w:val="Compact"/>
              <w:spacing w:line="240" w:lineRule="auto" w:after="20"/>
            </w:pPr>
            <w:r>
              <w:rPr>
                <w:sz w:val="20"/>
              </w:rPr>
              <w:t xml:space="preserve">+0.007 [−0.020, +0.038]</w:t>
            </w:r>
          </w:p>
        </w:tc>
        <w:tc>
          <w:tcPr>
            <w:tcW w:type="dxa" w:w="1071"/>
          </w:tcPr>
          <w:p>
            <w:pPr>
              <w:pStyle w:val="Compact"/>
              <w:spacing w:line="240" w:lineRule="auto" w:after="20"/>
              <w:jc w:val="right"/>
            </w:pPr>
            <w:r>
              <w:rPr>
                <w:sz w:val="20"/>
              </w:rPr>
              <w:t xml:space="preserve">7</w:t>
            </w:r>
          </w:p>
        </w:tc>
        <w:tc>
          <w:tcPr>
            <w:tcW w:type="dxa" w:w="1449"/>
          </w:tcPr>
          <w:p>
            <w:pPr>
              <w:pStyle w:val="Compact"/>
              <w:spacing w:line="240" w:lineRule="auto" w:after="20"/>
            </w:pPr>
            <w:r>
              <w:rPr>
                <w:sz w:val="20"/>
              </w:rPr>
              <w:t xml:space="preserve">9 / 6</w:t>
            </w:r>
          </w:p>
        </w:tc>
        <w:tc>
          <w:tcPr>
            <w:tcW w:type="dxa" w:w="1449"/>
          </w:tcPr>
          <w:p>
            <w:pPr>
              <w:pStyle w:val="Compact"/>
              <w:spacing w:line="240" w:lineRule="auto" w:after="20"/>
            </w:pPr>
            <w:r>
              <w:rPr>
                <w:sz w:val="20"/>
              </w:rPr>
              <w:t xml:space="preserve">+0.079 [+0.014, +0.145]</w:t>
            </w:r>
          </w:p>
        </w:tc>
      </w:tr>
      <w:tr>
        <w:trPr>
          <w:cantSplit/>
        </w:trPr>
        <w:tc>
          <w:tcPr>
            <w:tcW w:type="dxa" w:w="1575"/>
          </w:tcPr>
          <w:p>
            <w:pPr>
              <w:pStyle w:val="Compact"/>
              <w:spacing w:line="240" w:lineRule="auto" w:after="20"/>
            </w:pPr>
            <w:r>
              <w:rPr>
                <w:sz w:val="20"/>
              </w:rPr>
              <w:t xml:space="preserve">10 km collar</w:t>
            </w:r>
          </w:p>
        </w:tc>
        <w:tc>
          <w:tcPr>
            <w:tcW w:type="dxa" w:w="1008"/>
          </w:tcPr>
          <w:p>
            <w:pPr>
              <w:pStyle w:val="Compact"/>
              <w:spacing w:line="240" w:lineRule="auto" w:after="20"/>
              <w:jc w:val="right"/>
            </w:pPr>
            <w:r>
              <w:rPr>
                <w:sz w:val="20"/>
              </w:rPr>
              <w:t xml:space="preserve">0.589</w:t>
            </w:r>
          </w:p>
        </w:tc>
        <w:tc>
          <w:tcPr>
            <w:tcW w:type="dxa" w:w="1071"/>
          </w:tcPr>
          <w:p>
            <w:pPr>
              <w:pStyle w:val="Compact"/>
              <w:spacing w:line="240" w:lineRule="auto" w:after="20"/>
              <w:jc w:val="right"/>
            </w:pPr>
            <w:r>
              <w:rPr>
                <w:sz w:val="20"/>
              </w:rPr>
              <w:t xml:space="preserve">0.565</w:t>
            </w:r>
          </w:p>
        </w:tc>
        <w:tc>
          <w:tcPr>
            <w:tcW w:type="dxa" w:w="1449"/>
          </w:tcPr>
          <w:p>
            <w:pPr>
              <w:pStyle w:val="Compact"/>
              <w:spacing w:line="240" w:lineRule="auto" w:after="20"/>
            </w:pPr>
            <w:r>
              <w:rPr>
                <w:sz w:val="20"/>
              </w:rPr>
              <w:t xml:space="preserve">+0.024 [−0.004, +0.049]</w:t>
            </w:r>
          </w:p>
        </w:tc>
        <w:tc>
          <w:tcPr>
            <w:tcW w:type="dxa" w:w="1071"/>
          </w:tcPr>
          <w:p>
            <w:pPr>
              <w:pStyle w:val="Compact"/>
              <w:spacing w:line="240" w:lineRule="auto" w:after="20"/>
              <w:jc w:val="right"/>
            </w:pPr>
            <w:r>
              <w:rPr>
                <w:sz w:val="20"/>
              </w:rPr>
              <w:t xml:space="preserve">5</w:t>
            </w:r>
          </w:p>
        </w:tc>
        <w:tc>
          <w:tcPr>
            <w:tcW w:type="dxa" w:w="1449"/>
          </w:tcPr>
          <w:p>
            <w:pPr>
              <w:pStyle w:val="Compact"/>
              <w:spacing w:line="240" w:lineRule="auto" w:after="20"/>
            </w:pPr>
            <w:r>
              <w:rPr>
                <w:sz w:val="20"/>
              </w:rPr>
              <w:t xml:space="preserve">13 / 2</w:t>
            </w:r>
          </w:p>
        </w:tc>
        <w:tc>
          <w:tcPr>
            <w:tcW w:type="dxa" w:w="1449"/>
          </w:tcPr>
          <w:p>
            <w:pPr>
              <w:pStyle w:val="Compact"/>
              <w:spacing w:line="240" w:lineRule="auto" w:after="20"/>
            </w:pPr>
            <w:r>
              <w:rPr>
                <w:sz w:val="20"/>
              </w:rPr>
              <w:t xml:space="preserve">+0.059 [+0.007, +0.110]</w:t>
            </w:r>
          </w:p>
        </w:tc>
      </w:tr>
      <w:tr>
        <w:trPr>
          <w:cantSplit/>
        </w:trPr>
        <w:tc>
          <w:tcPr>
            <w:tcW w:type="dxa" w:w="1575"/>
          </w:tcPr>
          <w:p>
            <w:pPr>
              <w:pStyle w:val="Compact"/>
              <w:spacing w:line="240" w:lineRule="auto" w:after="20"/>
            </w:pPr>
            <w:r>
              <w:rPr>
                <w:sz w:val="20"/>
              </w:rPr>
              <w:t xml:space="preserve">5 km collar</w:t>
            </w:r>
          </w:p>
        </w:tc>
        <w:tc>
          <w:tcPr>
            <w:tcW w:type="dxa" w:w="1008"/>
          </w:tcPr>
          <w:p>
            <w:pPr>
              <w:pStyle w:val="Compact"/>
              <w:spacing w:line="240" w:lineRule="auto" w:after="20"/>
              <w:jc w:val="right"/>
            </w:pPr>
            <w:r>
              <w:rPr>
                <w:sz w:val="20"/>
              </w:rPr>
              <w:t xml:space="preserve">0.591</w:t>
            </w:r>
          </w:p>
        </w:tc>
        <w:tc>
          <w:tcPr>
            <w:tcW w:type="dxa" w:w="1071"/>
          </w:tcPr>
          <w:p>
            <w:pPr>
              <w:pStyle w:val="Compact"/>
              <w:spacing w:line="240" w:lineRule="auto" w:after="20"/>
              <w:jc w:val="right"/>
            </w:pPr>
            <w:r>
              <w:rPr>
                <w:sz w:val="20"/>
              </w:rPr>
              <w:t xml:space="preserve">0.574</w:t>
            </w:r>
          </w:p>
        </w:tc>
        <w:tc>
          <w:tcPr>
            <w:tcW w:type="dxa" w:w="1449"/>
          </w:tcPr>
          <w:p>
            <w:pPr>
              <w:pStyle w:val="Compact"/>
              <w:spacing w:line="240" w:lineRule="auto" w:after="20"/>
            </w:pPr>
            <w:r>
              <w:rPr>
                <w:sz w:val="20"/>
              </w:rPr>
              <w:t xml:space="preserve">+0.017 [−0.004, +0.036]</w:t>
            </w:r>
          </w:p>
        </w:tc>
        <w:tc>
          <w:tcPr>
            <w:tcW w:type="dxa" w:w="1071"/>
          </w:tcPr>
          <w:p>
            <w:pPr>
              <w:pStyle w:val="Compact"/>
              <w:spacing w:line="240" w:lineRule="auto" w:after="20"/>
              <w:jc w:val="right"/>
            </w:pPr>
            <w:r>
              <w:rPr>
                <w:sz w:val="20"/>
              </w:rPr>
              <w:t xml:space="preserve">4</w:t>
            </w:r>
          </w:p>
        </w:tc>
        <w:tc>
          <w:tcPr>
            <w:tcW w:type="dxa" w:w="1449"/>
          </w:tcPr>
          <w:p>
            <w:pPr>
              <w:pStyle w:val="Compact"/>
              <w:spacing w:line="240" w:lineRule="auto" w:after="20"/>
            </w:pPr>
            <w:r>
              <w:rPr>
                <w:sz w:val="20"/>
              </w:rPr>
              <w:t xml:space="preserve">11 / 0</w:t>
            </w:r>
          </w:p>
        </w:tc>
        <w:tc>
          <w:tcPr>
            <w:tcW w:type="dxa" w:w="1449"/>
          </w:tcPr>
          <w:p>
            <w:pPr>
              <w:pStyle w:val="Compact"/>
              <w:spacing w:line="240" w:lineRule="auto" w:after="20"/>
            </w:pPr>
            <w:r>
              <w:rPr>
                <w:sz w:val="20"/>
              </w:rPr>
              <w:t xml:space="preserve">+0.026 [−0.012, +0.063]</w:t>
            </w:r>
          </w:p>
        </w:tc>
      </w:tr>
    </w:tbl>
    <w:p>
      <w:pPr>
        <w:pStyle w:val="BodyText"/>
      </w:pPr>
      <w:r>
        <w:rPr>
          <w:b/>
          <w:bCs/>
        </w:rPr>
        <w:t xml:space="preserve">The thermal gain in transfer is small on every frame.</w:t>
      </w:r>
      <w:r>
        <w:t xml:space="preserve"> </w:t>
      </w:r>
      <w:r>
        <w:t xml:space="preserve">On the 10 km collar its interval includes</w:t>
      </w:r>
      <w:r>
        <w:t xml:space="preserve"> </w:t>
      </w:r>
      <w:r>
        <w:t xml:space="preserve">zero under the primary resampling unit. Of the five other units that can be computed, two exclude</w:t>
      </w:r>
      <w:r>
        <w:t xml:space="preserve"> </w:t>
      </w:r>
      <w:r>
        <w:t xml:space="preserve">zero: clustering by target region and clustering by source region (Section S1.22). In an exploratory equivalence test with a margin of ±0.05, set after the results, the gain on the</w:t>
      </w:r>
      <w:r>
        <w:t xml:space="preserve"> </w:t>
      </w:r>
      <w:r>
        <w:t xml:space="preserve">original study areas was within the margin under all six units that can be computed, and the collar</w:t>
      </w:r>
      <w:r>
        <w:t xml:space="preserve"> </w:t>
      </w:r>
      <w:r>
        <w:t xml:space="preserve">gain under four of six. It was not within the margin under the pigeonhole bootstrap or the region</w:t>
      </w:r>
      <w:r>
        <w:t xml:space="preserve"> </w:t>
      </w:r>
      <w:r>
        <w:t xml:space="preserve">jackknife, whose 90 % upper bounds are 0.052 and 0.055. The difference between the within-region and</w:t>
      </w:r>
      <w:r>
        <w:t xml:space="preserve"> </w:t>
      </w:r>
      <w:r>
        <w:t xml:space="preserve">transfer gains (W − T) is positive on the original areas and on the 10 km collar, but not on the 5 km</w:t>
      </w:r>
      <w:r>
        <w:t xml:space="preserve"> </w:t>
      </w:r>
      <w:r>
        <w:t xml:space="preserve">collar (Table 3).</w:t>
      </w:r>
    </w:p>
    <w:p>
      <w:pPr>
        <w:pStyle w:val="BodyText"/>
      </w:pPr>
      <w:r>
        <w:rPr>
          <w:b/>
          <w:bCs/>
        </w:rPr>
        <w:t xml:space="preserve">Associations on the collar.</w:t>
      </w:r>
      <w:r>
        <w:t xml:space="preserve"> </w:t>
      </w:r>
      <w:r>
        <w:t xml:space="preserve">On the collar, four regions agree in sign on elevation, LST and TVDI,</w:t>
      </w:r>
      <w:r>
        <w:t xml:space="preserve"> </w:t>
      </w:r>
      <w:r>
        <w:t xml:space="preserve">and Manavgat is on the other side of 0.5 on all three. Its elevation association is 0.376 [0.300,</w:t>
      </w:r>
      <w:r>
        <w:t xml:space="preserve"> </w:t>
      </w:r>
      <w:r>
        <w:t xml:space="preserve">0.465], against 0.606 [0.525, 0.685] in Muğla and 0.648 [0.550, 0.740] in Evia (Bejís and Montiferru</w:t>
      </w:r>
      <w:r>
        <w:t xml:space="preserve"> </w:t>
      </w:r>
      <w:r>
        <w:t xml:space="preserve">in Table S14). Under the per-comparison criterion of Section 3.10,</w:t>
      </w:r>
      <w:r>
        <w:t xml:space="preserve"> </w:t>
      </w:r>
      <w:r>
        <w:rPr>
          <w:b/>
          <w:bCs/>
        </w:rPr>
        <w:t xml:space="preserve">two reversals remain on the</w:t>
      </w:r>
      <w:r>
        <w:rPr>
          <w:b/>
          <w:bCs/>
        </w:rPr>
        <w:t xml:space="preserve"> </w:t>
      </w:r>
      <w:r>
        <w:rPr>
          <w:b/>
          <w:bCs/>
        </w:rPr>
        <w:t xml:space="preserve">collar. Both are on elevation, and both involve Manavgat.</w:t>
      </w:r>
      <w:r>
        <w:t xml:space="preserve"> </w:t>
      </w:r>
      <w:r>
        <w:t xml:space="preserve">Neither survives a Holm correction over</w:t>
      </w:r>
      <w:r>
        <w:t xml:space="preserve"> </w:t>
      </w:r>
      <w:r>
        <w:t xml:space="preserve">the ninety feature-by-pair comparisons (adjusted</w:t>
      </w:r>
      <w:r>
        <w:t xml:space="preserve"> </w:t>
      </w:r>
      <w:r>
        <w:rPr>
          <w:i/>
          <w:iCs/>
        </w:rPr>
        <w:t xml:space="preserve">p</w:t>
      </w:r>
      <w:r>
        <w:t xml:space="preserve"> </w:t>
      </w:r>
      <w:r>
        <w:t xml:space="preserve">= 0.33 and 0.79; Section S1.19). All other</w:t>
      </w:r>
      <w:r>
        <w:t xml:space="preserve"> </w:t>
      </w:r>
      <w:r>
        <w:t xml:space="preserve">supported elevation reversals disappear on the collar.</w:t>
      </w:r>
    </w:p>
    <w:p>
      <w:pPr>
        <w:pStyle w:val="BodyText"/>
      </w:pPr>
      <w:r>
        <w:rPr>
          <w:b/>
          <w:bCs/>
        </w:rPr>
        <w:t xml:space="preserve">Hotter surfaces burned less at the point estimates.</w:t>
      </w:r>
      <w:r>
        <w:t xml:space="preserve"> </w:t>
      </w:r>
      <w:r>
        <w:t xml:space="preserve">In four of five regions, a hotter pre-fire</w:t>
      </w:r>
      <w:r>
        <w:t xml:space="preserve"> </w:t>
      </w:r>
      <w:r>
        <w:t xml:space="preserve">surface was associated with</w:t>
      </w:r>
      <w:r>
        <w:t xml:space="preserve"> </w:t>
      </w:r>
      <w:r>
        <w:rPr>
          <w:i/>
          <w:iCs/>
        </w:rPr>
        <w:t xml:space="preserve">less</w:t>
      </w:r>
      <w:r>
        <w:t xml:space="preserve"> </w:t>
      </w:r>
      <w:r>
        <w:t xml:space="preserve">burning, which is the opposite of what the dryness idea predicts.</w:t>
      </w:r>
      <w:r>
        <w:t xml:space="preserve"> </w:t>
      </w:r>
      <w:r>
        <w:t xml:space="preserve">In Manavgat the burned cells are hotter (current LST 0.665 on the original area), but they are also</w:t>
      </w:r>
      <w:r>
        <w:t xml:space="preserve"> </w:t>
      </w:r>
      <w:r>
        <w:t xml:space="preserve">low-lying. When elevation is held constant through deciles, the Manavgat LST association falls to 0.403</w:t>
      </w:r>
      <w:r>
        <w:t xml:space="preserve"> </w:t>
      </w:r>
      <w:r>
        <w:t xml:space="preserve">[0.343, 0.464] on the collar, and after the linear effect of elevation is removed it is 0.409 [0.350,</w:t>
      </w:r>
      <w:r>
        <w:t xml:space="preserve"> </w:t>
      </w:r>
      <w:r>
        <w:t xml:space="preserve">0.475]. On the original area the same values are 0.455 and 0.446, with intervals that include 0.5</w:t>
      </w:r>
      <w:r>
        <w:t xml:space="preserve"> </w:t>
      </w:r>
      <w:r>
        <w:t xml:space="preserve">(Sections S1.11 and S1.23). These results</w:t>
      </w:r>
      <w:r>
        <w:t xml:space="preserve"> </w:t>
      </w:r>
      <w:r>
        <w:t xml:space="preserve">indicate that the absolute thermal channels behaved here mainly as land-surface descriptors rather</w:t>
      </w:r>
      <w:r>
        <w:t xml:space="preserve"> </w:t>
      </w:r>
      <w:r>
        <w:t xml:space="preserve">than as a dryness index.</w:t>
      </w:r>
    </w:p>
    <w:p>
      <w:pPr>
        <w:pStyle w:val="BodyText"/>
      </w:pPr>
      <w:r>
        <w:rPr>
          <w:b/>
          <w:bCs/>
        </w:rPr>
        <w:t xml:space="preserve">Similarity measures on the collar.</w:t>
      </w:r>
      <w:r>
        <w:t xml:space="preserve"> </w:t>
      </w:r>
      <w:r>
        <w:t xml:space="preserve">Two similarity measures are built from these signed</w:t>
      </w:r>
      <w:r>
        <w:t xml:space="preserve"> </w:t>
      </w:r>
      <w:r>
        <w:t xml:space="preserve">associations. The sign-agreement fraction did not predict transfer on the original areas (ρ = +0.52</w:t>
      </w:r>
      <w:r>
        <w:t xml:space="preserve"> </w:t>
      </w:r>
      <w:r>
        <w:t xml:space="preserve">[−0.27, +0.87]) or on the collar (ρ = +0.38). Its cosine version predicted collar transfer at</w:t>
      </w:r>
      <w:r>
        <w:t xml:space="preserve"> </w:t>
      </w:r>
      <w:r>
        <w:t xml:space="preserve">ρ = +0.57 [+0.05, +0.88]. However, this is one of about forty uncorrected tests, on a frame defined by</w:t>
      </w:r>
      <w:r>
        <w:t xml:space="preserve"> </w:t>
      </w:r>
      <w:r>
        <w:t xml:space="preserve">the labels, so it is reported but not used (Section S1.19).</w:t>
      </w:r>
    </w:p>
    <w:p>
      <w:pPr>
        <w:pStyle w:val="BodyText"/>
      </w:pPr>
      <w:r>
        <w:rPr>
          <w:b/>
          <w:bCs/>
        </w:rPr>
        <w:t xml:space="preserve">Two further results depend on the frame.</w:t>
      </w:r>
      <w:r>
        <w:t xml:space="preserve"> </w:t>
      </w:r>
      <w:r>
        <w:t xml:space="preserve">In the Muğla two-fire comparison, 93.2 % of the 2022</w:t>
      </w:r>
      <w:r>
        <w:t xml:space="preserve"> </w:t>
      </w:r>
      <w:r>
        <w:t xml:space="preserve">cells lie more than 10 km from a burned cell, against 55.3 % in 2021, and on the collar the Muğla</w:t>
      </w:r>
      <w:r>
        <w:t xml:space="preserve"> </w:t>
      </w:r>
      <w:r>
        <w:t xml:space="preserve">elevation reversal disappears (Section S1.13). By contrast, the within-region gain stays positive in</w:t>
      </w:r>
      <w:r>
        <w:t xml:space="preserve"> </w:t>
      </w:r>
      <w:r>
        <w:t xml:space="preserve">all five regions on the collar, with a mean of +0.083 against +0.087 on the original areas.</w:t>
      </w:r>
    </w:p>
    <w:p>
      <w:pPr>
        <w:pStyle w:val="BodyText"/>
      </w:pPr>
      <w:r>
        <w:rPr>
          <w:b/>
          <w:bCs/>
        </w:rPr>
        <w:t xml:space="preserve">The transfer shortfall remains on matched frames.</w:t>
      </w:r>
      <w:r>
        <w:t xml:space="preserve"> </w:t>
      </w:r>
      <w:r>
        <w:t xml:space="preserve">A fair comparison needs the same frame and the</w:t>
      </w:r>
      <w:r>
        <w:t xml:space="preserve"> </w:t>
      </w:r>
      <w:r>
        <w:t xml:space="preserve">same blocking. On the 10 km collar at 5 km blocking, the within-region reference is 0.786, and</w:t>
      </w:r>
      <w:r>
        <w:t xml:space="preserve"> </w:t>
      </w:r>
      <w:r>
        <w:t xml:space="preserve">transfer is</w:t>
      </w:r>
      <w:r>
        <w:t xml:space="preserve"> </w:t>
      </w:r>
      <w:r>
        <w:rPr>
          <w:b/>
          <w:bCs/>
        </w:rPr>
        <w:t xml:space="preserve">+0.197 [+0.091, +0.303]</w:t>
      </w:r>
      <w:r>
        <w:t xml:space="preserve"> </w:t>
      </w:r>
      <w:r>
        <w:t xml:space="preserve">below it (Student</w:t>
      </w:r>
      <w:r>
        <w:t xml:space="preserve"> </w:t>
      </w:r>
      <w:r>
        <w:rPr>
          <w:i/>
          <w:iCs/>
        </w:rPr>
        <w:t xml:space="preserve">t</w:t>
      </w:r>
      <w:r>
        <w:t xml:space="preserve"> </w:t>
      </w:r>
      <w:r>
        <w:t xml:space="preserve">over the five targets). Manavgat has the</w:t>
      </w:r>
      <w:r>
        <w:t xml:space="preserve"> </w:t>
      </w:r>
      <w:r>
        <w:t xml:space="preserve">largest shortfall (+0.319).</w:t>
      </w:r>
    </w:p>
    <w:bookmarkEnd w:id="45"/>
    <w:bookmarkStart w:id="46" w:name="Xc7d931bc3eeaa873b188fd34ba113dd66de31ac"/>
    <w:p>
      <w:pPr>
        <w:pStyle w:val="Heading2"/>
      </w:pPr>
      <w:r>
        <w:t xml:space="preserve">4.5 Cross-region transfer on the original study areas</w:t>
      </w:r>
    </w:p>
    <w:p>
      <w:pPr>
        <w:pStyle w:val="FirstParagraph"/>
      </w:pPr>
      <w:r>
        <w:t xml:space="preserve">The results in this section use the original study areas and should be read together with Section</w:t>
      </w:r>
      <w:r>
        <w:t xml:space="preserve"> </w:t>
      </w:r>
      <w:r>
        <w:t xml:space="preserve">4.4. Values for each direction are given in Table S16.</w:t>
      </w:r>
    </w:p>
    <w:p>
      <w:pPr>
        <w:pStyle w:val="BodyText"/>
      </w:pPr>
      <w:r>
        <w:rPr>
          <w:b/>
          <w:bCs/>
        </w:rPr>
        <w:t xml:space="preserve">Transfer varied widely, and some directions were below chance.</w:t>
      </w:r>
      <w:r>
        <w:t xml:space="preserve"> </w:t>
      </w:r>
      <w:r>
        <w:t xml:space="preserve">Target AUC ranged from 0.314 to</w:t>
      </w:r>
      <w:r>
        <w:t xml:space="preserve"> </w:t>
      </w:r>
      <w:r>
        <w:t xml:space="preserve">0.677 (Fig. 4). At 5 km blocking, nine of twenty directions were above chance with interval support,</w:t>
      </w:r>
      <w:r>
        <w:t xml:space="preserve"> </w:t>
      </w:r>
      <w:r>
        <w:t xml:space="preserve">six were below and five were uncertain; at 1 km blocking the intervals are narrower (Section S1.20).</w:t>
      </w:r>
      <w:r>
        <w:t xml:space="preserve"> </w:t>
      </w:r>
      <w:r>
        <w:t xml:space="preserve">Two below-chance directions keep interval support on the collar: Manavgat to Bejís and Muğla to</w:t>
      </w:r>
      <w:r>
        <w:t xml:space="preserve"> </w:t>
      </w:r>
      <w:r>
        <w:t xml:space="preserve">Manavgat. Manavgat was the weakest target, with a mean of 0.435 against 0.494 to 0.572 for the other</w:t>
      </w:r>
      <w:r>
        <w:t xml:space="preserve"> </w:t>
      </w:r>
      <w:r>
        <w:t xml:space="preserve">targets. Without the eight directions that involve Manavgat, mean transfer was 0.566, which is still</w:t>
      </w:r>
      <w:r>
        <w:t xml:space="preserve"> </w:t>
      </w:r>
      <w:r>
        <w:t xml:space="preserve">far below within-region skill (Section S1.23).</w:t>
      </w:r>
    </w:p>
    <w:p>
      <w:pPr>
        <w:pStyle w:val="BodyText"/>
      </w:pPr>
      <w:r>
        <w:rPr>
          <w:b/>
          <w:bCs/>
        </w:rPr>
        <w:t xml:space="preserve">In precision terms, transfer is weaker still.</w:t>
      </w:r>
      <w:r>
        <w:t xml:space="preserve"> </w:t>
      </w:r>
      <w:r>
        <w:t xml:space="preserve">Precision-recall AUC averaged</w:t>
      </w:r>
      <w:r>
        <w:t xml:space="preserve"> </w:t>
      </w:r>
      <w:r>
        <w:rPr>
          <w:b/>
          <w:bCs/>
        </w:rPr>
        <w:t xml:space="preserve">0.181, against a</w:t>
      </w:r>
      <w:r>
        <w:rPr>
          <w:b/>
          <w:bCs/>
        </w:rPr>
        <w:t xml:space="preserve"> </w:t>
      </w:r>
      <w:r>
        <w:rPr>
          <w:b/>
          <w:bCs/>
        </w:rPr>
        <w:t xml:space="preserve">no-skill baseline of 0.157</w:t>
      </w:r>
      <w:r>
        <w:t xml:space="preserve">; the baseline of each target is its burned prevalence, which ranges from</w:t>
      </w:r>
      <w:r>
        <w:t xml:space="preserve"> </w:t>
      </w:r>
      <w:r>
        <w:t xml:space="preserve">0.070 to 0.287. The median lift over the baseline was 1.18. Seven of twenty directions were below their own</w:t>
      </w:r>
      <w:r>
        <w:t xml:space="preserve"> </w:t>
      </w:r>
      <w:r>
        <w:t xml:space="preserve">baseline. At 5 km blocking, two of these seven had intervals below the baseline, both into Manavgat (Table</w:t>
      </w:r>
      <w:r>
        <w:t xml:space="preserve"> </w:t>
      </w:r>
      <w:r>
        <w:t xml:space="preserve">S11). In map terms, the 10 % of target cells with the highest scores contained on average 10.3 % of</w:t>
      </w:r>
      <w:r>
        <w:t xml:space="preserve"> </w:t>
      </w:r>
      <w:r>
        <w:t xml:space="preserve">the burned cells, which is what a random ranking gives, and eight of twenty directions did worse.</w:t>
      </w:r>
      <w:r>
        <w:t xml:space="preserve"> </w:t>
      </w:r>
      <w:r>
        <w:t xml:space="preserve">Within regions, the same share was 35.5 % (Section S1.23).</w:t>
      </w:r>
    </w:p>
    <w:p>
      <w:pPr>
        <w:pStyle w:val="BodyText"/>
      </w:pPr>
      <w:r>
        <w:rPr>
          <w:b/>
          <w:bCs/>
        </w:rPr>
        <w:t xml:space="preserve">The static baseline did not transfer either.</w:t>
      </w:r>
      <w:r>
        <w:t xml:space="preserve"> </w:t>
      </w:r>
      <w:r>
        <w:t xml:space="preserve">Its mean was</w:t>
      </w:r>
      <w:r>
        <w:t xml:space="preserve"> </w:t>
      </w:r>
      <w:r>
        <w:rPr>
          <w:b/>
          <w:bCs/>
        </w:rPr>
        <w:t xml:space="preserve">0.519</w:t>
      </w:r>
      <w:r>
        <w:t xml:space="preserve">, against</w:t>
      </w:r>
      <w:r>
        <w:t xml:space="preserve"> </w:t>
      </w:r>
      <w:r>
        <w:rPr>
          <w:b/>
          <w:bCs/>
        </w:rPr>
        <w:t xml:space="preserve">0.527</w:t>
      </w:r>
      <w:r>
        <w:t xml:space="preserve"> </w:t>
      </w:r>
      <w:r>
        <w:t xml:space="preserve">for the</w:t>
      </w:r>
      <w:r>
        <w:t xml:space="preserve"> </w:t>
      </w:r>
      <w:r>
        <w:t xml:space="preserve">thermal model, so the failure is not specific to the thermal predictors.</w:t>
      </w:r>
    </w:p>
    <w:p>
      <w:pPr>
        <w:pStyle w:val="BodyText"/>
      </w:pPr>
      <w:r>
        <w:rPr>
          <w:b/>
          <w:bCs/>
        </w:rPr>
        <w:t xml:space="preserve">The thermal gain varies in sign between pairs.</w:t>
      </w:r>
      <w:r>
        <w:t xml:space="preserve"> </w:t>
      </w:r>
      <w:r>
        <w:t xml:space="preserve">The paired gains ranged from</w:t>
      </w:r>
      <w:r>
        <w:t xml:space="preserve"> </w:t>
      </w:r>
      <w:r>
        <w:rPr>
          <w:b/>
          <w:bCs/>
        </w:rPr>
        <w:t xml:space="preserve">−0.148 to +0.132</w:t>
      </w:r>
      <w:r>
        <w:t xml:space="preserve">,</w:t>
      </w:r>
      <w:r>
        <w:t xml:space="preserve"> </w:t>
      </w:r>
      <w:r>
        <w:t xml:space="preserve">with twelve positive and eight negative, and a mean of +0.007. The directions are not independent,</w:t>
      </w:r>
      <w:r>
        <w:t xml:space="preserve"> </w:t>
      </w:r>
      <w:r>
        <w:t xml:space="preserve">because each region appears in eight of them. Accordingly, all four resampling units that apply to</w:t>
      </w:r>
      <w:r>
        <w:t xml:space="preserve"> </w:t>
      </w:r>
      <w:r>
        <w:t xml:space="preserve">this frame give intervals that include zero, from [−0.018, +0.033] to [−0.028, +0.043] (Section</w:t>
      </w:r>
      <w:r>
        <w:t xml:space="preserve"> </w:t>
      </w:r>
      <w:r>
        <w:t xml:space="preserve">S1.20).</w:t>
      </w:r>
    </w:p>
    <w:p>
      <w:pPr>
        <w:pStyle w:val="BodyText"/>
      </w:pPr>
      <w:r>
        <w:rPr>
          <w:b/>
          <w:bCs/>
        </w:rPr>
        <w:t xml:space="preserve">The two label-free adaptation methods moved transfer toward chance</w:t>
      </w:r>
      <w:r>
        <w:t xml:space="preserve"> </w:t>
      </w:r>
      <w:r>
        <w:t xml:space="preserve">(Fig. 5). Under region-wise</w:t>
      </w:r>
      <w:r>
        <w:t xml:space="preserve"> </w:t>
      </w:r>
      <w:r>
        <w:t xml:space="preserve">z-scoring the twenty directions ranged from 0.302 to 0.630, and under CORAL from 0.406 to 0.624. Under</w:t>
      </w:r>
      <w:r>
        <w:t xml:space="preserve"> </w:t>
      </w:r>
      <w:r>
        <w:t xml:space="preserve">CORAL, sixteen of twenty directions moved closer to chance. This helped the directions that failed</w:t>
      </w:r>
      <w:r>
        <w:t xml:space="preserve"> </w:t>
      </w:r>
      <w:r>
        <w:t xml:space="preserve">and harmed those that worked, so the mean fell from 0.527 to</w:t>
      </w:r>
      <w:r>
        <w:t xml:space="preserve"> </w:t>
      </w:r>
      <w:r>
        <w:rPr>
          <w:b/>
          <w:bCs/>
        </w:rPr>
        <w:t xml:space="preserve">0.517</w:t>
      </w:r>
      <w:r>
        <w:t xml:space="preserve">. Choosing the better method in</w:t>
      </w:r>
      <w:r>
        <w:t xml:space="preserve"> </w:t>
      </w:r>
      <w:r>
        <w:t xml:space="preserve">each direction gave 0.523, but this choice uses target labels. The gap decomposition covers the</w:t>
      </w:r>
      <w:r>
        <w:t xml:space="preserve"> </w:t>
      </w:r>
      <w:r>
        <w:t xml:space="preserve">twelve directions among the four regions of the pipeline’s decomposition run, without Montiferru.</w:t>
      </w:r>
      <w:r>
        <w:t xml:space="preserve"> </w:t>
      </w:r>
      <w:r>
        <w:t xml:space="preserve">There, seven directions showed negative recovery, five of them with intervals below zero (Section</w:t>
      </w:r>
      <w:r>
        <w:t xml:space="preserve"> </w:t>
      </w:r>
      <w:r>
        <w:t xml:space="preserve">S1.10). A movement toward chance is also what any loss of information would produce. Indeed, aligning the</w:t>
      </w:r>
      <w:r>
        <w:t xml:space="preserve"> </w:t>
      </w:r>
      <w:r>
        <w:t xml:space="preserve">source with the covariance of a third, unrelated region moved 15 of 20 directions toward chance as</w:t>
      </w:r>
      <w:r>
        <w:t xml:space="preserve"> </w:t>
      </w:r>
      <w:r>
        <w:t xml:space="preserve">well (mean 0.507). CORAL with a stronger regularisation (λ = 1, mean 0.512) or on two thermal</w:t>
      </w:r>
      <w:r>
        <w:t xml:space="preserve"> </w:t>
      </w:r>
      <w:r>
        <w:t xml:space="preserve">components (0.523) did not help either (Section S1.23). These results therefore do not show that</w:t>
      </w:r>
      <w:r>
        <w:t xml:space="preserve"> </w:t>
      </w:r>
      <w:r>
        <w:t xml:space="preserve">the methods removed a distribution shift.</w:t>
      </w:r>
    </w:p>
    <w:bookmarkEnd w:id="46"/>
    <w:bookmarkStart w:id="47" w:name="further-results"/>
    <w:p>
      <w:pPr>
        <w:pStyle w:val="Heading2"/>
      </w:pPr>
      <w:r>
        <w:t xml:space="preserve">4.6 Further results</w:t>
      </w:r>
    </w:p>
    <w:p>
      <w:pPr>
        <w:pStyle w:val="FirstParagraph"/>
      </w:pPr>
      <w:r>
        <w:rPr>
          <w:b/>
          <w:bCs/>
        </w:rPr>
        <w:t xml:space="preserve">Pooling.</w:t>
      </w:r>
      <w:r>
        <w:t xml:space="preserve"> </w:t>
      </w:r>
      <w:r>
        <w:t xml:space="preserve">A model trained on the other four regions together was better than the mean</w:t>
      </w:r>
      <w:r>
        <w:t xml:space="preserve"> </w:t>
      </w:r>
      <w:r>
        <w:t xml:space="preserve">single-source model for one target of five, Evia (0.715 [0.668, 0.757] against 0.569), and worse</w:t>
      </w:r>
      <w:r>
        <w:t xml:space="preserve"> </w:t>
      </w:r>
      <w:r>
        <w:t xml:space="preserve">for the other four at the point estimates (Fig. 6).</w:t>
      </w:r>
    </w:p>
    <w:p>
      <w:pPr>
        <w:pStyle w:val="BodyText"/>
      </w:pPr>
      <w:r>
        <w:rPr>
          <w:b/>
          <w:bCs/>
        </w:rPr>
        <w:t xml:space="preserve">Feature removal.</w:t>
      </w:r>
      <w:r>
        <w:t xml:space="preserve"> </w:t>
      </w:r>
      <w:r>
        <w:t xml:space="preserve">Removing the two reversing features cost −0.076 AUC within regions and changed</w:t>
      </w:r>
      <w:r>
        <w:t xml:space="preserve"> </w:t>
      </w:r>
      <w:r>
        <w:t xml:space="preserve">transfer by +0.014 [−0.028, +0.056], which includes zero (Fig. 7).</w:t>
      </w:r>
    </w:p>
    <w:p>
      <w:pPr>
        <w:pStyle w:val="BodyText"/>
      </w:pPr>
      <w:r>
        <w:rPr>
          <w:b/>
          <w:bCs/>
        </w:rPr>
        <w:t xml:space="preserve">Target labels.</w:t>
      </w:r>
      <w:r>
        <w:t xml:space="preserve"> </w:t>
      </w:r>
      <w:r>
        <w:t xml:space="preserve">With 32 labelled 5 km blocks from the target, the gap between raw transfer and the</w:t>
      </w:r>
      <w:r>
        <w:t xml:space="preserve"> </w:t>
      </w:r>
      <w:r>
        <w:t xml:space="preserve">target’s own ceiling was closed by 83 to 89 % in three of six directions, and by 30 to 52 % in the</w:t>
      </w:r>
      <w:r>
        <w:t xml:space="preserve"> </w:t>
      </w:r>
      <w:r>
        <w:t xml:space="preserve">other three. However, these blocks are 7 to 20 % of the target population and contain most of its</w:t>
      </w:r>
      <w:r>
        <w:t xml:space="preserve"> </w:t>
      </w:r>
      <w:r>
        <w:t xml:space="preserve">burned cells, for example 880 of 1,100 in Bejís. They also come from the fire that is predicted, so</w:t>
      </w:r>
      <w:r>
        <w:t xml:space="preserve"> </w:t>
      </w:r>
      <w:r>
        <w:t xml:space="preserve">they are not available before that fire (Section S4).</w:t>
      </w:r>
    </w:p>
    <w:p>
      <w:pPr>
        <w:pStyle w:val="BodyText"/>
      </w:pPr>
      <w:r>
        <w:rPr>
          <w:b/>
          <w:bCs/>
        </w:rPr>
        <w:t xml:space="preserve">Similarity measures.</w:t>
      </w:r>
      <w:r>
        <w:t xml:space="preserve"> </w:t>
      </w:r>
      <w:r>
        <w:t xml:space="preserve">Twenty similarity measures were recorded on 8 August 2026 and were not</w:t>
      </w:r>
      <w:r>
        <w:t xml:space="preserve"> </w:t>
      </w:r>
      <w:r>
        <w:t xml:space="preserve">changed after the label correction. On the original study areas, none predicted transfer with an interval that excludes zero (Table</w:t>
      </w:r>
      <w:r>
        <w:t xml:space="preserve"> </w:t>
      </w:r>
      <w:r>
        <w:t xml:space="preserve">S17), and in a permutation test over all 120 orderings of the five regions no measure reached</w:t>
      </w:r>
      <w:r>
        <w:t xml:space="preserve"> </w:t>
      </w:r>
      <w:r>
        <w:t xml:space="preserve">p &lt; 0.10 (Section S1.23). One measure is defined on only six directions and is not interpreted. The contrast pairs illustrate this at the point estimates (Fig. 8). Manavgat and Muğla</w:t>
      </w:r>
      <w:r>
        <w:t xml:space="preserve"> </w:t>
      </w:r>
      <w:r>
        <w:t xml:space="preserve">have the highest niche overlap in the cohort (mean one-dimensional Schoener’s</w:t>
      </w:r>
      <w:r>
        <w:t xml:space="preserve"> </w:t>
      </w:r>
      <w:r>
        <w:rPr>
          <w:i/>
          <w:iCs/>
        </w:rPr>
        <w:t xml:space="preserve">D</w:t>
      </w:r>
      <w:r>
        <w:t xml:space="preserve"> </w:t>
      </w:r>
      <w:r>
        <w:t xml:space="preserve">= 0.80), but</w:t>
      </w:r>
      <w:r>
        <w:t xml:space="preserve"> </w:t>
      </w:r>
      <w:r>
        <w:t xml:space="preserve">transfer was below chance in both directions, at 0.438 and 0.345. Conversely, Bejís and Montiferru</w:t>
      </w:r>
      <w:r>
        <w:t xml:space="preserve"> </w:t>
      </w:r>
      <w:r>
        <w:t xml:space="preserve">have the lowest overlap (</w:t>
      </w:r>
      <w:r>
        <w:rPr>
          <w:i/>
          <w:iCs/>
        </w:rPr>
        <w:t xml:space="preserve">D</w:t>
      </w:r>
      <w:r>
        <w:t xml:space="preserve"> </w:t>
      </w:r>
      <w:r>
        <w:t xml:space="preserve">= 0.48), but transfer was above chance in both directions, at 0.594 and</w:t>
      </w:r>
      <w:r>
        <w:t xml:space="preserve"> </w:t>
      </w:r>
      <w:r>
        <w:t xml:space="preserve">0.548. At 5 km blocking only Muğla to Manavgat keeps interval support (Section S1.16).</w:t>
      </w:r>
    </w:p>
    <w:bookmarkEnd w:id="47"/>
    <w:bookmarkEnd w:id="48"/>
    <w:bookmarkStart w:id="55" w:name="discussion"/>
    <w:p>
      <w:pPr>
        <w:pStyle w:val="Heading1"/>
      </w:pPr>
      <w:r>
        <w:t xml:space="preserve">5 Discussion</w:t>
      </w:r>
    </w:p>
    <w:bookmarkStart w:id="49" w:name="the-three-findings-together"/>
    <w:p>
      <w:pPr>
        <w:pStyle w:val="Heading2"/>
      </w:pPr>
      <w:r>
        <w:t xml:space="preserve">5.1 The three findings together</w:t>
      </w:r>
    </w:p>
    <w:p>
      <w:pPr>
        <w:pStyle w:val="FirstParagraph"/>
      </w:pPr>
      <w:r>
        <w:t xml:space="preserve">The first finding sets the size of the second. When the study areas were made comparable, four</w:t>
      </w:r>
      <w:r>
        <w:t xml:space="preserve"> </w:t>
      </w:r>
      <w:r>
        <w:t xml:space="preserve">between-region results changed (Section 4.4). Two results remained: transfer stayed well below</w:t>
      </w:r>
      <w:r>
        <w:t xml:space="preserve"> </w:t>
      </w:r>
      <w:r>
        <w:t xml:space="preserve">within-region skill, and one reversed relationship remained, the elevation association of Manavgat.</w:t>
      </w:r>
      <w:r>
        <w:t xml:space="preserve"> </w:t>
      </w:r>
      <w:r>
        <w:t xml:space="preserve">This reversal is supported under the per-comparison criterion but not after multiplicity correction.</w:t>
      </w:r>
      <w:r>
        <w:t xml:space="preserve"> </w:t>
      </w:r>
      <w:r>
        <w:t xml:space="preserve">The third finding closes an obvious way around the second. If transfer cannot be assumed, it might</w:t>
      </w:r>
      <w:r>
        <w:t xml:space="preserve"> </w:t>
      </w:r>
      <w:r>
        <w:t xml:space="preserve">still be predicted from the similarity of two regions, but none of the twenty measures did this on</w:t>
      </w:r>
      <w:r>
        <w:t xml:space="preserve"> </w:t>
      </w:r>
      <w:r>
        <w:t xml:space="preserve">the original study areas.</w:t>
      </w:r>
    </w:p>
    <w:bookmarkEnd w:id="49"/>
    <w:bookmarkStart w:id="50" w:name="what-the-within-region-score-measures"/>
    <w:p>
      <w:pPr>
        <w:pStyle w:val="Heading2"/>
      </w:pPr>
      <w:r>
        <w:t xml:space="preserve">5.2 What the within-region score measures</w:t>
      </w:r>
    </w:p>
    <w:p>
      <w:pPr>
        <w:pStyle w:val="FirstParagraph"/>
      </w:pPr>
      <w:r>
        <w:t xml:space="preserve">The thermal gain within regions is robust. It was supported in all five regions under blocked</w:t>
      </w:r>
      <w:r>
        <w:t xml:space="preserve"> </w:t>
      </w:r>
      <w:r>
        <w:t xml:space="preserve">validation, in all sensitivity analyses (Sections S1.1 to S1.8), and when the predictor window was</w:t>
      </w:r>
      <w:r>
        <w:t xml:space="preserve"> </w:t>
      </w:r>
      <w:r>
        <w:t xml:space="preserve">closed up to two weeks earlier (Section S1.4). On the scar frame, however, the same gain fell to</w:t>
      </w:r>
      <w:r>
        <w:t xml:space="preserve"> </w:t>
      </w:r>
      <w:r>
        <w:t xml:space="preserve">+0.021 and was not established, and withholding the scar did not change it. The fall is therefore</w:t>
      </w:r>
      <w:r>
        <w:t xml:space="preserve"> </w:t>
      </w:r>
      <w:r>
        <w:t xml:space="preserve">caused by the cells that are scored, not by the choice of held-out cells.</w:t>
      </w:r>
    </w:p>
    <w:p>
      <w:pPr>
        <w:pStyle w:val="BodyText"/>
      </w:pPr>
      <w:r>
        <w:t xml:space="preserve">The within-region score also describes skill close to the training cells. Inside one region, skill</w:t>
      </w:r>
      <w:r>
        <w:t xml:space="preserve"> </w:t>
      </w:r>
      <w:r>
        <w:t xml:space="preserve">fell from 0.709 within 5 km of the training cells to 0.519 at 10 to 20 km (Section S1.18). The</w:t>
      </w:r>
      <w:r>
        <w:t xml:space="preserve"> </w:t>
      </w:r>
      <w:r>
        <w:t xml:space="preserve">within-region reference therefore measures how well a model fills gaps inside an observed fire</w:t>
      </w:r>
      <w:r>
        <w:t xml:space="preserve"> </w:t>
      </w:r>
      <w:r>
        <w:t xml:space="preserve">season. Part of the transfer shortfall is thus a matter of distance, and a model of this kind is best</w:t>
      </w:r>
      <w:r>
        <w:t xml:space="preserve"> </w:t>
      </w:r>
      <w:r>
        <w:t xml:space="preserve">described as having short-range skill.</w:t>
      </w:r>
    </w:p>
    <w:p>
      <w:pPr>
        <w:pStyle w:val="BodyText"/>
      </w:pPr>
      <w:r>
        <w:t xml:space="preserve">Each region also contributes one fire season, dominated by one large fire. The negative class</w:t>
      </w:r>
      <w:r>
        <w:t xml:space="preserve"> </w:t>
      </w:r>
      <w:r>
        <w:t xml:space="preserve">therefore contains cells that could have burned but were not reached, and ignition, wind and</w:t>
      </w:r>
      <w:r>
        <w:t xml:space="preserve"> </w:t>
      </w:r>
      <w:r>
        <w:t xml:space="preserve">suppression decided much of this. Burned-area patterns have different controls at different scales</w:t>
      </w:r>
      <w:r>
        <w:t xml:space="preserve"> </w:t>
      </w:r>
      <w:r>
        <w:t xml:space="preserve">(Parisien and Moritz 2009)</w:t>
      </w:r>
      <w:r>
        <w:t xml:space="preserve">, and a pre-fire surface predictor can only rank cells by their condition</w:t>
      </w:r>
      <w:r>
        <w:t xml:space="preserve"> </w:t>
      </w:r>
      <w:r>
        <w:t xml:space="preserve">before the fire. The shortfall can therefore not be attributed to the region rather than to the</w:t>
      </w:r>
      <w:r>
        <w:t xml:space="preserve"> </w:t>
      </w:r>
      <w:r>
        <w:t xml:space="preserve">event. The two Muğla fires were included to separate these effects, but this comparison was mainly</w:t>
      </w:r>
      <w:r>
        <w:t xml:space="preserve"> </w:t>
      </w:r>
      <w:r>
        <w:t xml:space="preserve">affected by the study area (Section 4.4). The conclusions are stated for large single-season events.</w:t>
      </w:r>
    </w:p>
    <w:bookmarkEnd w:id="50"/>
    <w:bookmarkStart w:id="51" w:name="the-two-interventions"/>
    <w:p>
      <w:pPr>
        <w:pStyle w:val="Heading2"/>
      </w:pPr>
      <w:r>
        <w:t xml:space="preserve">5.3 The two interventions</w:t>
      </w:r>
    </w:p>
    <w:p>
      <w:pPr>
        <w:pStyle w:val="FirstParagraph"/>
      </w:pPr>
      <w:r>
        <w:t xml:space="preserve">Pooling four source regions was better than the mean single-source model only for Evia, where it</w:t>
      </w:r>
      <w:r>
        <w:t xml:space="preserve"> </w:t>
      </w:r>
      <w:r>
        <w:t xml:space="preserve">reached 0.715 [0.668, 0.757] against 0.569 (Section S1.14). For all five targets it stayed well</w:t>
      </w:r>
      <w:r>
        <w:t xml:space="preserve"> </w:t>
      </w:r>
      <w:r>
        <w:t xml:space="preserve">below the within-region ceiling. Removing the two reversing predictors cost −0.076 of within-region</w:t>
      </w:r>
      <w:r>
        <w:t xml:space="preserve"> </w:t>
      </w:r>
      <w:r>
        <w:t xml:space="preserve">skill, with interval support in every region, and changed mean transfer by +0.014 [−0.028, +0.056].</w:t>
      </w:r>
    </w:p>
    <w:p>
      <w:pPr>
        <w:pStyle w:val="BodyText"/>
      </w:pPr>
      <w:r>
        <w:t xml:space="preserve">These two numbers should not be read as an exchange of local skill for transfer. The thermal</w:t>
      </w:r>
      <w:r>
        <w:t xml:space="preserve"> </w:t>
      </w:r>
      <w:r>
        <w:t xml:space="preserve">contribution to transfer is +0.007, and removal returns +0.014, and both intervals include zero. A</w:t>
      </w:r>
      <w:r>
        <w:t xml:space="preserve"> </w:t>
      </w:r>
      <w:r>
        <w:t xml:space="preserve">local cost is therefore measured, but no gain in transfer.</w:t>
      </w:r>
    </w:p>
    <w:bookmarkEnd w:id="51"/>
    <w:bookmarkStart w:id="52" w:name="what-the-thermal-predictors-measured"/>
    <w:p>
      <w:pPr>
        <w:pStyle w:val="Heading2"/>
      </w:pPr>
      <w:r>
        <w:t xml:space="preserve">5.4 What the thermal predictors measured</w:t>
      </w:r>
    </w:p>
    <w:p>
      <w:pPr>
        <w:pStyle w:val="FirstParagraph"/>
      </w:pPr>
      <w:r>
        <w:t xml:space="preserve">The thermal predictors were chosen as a measure of pre-fire dryness, but they did not behave as one.</w:t>
      </w:r>
      <w:r>
        <w:t xml:space="preserve"> </w:t>
      </w:r>
      <w:r>
        <w:t xml:space="preserve">Hotter surfaces burned less in four of five regions, and in Manavgat once elevation was held</w:t>
      </w:r>
      <w:r>
        <w:t xml:space="preserve"> </w:t>
      </w:r>
      <w:r>
        <w:t xml:space="preserve">(Section 4.4). In summer, land surface temperature is strongly shaped by canopy cover, exposed soil</w:t>
      </w:r>
      <w:r>
        <w:t xml:space="preserve"> </w:t>
      </w:r>
      <w:r>
        <w:t xml:space="preserve">and terrain. Dense, cooler vegetation carries more fuel, so a negative association is consistent with LST acting</w:t>
      </w:r>
      <w:r>
        <w:t xml:space="preserve"> </w:t>
      </w:r>
      <w:r>
        <w:t xml:space="preserve">as a land-surface descriptor. In Montiferru, most of the within-region thermal gain disappeared once</w:t>
      </w:r>
      <w:r>
        <w:t xml:space="preserve"> </w:t>
      </w:r>
      <w:r>
        <w:t xml:space="preserve">terrain aspect was added, which fits this reading. Across the five regions, the mean LST anomaly</w:t>
      </w:r>
      <w:r>
        <w:t xml:space="preserve"> </w:t>
      </w:r>
      <w:r>
        <w:t xml:space="preserve">also followed the ERA5-Land</w:t>
      </w:r>
      <w:r>
        <w:t xml:space="preserve"> </w:t>
      </w:r>
      <w:r>
        <w:t xml:space="preserve">(Muñoz-Sabater et al. 2021)</w:t>
      </w:r>
      <w:r>
        <w:t xml:space="preserve"> </w:t>
      </w:r>
      <w:r>
        <w:t xml:space="preserve">air-temperature anomaly of the predictor window, but</w:t>
      </w:r>
      <w:r>
        <w:t xml:space="preserve"> </w:t>
      </w:r>
      <w:r>
        <w:t xml:space="preserve">not its relative-humidity anomaly (Section S1.23). The normalised channels did not transfer better than</w:t>
      </w:r>
      <w:r>
        <w:t xml:space="preserve"> </w:t>
      </w:r>
      <w:r>
        <w:t xml:space="preserve">the absolute ones either (Section S1.6). In Mediterranean ecosystems, the link between fire and</w:t>
      </w:r>
      <w:r>
        <w:t xml:space="preserve"> </w:t>
      </w:r>
      <w:r>
        <w:t xml:space="preserve">climate also depends on fuel and productivity</w:t>
      </w:r>
      <w:r>
        <w:t xml:space="preserve"> </w:t>
      </w:r>
      <w:r>
        <w:t xml:space="preserve">(Pausas and Paula 2012)</w:t>
      </w:r>
      <w:r>
        <w:t xml:space="preserve">, so the sign of a surface predictor</w:t>
      </w:r>
      <w:r>
        <w:t xml:space="preserve"> </w:t>
      </w:r>
      <w:r>
        <w:t xml:space="preserve">may differ between landscapes.</w:t>
      </w:r>
    </w:p>
    <w:p>
      <w:pPr>
        <w:pStyle w:val="BodyText"/>
      </w:pPr>
      <w:r>
        <w:t xml:space="preserve">Dimarco et al. (2026)</w:t>
      </w:r>
      <w:r>
        <w:t xml:space="preserve"> </w:t>
      </w:r>
      <w:r>
        <w:t xml:space="preserve">found good transfer in a similar Mediterranean design, while transfer</w:t>
      </w:r>
      <w:r>
        <w:t xml:space="preserve"> </w:t>
      </w:r>
      <w:r>
        <w:t xml:space="preserve">failed here. The two studies differ in two ways. Their predictors are static attributes of a place,</w:t>
      </w:r>
      <w:r>
        <w:t xml:space="preserve"> </w:t>
      </w:r>
      <w:r>
        <w:t xml:space="preserve">and their response is a record of human-caused ignitions. Here the predictors describe the surface in</w:t>
      </w:r>
      <w:r>
        <w:t xml:space="preserve"> </w:t>
      </w:r>
      <w:r>
        <w:t xml:space="preserve">one season, and the response is the footprint of one fire season per region. These two differences</w:t>
      </w:r>
      <w:r>
        <w:t xml:space="preserve"> </w:t>
      </w:r>
      <w:r>
        <w:t xml:space="preserve">cannot be separated in this comparison. In this cohort the static baseline also did not transfer</w:t>
      </w:r>
      <w:r>
        <w:t xml:space="preserve"> </w:t>
      </w:r>
      <w:r>
        <w:t xml:space="preserve">(mean 0.519), so predictor class alone does not explain the difference.</w:t>
      </w:r>
    </w:p>
    <w:bookmarkEnd w:id="52"/>
    <w:bookmarkStart w:id="53" w:name="implications-for-practice"/>
    <w:p>
      <w:pPr>
        <w:pStyle w:val="Heading2"/>
      </w:pPr>
      <w:r>
        <w:t xml:space="preserve">5.5 Implications for practice</w:t>
      </w:r>
    </w:p>
    <w:p>
      <w:pPr>
        <w:pStyle w:val="FirstParagraph"/>
      </w:pPr>
      <w:r>
        <w:t xml:space="preserve">Four changes in practice are supported by these results.</w:t>
      </w:r>
    </w:p>
    <w:p>
      <w:pPr>
        <w:pStyle w:val="BodyText"/>
      </w:pPr>
      <w:r>
        <w:rPr>
          <w:b/>
          <w:bCs/>
        </w:rPr>
        <w:t xml:space="preserve">Report the evaluation frame, and name the question it answers.</w:t>
      </w:r>
      <w:r>
        <w:t xml:space="preserve"> </w:t>
      </w:r>
      <w:r>
        <w:t xml:space="preserve">A region-wide score describes</w:t>
      </w:r>
      <w:r>
        <w:t xml:space="preserve"> </w:t>
      </w:r>
      <w:r>
        <w:t xml:space="preserve">where in a landscape fire occurred, which is the question behind prevention planning. A scar-frame</w:t>
      </w:r>
      <w:r>
        <w:t xml:space="preserve"> </w:t>
      </w:r>
      <w:r>
        <w:t xml:space="preserve">score describes which cells next to a fire burned. On the same model the two differed by 0.160</w:t>
      </w:r>
      <w:r>
        <w:t xml:space="preserve"> </w:t>
      </w:r>
      <w:r>
        <w:t xml:space="preserve">ROC-AUC with the region as the unit, which is larger than the thermal gain within most regions (Table</w:t>
      </w:r>
      <w:r>
        <w:t xml:space="preserve"> </w:t>
      </w:r>
      <w:r>
        <w:t xml:space="preserve">1). Both numbers are needed to judge a model.</w:t>
      </w:r>
    </w:p>
    <w:p>
      <w:pPr>
        <w:pStyle w:val="BodyText"/>
      </w:pPr>
      <w:r>
        <w:rPr>
          <w:b/>
          <w:bCs/>
        </w:rPr>
        <w:t xml:space="preserve">Measure transfer in the target region.</w:t>
      </w:r>
      <w:r>
        <w:t xml:space="preserve"> </w:t>
      </w:r>
      <w:r>
        <w:t xml:space="preserve">A within-region score does not show how a model will work</w:t>
      </w:r>
      <w:r>
        <w:t xml:space="preserve"> </w:t>
      </w:r>
      <w:r>
        <w:t xml:space="preserve">elsewhere, and no similarity measure tested here could replace the measurement. A model moved to a new region did not usefully rank the burned cells there: its highest-scored</w:t>
      </w:r>
      <w:r>
        <w:t xml:space="preserve"> </w:t>
      </w:r>
      <w:r>
        <w:t xml:space="preserve">10 % of cells contained about as many burned cells as a random choice (Section 4.5). Target</w:t>
      </w:r>
      <w:r>
        <w:t xml:space="preserve"> </w:t>
      </w:r>
      <w:r>
        <w:t xml:space="preserve">labels from the predicted fire closed much of the gap (Section S4), but they are not available in</w:t>
      </w:r>
      <w:r>
        <w:t xml:space="preserve"> </w:t>
      </w:r>
      <w:r>
        <w:t xml:space="preserve">advance. Where a burned-area record of earlier fires exists for the target region, it offers a way to</w:t>
      </w:r>
      <w:r>
        <w:t xml:space="preserve"> </w:t>
      </w:r>
      <w:r>
        <w:t xml:space="preserve">check a transferred model before use; this option was not tested here.</w:t>
      </w:r>
    </w:p>
    <w:p>
      <w:pPr>
        <w:pStyle w:val="BodyText"/>
      </w:pPr>
      <w:r>
        <w:rPr>
          <w:b/>
          <w:bCs/>
        </w:rPr>
        <w:t xml:space="preserve">Fix the study area by a stated rule before the predictors are computed.</w:t>
      </w:r>
      <w:r>
        <w:t xml:space="preserve"> </w:t>
      </w:r>
      <w:r>
        <w:t xml:space="preserve">The study areas used</w:t>
      </w:r>
      <w:r>
        <w:t xml:space="preserve"> </w:t>
      </w:r>
      <w:r>
        <w:t xml:space="preserve">here were not comparable, and this changed four between-region results (Section 4.4). An</w:t>
      </w:r>
      <w:r>
        <w:t xml:space="preserve"> </w:t>
      </w:r>
      <w:r>
        <w:t xml:space="preserve">accessible-area rule</w:t>
      </w:r>
      <w:r>
        <w:t xml:space="preserve"> </w:t>
      </w:r>
      <w:r>
        <w:t xml:space="preserve">(Barve et al. 2011)</w:t>
      </w:r>
      <w:r>
        <w:t xml:space="preserve"> </w:t>
      </w:r>
      <w:r>
        <w:t xml:space="preserve">is one option.</w:t>
      </w:r>
    </w:p>
    <w:p>
      <w:pPr>
        <w:pStyle w:val="BodyText"/>
      </w:pPr>
      <w:r>
        <w:rPr>
          <w:b/>
          <w:bCs/>
        </w:rPr>
        <w:t xml:space="preserve">Do not expect label-free adaptation to repair transfer.</w:t>
      </w:r>
      <w:r>
        <w:t xml:space="preserve"> </w:t>
      </w:r>
      <w:r>
        <w:t xml:space="preserve">Both methods tested moved most directions</w:t>
      </w:r>
      <w:r>
        <w:t xml:space="preserve"> </w:t>
      </w:r>
      <w:r>
        <w:t xml:space="preserve">toward chance, including those that had worked (Section 4.5). A reversed association cannot be seen</w:t>
      </w:r>
      <w:r>
        <w:t xml:space="preserve"> </w:t>
      </w:r>
      <w:r>
        <w:t xml:space="preserve">without target labels, so aligning the predictor distributions cannot correct it.</w:t>
      </w:r>
    </w:p>
    <w:bookmarkEnd w:id="53"/>
    <w:bookmarkStart w:id="54" w:name="limitations"/>
    <w:p>
      <w:pPr>
        <w:pStyle w:val="Heading2"/>
      </w:pPr>
      <w:r>
        <w:t xml:space="preserve">5.6 Limitations</w:t>
      </w:r>
    </w:p>
    <w:p>
      <w:pPr>
        <w:pStyle w:val="FirstParagraph"/>
      </w:pPr>
      <w:r>
        <w:t xml:space="preserve">The limitations are given in full in Section S3.5. The following ones affect the conclusions.</w:t>
      </w:r>
    </w:p>
    <w:p>
      <w:pPr>
        <w:pStyle w:val="Compact"/>
        <w:numPr>
          <w:ilvl w:val="0"/>
          <w:numId w:val="1001"/>
        </w:numPr>
      </w:pPr>
      <w:r>
        <w:rPr>
          <w:b/>
          <w:bCs/>
        </w:rPr>
        <w:t xml:space="preserve">Each region contributes one fire season,</w:t>
      </w:r>
      <w:r>
        <w:t xml:space="preserve"> </w:t>
      </w:r>
      <w:r>
        <w:t xml:space="preserve">so region and event effects cannot be separated</w:t>
      </w:r>
      <w:r>
        <w:t xml:space="preserve"> </w:t>
      </w:r>
      <w:r>
        <w:t xml:space="preserve">(S3.5(v)).</w:t>
      </w:r>
    </w:p>
    <w:p>
      <w:pPr>
        <w:pStyle w:val="Compact"/>
        <w:numPr>
          <w:ilvl w:val="0"/>
          <w:numId w:val="1001"/>
        </w:numPr>
      </w:pPr>
      <w:r>
        <w:rPr>
          <w:b/>
          <w:bCs/>
        </w:rPr>
        <w:t xml:space="preserve">The study areas were not comparable.</w:t>
      </w:r>
      <w:r>
        <w:t xml:space="preserve"> </w:t>
      </w:r>
      <w:r>
        <w:t xml:space="preserve">They could be restricted but not extended, because they</w:t>
      </w:r>
      <w:r>
        <w:t xml:space="preserve"> </w:t>
      </w:r>
      <w:r>
        <w:t xml:space="preserve">were fixed earlier in the processing pipeline (Section 4.4; S3.5(ix)).</w:t>
      </w:r>
    </w:p>
    <w:p>
      <w:pPr>
        <w:pStyle w:val="Compact"/>
        <w:numPr>
          <w:ilvl w:val="0"/>
          <w:numId w:val="1001"/>
        </w:numPr>
      </w:pPr>
      <w:r>
        <w:rPr>
          <w:b/>
          <w:bCs/>
        </w:rPr>
        <w:t xml:space="preserve">The frame cost rests on few scars.</w:t>
      </w:r>
      <w:r>
        <w:t xml:space="preserve"> </w:t>
      </w:r>
      <w:r>
        <w:t xml:space="preserve">The full comparison is defined on seven scars in three</w:t>
      </w:r>
      <w:r>
        <w:t xml:space="preserve"> </w:t>
      </w:r>
      <w:r>
        <w:t xml:space="preserve">regions, so the region-level estimates should be quoted (Section 4.3).</w:t>
      </w:r>
    </w:p>
    <w:p>
      <w:pPr>
        <w:pStyle w:val="Compact"/>
        <w:numPr>
          <w:ilvl w:val="0"/>
          <w:numId w:val="1001"/>
        </w:numPr>
      </w:pPr>
      <w:r>
        <w:rPr>
          <w:b/>
          <w:bCs/>
        </w:rPr>
        <w:t xml:space="preserve">Point estimates depend on the software version.</w:t>
      </w:r>
      <w:r>
        <w:t xml:space="preserve"> </w:t>
      </w:r>
      <w:r>
        <w:t xml:space="preserve">Under another scikit-learn version, single</w:t>
      </w:r>
      <w:r>
        <w:t xml:space="preserve"> </w:t>
      </w:r>
      <w:r>
        <w:t xml:space="preserve">directions moved by up to 0.047, while ten random-forest seeds changed mean transfer by at most</w:t>
      </w:r>
      <w:r>
        <w:t xml:space="preserve"> </w:t>
      </w:r>
      <w:r>
        <w:t xml:space="preserve">0.003 (Section 3.13; S1.23; S3.5(vi)).</w:t>
      </w:r>
    </w:p>
    <w:p>
      <w:pPr>
        <w:pStyle w:val="Compact"/>
        <w:numPr>
          <w:ilvl w:val="0"/>
          <w:numId w:val="1001"/>
        </w:numPr>
      </w:pPr>
      <w:r>
        <w:rPr>
          <w:b/>
          <w:bCs/>
        </w:rPr>
        <w:t xml:space="preserve">Spatial dependence reaches beyond the 5 km blocks.</w:t>
      </w:r>
      <w:r>
        <w:t xml:space="preserve"> </w:t>
      </w:r>
      <w:r>
        <w:t xml:space="preserve">Residual correlation falls below 0.05</w:t>
      </w:r>
      <w:r>
        <w:t xml:space="preserve"> </w:t>
      </w:r>
      <w:r>
        <w:t xml:space="preserve">only at 10 to 20 km in three regions, so intervals at 5 km blocking may be somewhat narrow</w:t>
      </w:r>
      <w:r>
        <w:t xml:space="preserve"> </w:t>
      </w:r>
      <w:r>
        <w:t xml:space="preserve">(Section 3.7; S1.23).</w:t>
      </w:r>
    </w:p>
    <w:p>
      <w:pPr>
        <w:pStyle w:val="Compact"/>
        <w:numPr>
          <w:ilvl w:val="0"/>
          <w:numId w:val="1001"/>
        </w:numPr>
      </w:pPr>
      <w:r>
        <w:rPr>
          <w:b/>
          <w:bCs/>
        </w:rPr>
        <w:t xml:space="preserve">The similarity tests rest on ten independent region pairs,</w:t>
      </w:r>
      <w:r>
        <w:t xml:space="preserve"> </w:t>
      </w:r>
      <w:r>
        <w:t xml:space="preserve">so both positive and negative</w:t>
      </w:r>
      <w:r>
        <w:t xml:space="preserve"> </w:t>
      </w:r>
      <w:r>
        <w:t xml:space="preserve">results have low power (S3.5(xiii)).</w:t>
      </w:r>
    </w:p>
    <w:p>
      <w:pPr>
        <w:pStyle w:val="Compact"/>
        <w:numPr>
          <w:ilvl w:val="0"/>
          <w:numId w:val="1001"/>
        </w:numPr>
      </w:pPr>
      <w:r>
        <w:rPr>
          <w:b/>
          <w:bCs/>
        </w:rPr>
        <w:t xml:space="preserve">Measures based on interval support are unstable.</w:t>
      </w:r>
      <w:r>
        <w:t xml:space="preserve"> </w:t>
      </w:r>
      <w:r>
        <w:t xml:space="preserve">Five to six interval bounds lie within 0.01</w:t>
      </w:r>
      <w:r>
        <w:t xml:space="preserve"> </w:t>
      </w:r>
      <w:r>
        <w:t xml:space="preserve">of 0.5, and one changed flag moved a correlation by about 0.2 (Section S1.20; S3.5(viii)).</w:t>
      </w:r>
    </w:p>
    <w:p>
      <w:pPr>
        <w:pStyle w:val="Compact"/>
        <w:numPr>
          <w:ilvl w:val="0"/>
          <w:numId w:val="1001"/>
        </w:numPr>
      </w:pPr>
      <w:r>
        <w:rPr>
          <w:b/>
          <w:bCs/>
        </w:rPr>
        <w:t xml:space="preserve">The reversal test is marginal.</w:t>
      </w:r>
      <w:r>
        <w:t xml:space="preserve"> </w:t>
      </w:r>
      <w:r>
        <w:t xml:space="preserve">A reversal of a single predictor can also come from different</w:t>
      </w:r>
      <w:r>
        <w:t xml:space="preserve"> </w:t>
      </w:r>
      <w:r>
        <w:t xml:space="preserve">predictor distributions, so it does not prove a change in the predictor-burning relationship</w:t>
      </w:r>
      <w:r>
        <w:t xml:space="preserve"> </w:t>
      </w:r>
      <w:r>
        <w:t xml:space="preserve">(Section 3.10).</w:t>
      </w:r>
    </w:p>
    <w:p>
      <w:pPr>
        <w:pStyle w:val="Compact"/>
        <w:numPr>
          <w:ilvl w:val="0"/>
          <w:numId w:val="1001"/>
        </w:numPr>
      </w:pPr>
      <w:r>
        <w:rPr>
          <w:b/>
          <w:bCs/>
        </w:rPr>
        <w:t xml:space="preserve">The low transfer into Manavgat is located but not explained.</w:t>
      </w:r>
      <w:r>
        <w:t xml:space="preserve"> </w:t>
      </w:r>
      <w:r>
        <w:t xml:space="preserve">Weather, quality screening and the</w:t>
      </w:r>
      <w:r>
        <w:t xml:space="preserve"> </w:t>
      </w:r>
      <w:r>
        <w:t xml:space="preserve">study area were tested, and none explained it. Terrain was held through elevation and aspect only, and in Manavgat burn timing and elevation are</w:t>
      </w:r>
      <w:r>
        <w:t xml:space="preserve"> </w:t>
      </w:r>
      <w:r>
        <w:t xml:space="preserve">confounded (S3.5(vii), S3.5(xi)).</w:t>
      </w:r>
    </w:p>
    <w:p>
      <w:pPr>
        <w:pStyle w:val="Compact"/>
        <w:numPr>
          <w:ilvl w:val="0"/>
          <w:numId w:val="1001"/>
        </w:numPr>
      </w:pPr>
      <w:r>
        <w:rPr>
          <w:b/>
          <w:bCs/>
        </w:rPr>
        <w:t xml:space="preserve">All labels come from one burned-area product,</w:t>
      </w:r>
      <w:r>
        <w:t xml:space="preserve"> </w:t>
      </w:r>
      <w:r>
        <w:t xml:space="preserve">MCD64A1</w:t>
      </w:r>
      <w:r>
        <w:t xml:space="preserve"> </w:t>
      </w:r>
      <w:r>
        <w:t xml:space="preserve">(Giglio et al. 2018)</w:t>
      </w:r>
      <w:r>
        <w:t xml:space="preserve">, with known omission and</w:t>
      </w:r>
      <w:r>
        <w:t xml:space="preserve"> </w:t>
      </w:r>
      <w:r>
        <w:t xml:space="preserve">commission errors</w:t>
      </w:r>
      <w:r>
        <w:t xml:space="preserve"> </w:t>
      </w:r>
      <w:r>
        <w:t xml:space="preserve">(Boschetti et al. 2019; Katagis and Gitas 2022)</w:t>
      </w:r>
      <w:r>
        <w:t xml:space="preserve">, which are concentrated at scar edges. With VIIRS VNP64A1 labels</w:t>
      </w:r>
      <w:r>
        <w:t xml:space="preserve"> </w:t>
      </w:r>
      <w:r>
        <w:t xml:space="preserve">(Giglio 2024)</w:t>
      </w:r>
      <w:r>
        <w:t xml:space="preserve">, which overlap MCD64A1</w:t>
      </w:r>
      <w:r>
        <w:t xml:space="preserve"> </w:t>
      </w:r>
      <w:r>
        <w:t xml:space="preserve">by 87 % to 98 %, no conclusion changed; independent fire perimeters were not used (S1.23;</w:t>
      </w:r>
      <w:r>
        <w:t xml:space="preserve"> </w:t>
      </w:r>
      <w:r>
        <w:t xml:space="preserve">S3.5(iii)).</w:t>
      </w:r>
    </w:p>
    <w:p>
      <w:pPr>
        <w:pStyle w:val="Compact"/>
        <w:numPr>
          <w:ilvl w:val="0"/>
          <w:numId w:val="1001"/>
        </w:numPr>
      </w:pPr>
      <w:r>
        <w:rPr>
          <w:b/>
          <w:bCs/>
        </w:rPr>
        <w:t xml:space="preserve">The land-cover map is post-fire for four events.</w:t>
      </w:r>
      <w:r>
        <w:t xml:space="preserve"> </w:t>
      </w:r>
      <w:r>
        <w:t xml:space="preserve">With the 2020 map, mean transfer was 0.513</w:t>
      </w:r>
      <w:r>
        <w:t xml:space="preserve"> </w:t>
      </w:r>
      <w:r>
        <w:t xml:space="preserve">instead of 0.527, and no conclusion changed; in Montiferru, however, the 2021 map left out about a</w:t>
      </w:r>
      <w:r>
        <w:t xml:space="preserve"> </w:t>
      </w:r>
      <w:r>
        <w:t xml:space="preserve">fifth of the burned natural vegetation (Section 3.4; S1.23).</w:t>
      </w:r>
    </w:p>
    <w:p>
      <w:pPr>
        <w:pStyle w:val="Compact"/>
        <w:numPr>
          <w:ilvl w:val="0"/>
          <w:numId w:val="1001"/>
        </w:numPr>
      </w:pPr>
      <w:r>
        <w:rPr>
          <w:b/>
          <w:bCs/>
        </w:rPr>
        <w:t xml:space="preserve">No weather predictors were used</w:t>
      </w:r>
      <w:r>
        <w:t xml:space="preserve"> </w:t>
      </w:r>
      <w:r>
        <w:t xml:space="preserve">(S3.5(i)), and other classifiers were compared by point</w:t>
      </w:r>
      <w:r>
        <w:t xml:space="preserve"> </w:t>
      </w:r>
      <w:r>
        <w:t xml:space="preserve">estimate only (Section S1.8; S3.5(x)).</w:t>
      </w:r>
    </w:p>
    <w:bookmarkEnd w:id="54"/>
    <w:bookmarkEnd w:id="55"/>
    <w:bookmarkStart w:id="56" w:name="conclusions"/>
    <w:p>
      <w:pPr>
        <w:pStyle w:val="Heading1"/>
      </w:pPr>
      <w:r>
        <w:t xml:space="preserve">6 Conclusions</w:t>
      </w:r>
    </w:p>
    <w:p>
      <w:pPr>
        <w:pStyle w:val="FirstParagraph"/>
      </w:pPr>
      <w:r>
        <w:t xml:space="preserve">This study tested whether the skill of pre-fire thermal predictors transfers between five</w:t>
      </w:r>
      <w:r>
        <w:t xml:space="preserve"> </w:t>
      </w:r>
      <w:r>
        <w:t xml:space="preserve">Mediterranean regions, each with one large fire season. Three conclusions are supported.</w:t>
      </w:r>
    </w:p>
    <w:p>
      <w:pPr>
        <w:pStyle w:val="BodyText"/>
      </w:pPr>
      <w:r>
        <w:t xml:space="preserve">First, the evaluation area changes the score. When one fixed model was scored on the burn scar and</w:t>
      </w:r>
      <w:r>
        <w:t xml:space="preserve"> </w:t>
      </w:r>
      <w:r>
        <w:t xml:space="preserve">its 2 km collar instead of the whole region, ROC-AUC fell by 0.160 with the region as the unit. The</w:t>
      </w:r>
      <w:r>
        <w:t xml:space="preserve"> </w:t>
      </w:r>
      <w:r>
        <w:t xml:space="preserve">loss came from the unburned cells next to the fire, not from class balance. The two areas answer</w:t>
      </w:r>
      <w:r>
        <w:t xml:space="preserve"> </w:t>
      </w:r>
      <w:r>
        <w:t xml:space="preserve">different questions, so a paper should report which area its score refers to.</w:t>
      </w:r>
    </w:p>
    <w:p>
      <w:pPr>
        <w:pStyle w:val="BodyText"/>
      </w:pPr>
      <w:r>
        <w:t xml:space="preserve">Second, local skill transferred at most weakly. The thermal predictors improved within-region skill</w:t>
      </w:r>
      <w:r>
        <w:t xml:space="preserve"> </w:t>
      </w:r>
      <w:r>
        <w:t xml:space="preserve">in all five regions, but on the scar frame the gain was not established. Across twenty transfer</w:t>
      </w:r>
      <w:r>
        <w:t xml:space="preserve"> </w:t>
      </w:r>
      <w:r>
        <w:t xml:space="preserve">directions, the gain was +0.007 on the original study areas and +0.024 on comparable areas, and both</w:t>
      </w:r>
      <w:r>
        <w:t xml:space="preserve"> </w:t>
      </w:r>
      <w:r>
        <w:t xml:space="preserve">intervals included zero. On matched areas, transfer stayed 0.197 below the within-region reference.</w:t>
      </w:r>
      <w:r>
        <w:t xml:space="preserve"> </w:t>
      </w:r>
      <w:r>
        <w:t xml:space="preserve">The static baseline did not transfer better, and the two label-free adaptation methods tested did not</w:t>
      </w:r>
      <w:r>
        <w:t xml:space="preserve"> </w:t>
      </w:r>
      <w:r>
        <w:t xml:space="preserve">help.</w:t>
      </w:r>
    </w:p>
    <w:p>
      <w:pPr>
        <w:pStyle w:val="BodyText"/>
      </w:pPr>
      <w:r>
        <w:t xml:space="preserve">Third, none of twenty similarity measures was shown to predict transfer. At the point estimates, the</w:t>
      </w:r>
      <w:r>
        <w:t xml:space="preserve"> </w:t>
      </w:r>
      <w:r>
        <w:t xml:space="preserve">most similar pair of regions failed in both directions, while the least similar pair transferred</w:t>
      </w:r>
      <w:r>
        <w:t xml:space="preserve"> </w:t>
      </w:r>
      <w:r>
        <w:t xml:space="preserve">above chance.</w:t>
      </w:r>
    </w:p>
    <w:p>
      <w:pPr>
        <w:pStyle w:val="BodyText"/>
      </w:pPr>
      <w:r>
        <w:t xml:space="preserve">Transfer skill should therefore be measured in the target region, and the study area should be fixed</w:t>
      </w:r>
      <w:r>
        <w:t xml:space="preserve"> </w:t>
      </w:r>
      <w:r>
        <w:t xml:space="preserve">by a stated rule before the predictors are computed. Several fire seasons per region are needed to</w:t>
      </w:r>
      <w:r>
        <w:t xml:space="preserve"> </w:t>
      </w:r>
      <w:r>
        <w:t xml:space="preserve">separate region effects from event effects.</w:t>
      </w:r>
    </w:p>
    <w:bookmarkEnd w:id="56"/>
    <w:bookmarkStart w:id="57" w:name="acknowledgements"/>
    <w:p>
      <w:pPr>
        <w:pStyle w:val="Heading1"/>
      </w:pPr>
      <w:r>
        <w:t xml:space="preserve">Acknowledgements</w:t>
      </w:r>
    </w:p>
    <w:p>
      <w:pPr>
        <w:pStyle w:val="FirstParagraph"/>
      </w:pPr>
      <w:r>
        <w:t xml:space="preserve">The authors thank the Department of Computer Engineering at Çukurova University for the laboratory environment in which this work was carried out.</w:t>
      </w:r>
    </w:p>
    <w:bookmarkEnd w:id="57"/>
    <w:bookmarkStart w:id="67" w:name="statements-and-declarations"/>
    <w:p>
      <w:pPr>
        <w:pStyle w:val="Heading1"/>
      </w:pPr>
      <w:r>
        <w:t xml:space="preserve">Statements and Declarations</w:t>
      </w:r>
    </w:p>
    <w:bookmarkStart w:id="58" w:name="funding"/>
    <w:p>
      <w:pPr>
        <w:pStyle w:val="Heading2"/>
      </w:pPr>
      <w:r>
        <w:t xml:space="preserve">Funding</w:t>
      </w:r>
    </w:p>
    <w:p>
      <w:pPr>
        <w:pStyle w:val="FirstParagraph"/>
      </w:pPr>
      <w:r>
        <w:t xml:space="preserve">This work was supported by the Çukurova University Scientific Research Projects Coordination Unit</w:t>
      </w:r>
      <w:r>
        <w:t xml:space="preserve"> </w:t>
      </w:r>
      <w:r>
        <w:t xml:space="preserve">(Bilimsel Araştırma Projeleri Koordinasyon Birimi) under its Career Starter Project scheme, project</w:t>
      </w:r>
      <w:r>
        <w:t xml:space="preserve"> </w:t>
      </w:r>
      <w:r>
        <w:t xml:space="preserve">code FKB-2025-17608 (</w:t>
      </w:r>
      <w:r>
        <w:t xml:space="preserve">“Early detection and prevention of forest fires with a thermal digital</w:t>
      </w:r>
      <w:r>
        <w:t xml:space="preserve"> </w:t>
      </w:r>
      <w:r>
        <w:t xml:space="preserve">twin-based UAV swarm system”</w:t>
      </w:r>
      <w:r>
        <w:t xml:space="preserve">). The funder had no role in the study design, the analysis, the</w:t>
      </w:r>
      <w:r>
        <w:t xml:space="preserve"> </w:t>
      </w:r>
      <w:r>
        <w:t xml:space="preserve">interpretation of the results, the writing of the manuscript or the decision to submit it.</w:t>
      </w:r>
    </w:p>
    <w:bookmarkEnd w:id="58"/>
    <w:bookmarkStart w:id="59" w:name="competing-interests"/>
    <w:p>
      <w:pPr>
        <w:pStyle w:val="Heading2"/>
      </w:pPr>
      <w:r>
        <w:t xml:space="preserve">Competing interests</w:t>
      </w:r>
    </w:p>
    <w:p>
      <w:pPr>
        <w:pStyle w:val="FirstParagraph"/>
      </w:pPr>
      <w:r>
        <w:t xml:space="preserve">The authors have no relevant financial or non-financial interests to disclose.</w:t>
      </w:r>
    </w:p>
    <w:bookmarkEnd w:id="59"/>
    <w:bookmarkStart w:id="60" w:name="author-contributions"/>
    <w:p>
      <w:pPr>
        <w:pStyle w:val="Heading2"/>
      </w:pPr>
      <w:r>
        <w:t xml:space="preserve">Author contributions</w:t>
      </w:r>
    </w:p>
    <w:p>
      <w:pPr>
        <w:pStyle w:val="FirstParagraph"/>
      </w:pPr>
      <w:r>
        <w:t xml:space="preserve">Stated in CRediT terms.</w:t>
      </w:r>
      <w:r>
        <w:t xml:space="preserve"> </w:t>
      </w:r>
      <w:r>
        <w:rPr>
          <w:b/>
          <w:bCs/>
        </w:rPr>
        <w:t xml:space="preserve">Emrehan Metin:</w:t>
      </w:r>
      <w:r>
        <w:t xml:space="preserve"> </w:t>
      </w:r>
      <w:r>
        <w:t xml:space="preserve">Software, Data curation, Investigation, Validation,</w:t>
      </w:r>
      <w:r>
        <w:t xml:space="preserve"> </w:t>
      </w:r>
      <w:r>
        <w:t xml:space="preserve">Writing (review and editing).</w:t>
      </w:r>
      <w:r>
        <w:t xml:space="preserve"> </w:t>
      </w:r>
      <w:r>
        <w:rPr>
          <w:b/>
          <w:bCs/>
        </w:rPr>
        <w:t xml:space="preserve">Yunus Emre Cogurcu:</w:t>
      </w:r>
      <w:r>
        <w:t xml:space="preserve"> </w:t>
      </w:r>
      <w:r>
        <w:t xml:space="preserve">Conceptualization, Methodology, Formal</w:t>
      </w:r>
      <w:r>
        <w:t xml:space="preserve"> </w:t>
      </w:r>
      <w:r>
        <w:t xml:space="preserve">analysis, Investigation, Visualization, Writing (original draft), Writing (review and editing),</w:t>
      </w:r>
      <w:r>
        <w:t xml:space="preserve"> </w:t>
      </w:r>
      <w:r>
        <w:t xml:space="preserve">Supervision, Project administration, Funding acquisition. Both authors read and approved the final</w:t>
      </w:r>
      <w:r>
        <w:t xml:space="preserve"> </w:t>
      </w:r>
      <w:r>
        <w:t xml:space="preserve">manuscript.</w:t>
      </w:r>
    </w:p>
    <w:bookmarkEnd w:id="60"/>
    <w:bookmarkStart w:id="61" w:name="data-availability"/>
    <w:p>
      <w:pPr>
        <w:pStyle w:val="Heading2"/>
      </w:pPr>
      <w:r>
        <w:t xml:space="preserve">Data availability</w:t>
      </w:r>
    </w:p>
    <w:p>
      <w:pPr>
        <w:pStyle w:val="FirstParagraph"/>
      </w:pPr>
      <w:r>
        <w:t xml:space="preserve">All satellite inputs are public and were retrieved through Google Earth Engine. Burned-area labels were taken</w:t>
      </w:r>
      <w:r>
        <w:t xml:space="preserve"> </w:t>
      </w:r>
      <w:r>
        <w:t xml:space="preserve">from MODIS MCD64A1 v061</w:t>
      </w:r>
      <w:r>
        <w:t xml:space="preserve"> </w:t>
      </w:r>
      <w:r>
        <w:t xml:space="preserve">(Giglio et al. 2021)</w:t>
      </w:r>
      <w:r>
        <w:t xml:space="preserve">, land surface temperature from MODIS MOD11A1 v061</w:t>
      </w:r>
      <w:r>
        <w:t xml:space="preserve"> </w:t>
      </w:r>
      <w:r>
        <w:t xml:space="preserve">(Wan et al. 2021)</w:t>
      </w:r>
      <w:r>
        <w:t xml:space="preserve">,</w:t>
      </w:r>
      <w:r>
        <w:t xml:space="preserve"> </w:t>
      </w:r>
      <w:r>
        <w:t xml:space="preserve">surface reflectance and surface temperature from Landsat 8 Collection 2 Level-2</w:t>
      </w:r>
      <w:r>
        <w:t xml:space="preserve"> </w:t>
      </w:r>
      <w:r>
        <w:t xml:space="preserve">(U.S. Geological Survey Earth Resources Observation and Science (EROS) Center 2020)</w:t>
      </w:r>
      <w:r>
        <w:t xml:space="preserve">,</w:t>
      </w:r>
      <w:r>
        <w:t xml:space="preserve"> </w:t>
      </w:r>
      <w:r>
        <w:t xml:space="preserve">terrain from the Copernicus DEM GLO-30</w:t>
      </w:r>
      <w:r>
        <w:t xml:space="preserve"> </w:t>
      </w:r>
      <w:r>
        <w:t xml:space="preserve">(European Space Agency 2022)</w:t>
      </w:r>
      <w:r>
        <w:t xml:space="preserve"> </w:t>
      </w:r>
      <w:r>
        <w:t xml:space="preserve">and land cover from ESA WorldCover v200</w:t>
      </w:r>
      <w:r>
        <w:t xml:space="preserve"> </w:t>
      </w:r>
      <w:r>
        <w:t xml:space="preserve">(Zanaga et al. 2022)</w:t>
      </w:r>
      <w:r>
        <w:t xml:space="preserve">. The MODIS and Landsat products are courtesy of NASA’s Land Processes Distributed Active</w:t>
      </w:r>
      <w:r>
        <w:t xml:space="preserve"> </w:t>
      </w:r>
      <w:r>
        <w:t xml:space="preserve">Archive Center and the U.S. Geological Survey. WorldCover is distributed under a CC BY 4.0 licence</w:t>
      </w:r>
      <w:r>
        <w:t xml:space="preserve"> </w:t>
      </w:r>
      <w:r>
        <w:t xml:space="preserve">(© ESA WorldCover project 2021, contains modified Copernicus Sentinel data (2021) processed by the</w:t>
      </w:r>
      <w:r>
        <w:t xml:space="preserve"> </w:t>
      </w:r>
      <w:r>
        <w:t xml:space="preserve">ESA WorldCover consortium). The Copernicus DEM was produced using Copernicus WorldDEM-30 © DLR e.V.</w:t>
      </w:r>
      <w:r>
        <w:t xml:space="preserve"> </w:t>
      </w:r>
      <w:r>
        <w:t xml:space="preserve">2010 to 2014 and © Airbus Defence and Space GmbH 2014 to 2018, provided under COPERNICUS by the European</w:t>
      </w:r>
      <w:r>
        <w:t xml:space="preserve"> </w:t>
      </w:r>
      <w:r>
        <w:t xml:space="preserve">Union and ESA; all rights reserved. No proprietary or restricted data were used.</w:t>
      </w:r>
    </w:p>
    <w:p>
      <w:pPr>
        <w:pStyle w:val="BodyText"/>
      </w:pPr>
      <w:r>
        <w:t xml:space="preserve">The five modelling datasets, one per region, and the frozen numeric outputs behind every reported</w:t>
      </w:r>
      <w:r>
        <w:t xml:space="preserve"> </w:t>
      </w:r>
      <w:r>
        <w:t xml:space="preserve">number are released with the analysis code</w:t>
      </w:r>
      <w:r>
        <w:t xml:space="preserve"> </w:t>
      </w:r>
      <w:r>
        <w:t xml:space="preserve">(Metin and Cogurcu 2026)</w:t>
      </w:r>
      <w:r>
        <w:t xml:space="preserve">. Each dataset is identified by SHA-256</w:t>
      </w:r>
      <w:r>
        <w:t xml:space="preserve"> </w:t>
      </w:r>
      <w:r>
        <w:t xml:space="preserve">in</w:t>
      </w:r>
      <w:r>
        <w:t xml:space="preserve"> </w:t>
      </w:r>
      <w:r>
        <w:rPr>
          <w:rStyle w:val="VerbatimChar"/>
        </w:rPr>
        <w:t xml:space="preserve">paper/code/_canonical.py</w:t>
      </w:r>
      <w:r>
        <w:t xml:space="preserve">, and every analysis script verifies that hash on load. For Bejís, Muğla,</w:t>
      </w:r>
      <w:r>
        <w:t xml:space="preserve"> </w:t>
      </w:r>
      <w:r>
        <w:t xml:space="preserve">North Evia and Montiferru the hash equals the canonical-input record of the upstream pipeline at</w:t>
      </w:r>
      <w:r>
        <w:t xml:space="preserve"> </w:t>
      </w:r>
      <w:r>
        <w:t xml:space="preserve">commit</w:t>
      </w:r>
      <w:r>
        <w:t xml:space="preserve"> </w:t>
      </w:r>
      <w:r>
        <w:rPr>
          <w:rStyle w:val="VerbatimChar"/>
        </w:rPr>
        <w:t xml:space="preserve">6381f4c</w:t>
      </w:r>
      <w:r>
        <w:t xml:space="preserve">. For Manavgat it is the corrected-label re-freeze (</w:t>
      </w:r>
      <w:r>
        <w:rPr>
          <w:rStyle w:val="VerbatimChar"/>
        </w:rPr>
        <w:t xml:space="preserve">5a5e876c…</w:t>
      </w:r>
      <w:r>
        <w:t xml:space="preserve">), produced at the same</w:t>
      </w:r>
      <w:r>
        <w:t xml:space="preserve"> </w:t>
      </w:r>
      <w:r>
        <w:t xml:space="preserve">commit. The two small changes needed for this are given in Section S3.6.2. The pipeline’s own</w:t>
      </w:r>
      <w:r>
        <w:t xml:space="preserve"> </w:t>
      </w:r>
      <w:r>
        <w:t xml:space="preserve">record still names the original-label table (</w:t>
      </w:r>
      <w:r>
        <w:rPr>
          <w:rStyle w:val="VerbatimChar"/>
        </w:rPr>
        <w:t xml:space="preserve">054a1961…</w:t>
      </w:r>
      <w:r>
        <w:t xml:space="preserve">), which is not used here.</w:t>
      </w:r>
    </w:p>
    <w:bookmarkEnd w:id="61"/>
    <w:bookmarkStart w:id="64" w:name="code-availability"/>
    <w:p>
      <w:pPr>
        <w:pStyle w:val="Heading2"/>
      </w:pPr>
      <w:r>
        <w:t xml:space="preserve">Code availability</w:t>
      </w:r>
    </w:p>
    <w:p>
      <w:pPr>
        <w:pStyle w:val="FirstParagraph"/>
      </w:pPr>
      <w:r>
        <w:t xml:space="preserve">The upstream processing pipeline,</w:t>
      </w:r>
      <w:r>
        <w:t xml:space="preserve"> </w:t>
      </w:r>
      <w:r>
        <w:rPr>
          <w:rStyle w:val="VerbatimChar"/>
        </w:rPr>
        <w:t xml:space="preserve">satellite-thermal-digital-twin</w:t>
      </w:r>
      <w:r>
        <w:t xml:space="preserve"> </w:t>
      </w:r>
      <w:r>
        <w:t xml:space="preserve">(E. Metin), is public at</w:t>
      </w:r>
      <w:r>
        <w:t xml:space="preserve"> </w:t>
      </w:r>
      <w:hyperlink r:id="rId62">
        <w:r>
          <w:rPr>
            <w:rStyle w:val="Hyperlink"/>
          </w:rPr>
          <w:t xml:space="preserve">https://github.com/emrehann17/satellite-thermal-digital-twin</w:t>
        </w:r>
      </w:hyperlink>
      <w:r>
        <w:t xml:space="preserve"> </w:t>
      </w:r>
      <w:r>
        <w:t xml:space="preserve">under the MIT licence. The analysis</w:t>
      </w:r>
      <w:r>
        <w:t xml:space="preserve"> </w:t>
      </w:r>
      <w:r>
        <w:t xml:space="preserve">code, figure scripts and checks are at</w:t>
      </w:r>
      <w:r>
        <w:t xml:space="preserve"> </w:t>
      </w:r>
      <w:hyperlink r:id="rId63">
        <w:r>
          <w:rPr>
            <w:rStyle w:val="Hyperlink"/>
          </w:rPr>
          <w:t xml:space="preserve">https://github.com/dryuemco/thermal-twin</w:t>
        </w:r>
      </w:hyperlink>
      <w:r>
        <w:t xml:space="preserve">, and version 1.0.1</w:t>
      </w:r>
      <w:r>
        <w:t xml:space="preserve"> </w:t>
      </w:r>
      <w:r>
        <w:t xml:space="preserve">is archived at Zenodo</w:t>
      </w:r>
      <w:r>
        <w:t xml:space="preserve"> </w:t>
      </w:r>
      <w:r>
        <w:t xml:space="preserve">(Metin and Cogurcu 2026)</w:t>
      </w:r>
      <w:r>
        <w:t xml:space="preserve">. Figs. 1 to 8 are drawn</w:t>
      </w:r>
      <w:r>
        <w:t xml:space="preserve"> </w:t>
      </w:r>
      <w:r>
        <w:t xml:space="preserve">by the scripts in</w:t>
      </w:r>
      <w:r>
        <w:t xml:space="preserve"> </w:t>
      </w:r>
      <w:r>
        <w:rPr>
          <w:rStyle w:val="VerbatimChar"/>
        </w:rPr>
        <w:t xml:space="preserve">paper/figures/</w:t>
      </w:r>
      <w:r>
        <w:t xml:space="preserve">, which also assert Table 1 and every plotted value against the</w:t>
      </w:r>
      <w:r>
        <w:t xml:space="preserve"> </w:t>
      </w:r>
      <w:r>
        <w:t xml:space="preserve">frozen outputs. The supplementary tables S2 to S7 and S9 to S18 are rebuilt row by row by</w:t>
      </w:r>
      <w:r>
        <w:t xml:space="preserve"> </w:t>
      </w:r>
      <w:r>
        <w:rPr>
          <w:rStyle w:val="VerbatimChar"/>
        </w:rPr>
        <w:t xml:space="preserve">paper/code/appendix_tables.py</w:t>
      </w:r>
      <w:r>
        <w:t xml:space="preserve"> </w:t>
      </w:r>
      <w:r>
        <w:t xml:space="preserve">from source files whose SHA-256 values are pinned in</w:t>
      </w:r>
      <w:r>
        <w:t xml:space="preserve"> </w:t>
      </w:r>
      <w:r>
        <w:rPr>
          <w:rStyle w:val="VerbatimChar"/>
        </w:rPr>
        <w:t xml:space="preserve">paper/labelfix_rerun/round5/tables/SOURCES.sha256</w:t>
      </w:r>
      <w:r>
        <w:t xml:space="preserve">; the other tables name their source files in</w:t>
      </w:r>
      <w:r>
        <w:t xml:space="preserve"> </w:t>
      </w:r>
      <w:r>
        <w:t xml:space="preserve">their captions.</w:t>
      </w:r>
      <w:r>
        <w:t xml:space="preserve"> </w:t>
      </w:r>
      <w:r>
        <w:rPr>
          <w:rStyle w:val="VerbatimChar"/>
        </w:rPr>
        <w:t xml:space="preserve">paper/figures/check_all.py</w:t>
      </w:r>
      <w:r>
        <w:t xml:space="preserve"> </w:t>
      </w:r>
      <w:r>
        <w:t xml:space="preserve">runs all of these checks. Software: Python 3.12.10 with</w:t>
      </w:r>
      <w:r>
        <w:t xml:space="preserve"> </w:t>
      </w:r>
      <w:r>
        <w:t xml:space="preserve">NumPy 2.4.4, pandas 3.0.2 and scikit-learn 1.9.0. Point estimates depend on the scikit-learn version</w:t>
      </w:r>
      <w:r>
        <w:t xml:space="preserve"> </w:t>
      </w:r>
      <w:r>
        <w:t xml:space="preserve">(Section 3.13), so exact reproduction needs this environment.</w:t>
      </w:r>
    </w:p>
    <w:bookmarkEnd w:id="64"/>
    <w:bookmarkStart w:id="65" w:name="ethics-approval"/>
    <w:p>
      <w:pPr>
        <w:pStyle w:val="Heading2"/>
      </w:pPr>
      <w:r>
        <w:t xml:space="preserve">Ethics approval</w:t>
      </w:r>
    </w:p>
    <w:p>
      <w:pPr>
        <w:pStyle w:val="FirstParagraph"/>
      </w:pPr>
      <w:r>
        <w:t xml:space="preserve">Not applicable. This study involved no human participants, animal subjects or personally</w:t>
      </w:r>
      <w:r>
        <w:t xml:space="preserve"> </w:t>
      </w:r>
      <w:r>
        <w:t xml:space="preserve">identifiable data.</w:t>
      </w:r>
    </w:p>
    <w:bookmarkEnd w:id="65"/>
    <w:bookmarkStart w:id="66" w:name="use-of-generative-ai"/>
    <w:p>
      <w:pPr>
        <w:pStyle w:val="Heading2"/>
      </w:pPr>
      <w:r>
        <w:t xml:space="preserve">Use of generative AI</w:t>
      </w:r>
    </w:p>
    <w:p>
      <w:pPr>
        <w:pStyle w:val="FirstParagraph"/>
      </w:pPr>
      <w:r>
        <w:t xml:space="preserve">Claude (Anthropic) was used in the research and in preparing this manuscript, as described in</w:t>
      </w:r>
      <w:r>
        <w:t xml:space="preserve"> </w:t>
      </w:r>
      <w:r>
        <w:t xml:space="preserve">Section 3.13. It was used to write and run analysis, verification and figure code, to check reported</w:t>
      </w:r>
      <w:r>
        <w:t xml:space="preserve"> </w:t>
      </w:r>
      <w:r>
        <w:t xml:space="preserve">numbers against the frozen outputs, to draft and edit text, and to produce simulated referee reports</w:t>
      </w:r>
      <w:r>
        <w:t xml:space="preserve"> </w:t>
      </w:r>
      <w:r>
        <w:t xml:space="preserve">on drafts. The authors reviewed and edited all of this material and take full responsibility for the</w:t>
      </w:r>
      <w:r>
        <w:t xml:space="preserve"> </w:t>
      </w:r>
      <w:r>
        <w:t xml:space="preserve">content of the publication.</w:t>
      </w:r>
    </w:p>
    <w:bookmarkEnd w:id="66"/>
    <w:bookmarkEnd w:id="67"/>
    <w:bookmarkStart w:id="189" w:name="references"/>
    <w:p>
      <w:pPr>
        <w:pStyle w:val="Heading1"/>
      </w:pPr>
      <w:r>
        <w:t xml:space="preserve">References</w:t>
      </w:r>
    </w:p>
    <w:bookmarkStart w:id="188" w:name="refs"/>
    <w:bookmarkStart w:id="69" w:name="ref-AlkanAkinci2023"/>
    <w:p>
      <w:pPr>
        <w:pStyle w:val="Bibliography"/>
      </w:pPr>
      <w:r>
        <w:t xml:space="preserve">Akıncı HA, Akıncı H (2023) Machine learning based forest fire susceptibility assessment of</w:t>
      </w:r>
      <w:r>
        <w:t xml:space="preserve"> </w:t>
      </w:r>
      <w:r>
        <w:t xml:space="preserve">Manavgat</w:t>
      </w:r>
      <w:r>
        <w:t xml:space="preserve"> </w:t>
      </w:r>
      <w:r>
        <w:t xml:space="preserve">district (</w:t>
      </w:r>
      <w:r>
        <w:t xml:space="preserve">Antalya</w:t>
      </w:r>
      <w:r>
        <w:t xml:space="preserve">),</w:t>
      </w:r>
      <w:r>
        <w:t xml:space="preserve"> </w:t>
      </w:r>
      <w:r>
        <w:t xml:space="preserve">Turkey</w:t>
      </w:r>
      <w:r>
        <w:t xml:space="preserve">. Earth Science Informatics 16:397–414.</w:t>
      </w:r>
      <w:r>
        <w:t xml:space="preserve"> </w:t>
      </w:r>
      <w:hyperlink r:id="rId68">
        <w:r>
          <w:rPr>
            <w:rStyle w:val="Hyperlink"/>
          </w:rPr>
          <w:t xml:space="preserve">https://doi.org/10.1007/s12145-023-00953-5</w:t>
        </w:r>
      </w:hyperlink>
    </w:p>
    <w:bookmarkEnd w:id="69"/>
    <w:bookmarkStart w:id="71" w:name="ref-Barve2011"/>
    <w:p>
      <w:pPr>
        <w:pStyle w:val="Bibliography"/>
      </w:pPr>
      <w:r>
        <w:t xml:space="preserve">Barve N, Barve V, Jiménez-Valverde A, et al (2011) The crucial role of the accessible area in ecological niche modeling and species distribution modeling. Ecological Modelling 222:1810–1819.</w:t>
      </w:r>
      <w:r>
        <w:t xml:space="preserve"> </w:t>
      </w:r>
      <w:hyperlink r:id="rId70">
        <w:r>
          <w:rPr>
            <w:rStyle w:val="Hyperlink"/>
          </w:rPr>
          <w:t xml:space="preserve">https://doi.org/10.1016/j.ecolmodel.2011.02.011</w:t>
        </w:r>
      </w:hyperlink>
    </w:p>
    <w:bookmarkEnd w:id="71"/>
    <w:bookmarkStart w:id="73" w:name="ref-Bekar2020"/>
    <w:p>
      <w:pPr>
        <w:pStyle w:val="Bibliography"/>
      </w:pPr>
      <w:r>
        <w:t xml:space="preserve">Bekar İ, Tavşanoğlu Ç, Pezzatti GB, et al (2020) Cross-regional modelling of fire occurrence in the</w:t>
      </w:r>
      <w:r>
        <w:t xml:space="preserve"> </w:t>
      </w:r>
      <w:r>
        <w:t xml:space="preserve">Alps</w:t>
      </w:r>
      <w:r>
        <w:t xml:space="preserve"> </w:t>
      </w:r>
      <w:r>
        <w:t xml:space="preserve">and the</w:t>
      </w:r>
      <w:r>
        <w:t xml:space="preserve"> </w:t>
      </w:r>
      <w:r>
        <w:t xml:space="preserve">Mediterranean Basin</w:t>
      </w:r>
      <w:r>
        <w:t xml:space="preserve">. International Journal of Wildland Fire 29:712–722.</w:t>
      </w:r>
      <w:r>
        <w:t xml:space="preserve"> </w:t>
      </w:r>
      <w:hyperlink r:id="rId72">
        <w:r>
          <w:rPr>
            <w:rStyle w:val="Hyperlink"/>
          </w:rPr>
          <w:t xml:space="preserve">https://doi.org/10.1071/WF19158</w:t>
        </w:r>
      </w:hyperlink>
    </w:p>
    <w:bookmarkEnd w:id="73"/>
    <w:bookmarkStart w:id="75" w:name="ref-Boschetti2019"/>
    <w:p>
      <w:pPr>
        <w:pStyle w:val="Bibliography"/>
      </w:pPr>
      <w:r>
        <w:t xml:space="preserve">Boschetti L, Roy DP, Giglio L, et al (2019) Global validation of the</w:t>
      </w:r>
      <w:r>
        <w:t xml:space="preserve"> </w:t>
      </w:r>
      <w:r>
        <w:t xml:space="preserve">Collection</w:t>
      </w:r>
      <w:r>
        <w:t xml:space="preserve"> </w:t>
      </w:r>
      <w:r>
        <w:t xml:space="preserve">6</w:t>
      </w:r>
      <w:r>
        <w:t xml:space="preserve"> </w:t>
      </w:r>
      <w:r>
        <w:t xml:space="preserve">MODIS</w:t>
      </w:r>
      <w:r>
        <w:t xml:space="preserve"> </w:t>
      </w:r>
      <w:r>
        <w:t xml:space="preserve">burned area product. Remote Sensing of Environment 235:111490.</w:t>
      </w:r>
      <w:r>
        <w:t xml:space="preserve"> </w:t>
      </w:r>
      <w:hyperlink r:id="rId74">
        <w:r>
          <w:rPr>
            <w:rStyle w:val="Hyperlink"/>
          </w:rPr>
          <w:t xml:space="preserve">https://doi.org/10.1016/j.rse.2019.111490</w:t>
        </w:r>
      </w:hyperlink>
    </w:p>
    <w:bookmarkEnd w:id="75"/>
    <w:bookmarkStart w:id="77" w:name="ref-Breiman2001"/>
    <w:p>
      <w:pPr>
        <w:pStyle w:val="Bibliography"/>
      </w:pPr>
      <w:r>
        <w:t xml:space="preserve">Breiman L (2001) Random forests. Machine Learning 45:5–32.</w:t>
      </w:r>
      <w:r>
        <w:t xml:space="preserve"> </w:t>
      </w:r>
      <w:hyperlink r:id="rId76">
        <w:r>
          <w:rPr>
            <w:rStyle w:val="Hyperlink"/>
          </w:rPr>
          <w:t xml:space="preserve">https://doi.org/10.1023/A:1010933404324</w:t>
        </w:r>
      </w:hyperlink>
    </w:p>
    <w:bookmarkEnd w:id="77"/>
    <w:bookmarkStart w:id="79" w:name="ref-deBruin2022"/>
    <w:p>
      <w:pPr>
        <w:pStyle w:val="Bibliography"/>
      </w:pPr>
      <w:r>
        <w:t xml:space="preserve">Bruin S de, Brus DJ, Heuvelink GBM, et al (2022) Dealing with clustered samples for assessing map accuracy by cross-validation. Ecological Informatics 69:101665.</w:t>
      </w:r>
      <w:r>
        <w:t xml:space="preserve"> </w:t>
      </w:r>
      <w:hyperlink r:id="rId78">
        <w:r>
          <w:rPr>
            <w:rStyle w:val="Hyperlink"/>
          </w:rPr>
          <w:t xml:space="preserve">https://doi.org/10.1016/j.ecoinf.2022.101665</w:t>
        </w:r>
      </w:hyperlink>
    </w:p>
    <w:bookmarkEnd w:id="79"/>
    <w:bookmarkStart w:id="81" w:name="ref-Chuvieco2004"/>
    <w:p>
      <w:pPr>
        <w:pStyle w:val="Bibliography"/>
      </w:pPr>
      <w:r>
        <w:t xml:space="preserve">Chuvieco E, Cocero D, Riaño D, et al</w:t>
      </w:r>
      <w:r>
        <w:t xml:space="preserve"> </w:t>
      </w:r>
      <w:r>
        <w:t xml:space="preserve">(2004) Combining</w:t>
      </w:r>
      <w:r>
        <w:t xml:space="preserve"> </w:t>
      </w:r>
      <w:r>
        <w:t xml:space="preserve">NDVI</w:t>
      </w:r>
      <w:r>
        <w:t xml:space="preserve"> </w:t>
      </w:r>
      <w:r>
        <w:t xml:space="preserve">and surface temperature for the estimation of live fuel moisture content in forest fire danger rating. Remote Sensing of Environment 92:322–331.</w:t>
      </w:r>
      <w:r>
        <w:t xml:space="preserve"> </w:t>
      </w:r>
      <w:hyperlink r:id="rId80">
        <w:r>
          <w:rPr>
            <w:rStyle w:val="Hyperlink"/>
          </w:rPr>
          <w:t xml:space="preserve">https://doi.org/10.1016/j.rse.2004.01.019</w:t>
        </w:r>
      </w:hyperlink>
    </w:p>
    <w:bookmarkEnd w:id="81"/>
    <w:bookmarkStart w:id="83" w:name="ref-Dimarco2026"/>
    <w:p>
      <w:pPr>
        <w:pStyle w:val="Bibliography"/>
      </w:pPr>
      <w:r>
        <w:t xml:space="preserve">Dimarco NA, Faraji I, Wahbi M, et al (2026) Generalizing human-driven wildfire ignition models across</w:t>
      </w:r>
      <w:r>
        <w:t xml:space="preserve"> </w:t>
      </w:r>
      <w:r>
        <w:t xml:space="preserve">Mediterranean</w:t>
      </w:r>
      <w:r>
        <w:t xml:space="preserve"> </w:t>
      </w:r>
      <w:r>
        <w:t xml:space="preserve">regions using harmonized remote-sensing and machine-learning data. Geomatics 6:13.</w:t>
      </w:r>
      <w:r>
        <w:t xml:space="preserve"> </w:t>
      </w:r>
      <w:hyperlink r:id="rId82">
        <w:r>
          <w:rPr>
            <w:rStyle w:val="Hyperlink"/>
          </w:rPr>
          <w:t xml:space="preserve">https://doi.org/10.3390/geomatics6010013</w:t>
        </w:r>
      </w:hyperlink>
    </w:p>
    <w:bookmarkEnd w:id="83"/>
    <w:bookmarkStart w:id="85" w:name="ref-CopernicusDEM"/>
    <w:p>
      <w:pPr>
        <w:pStyle w:val="Bibliography"/>
      </w:pPr>
      <w:r>
        <w:t xml:space="preserve">European Space Agency (2022) Copernicus</w:t>
      </w:r>
      <w:r>
        <w:t xml:space="preserve"> </w:t>
      </w:r>
      <w:r>
        <w:t xml:space="preserve">DEM</w:t>
      </w:r>
      <w:r>
        <w:t xml:space="preserve"> </w:t>
      </w:r>
      <w:r>
        <w:t xml:space="preserve">GLO-30</w:t>
      </w:r>
      <w:r>
        <w:t xml:space="preserve"> </w:t>
      </w:r>
      <w:r>
        <w:t xml:space="preserve">[dataset]. European Space Agency.</w:t>
      </w:r>
      <w:r>
        <w:t xml:space="preserve"> </w:t>
      </w:r>
      <w:hyperlink r:id="rId84">
        <w:r>
          <w:rPr>
            <w:rStyle w:val="Hyperlink"/>
          </w:rPr>
          <w:t xml:space="preserve">https://doi.org/10.5270/ESA-c5d3d65</w:t>
        </w:r>
      </w:hyperlink>
    </w:p>
    <w:bookmarkEnd w:id="85"/>
    <w:bookmarkStart w:id="87" w:name="ref-Gelabert2025"/>
    <w:p>
      <w:pPr>
        <w:pStyle w:val="Bibliography"/>
      </w:pPr>
      <w:r>
        <w:t xml:space="preserve">Gelabert PJ, Jiménez-Ruano A, Ochoa C, et al (2025) Assessing human-caused wildfire ignition likelihood across</w:t>
      </w:r>
      <w:r>
        <w:t xml:space="preserve"> </w:t>
      </w:r>
      <w:r>
        <w:t xml:space="preserve">Europe</w:t>
      </w:r>
      <w:r>
        <w:t xml:space="preserve">. Natural Hazards and Earth System Sciences 25:4713–4729.</w:t>
      </w:r>
      <w:r>
        <w:t xml:space="preserve"> </w:t>
      </w:r>
      <w:hyperlink r:id="rId86">
        <w:r>
          <w:rPr>
            <w:rStyle w:val="Hyperlink"/>
          </w:rPr>
          <w:t xml:space="preserve">https://doi.org/10.5194/nhess-25-4713-2025</w:t>
        </w:r>
      </w:hyperlink>
    </w:p>
    <w:bookmarkEnd w:id="87"/>
    <w:bookmarkStart w:id="89" w:name="ref-VNP64A1"/>
    <w:p>
      <w:pPr>
        <w:pStyle w:val="Bibliography"/>
      </w:pPr>
      <w:r>
        <w:t xml:space="preserve">Giglio L (2024)</w:t>
      </w:r>
      <w:r>
        <w:t xml:space="preserve"> </w:t>
      </w:r>
      <w:r>
        <w:t xml:space="preserve">VIIRS/NPP</w:t>
      </w:r>
      <w:r>
        <w:t xml:space="preserve"> </w:t>
      </w:r>
      <w:r>
        <w:t xml:space="preserve">burned area monthly</w:t>
      </w:r>
      <w:r>
        <w:t xml:space="preserve"> </w:t>
      </w:r>
      <w:r>
        <w:t xml:space="preserve">L4</w:t>
      </w:r>
      <w:r>
        <w:t xml:space="preserve"> </w:t>
      </w:r>
      <w:r>
        <w:t xml:space="preserve">global 500m</w:t>
      </w:r>
      <w:r>
        <w:t xml:space="preserve"> </w:t>
      </w:r>
      <w:r>
        <w:t xml:space="preserve">SIN</w:t>
      </w:r>
      <w:r>
        <w:t xml:space="preserve"> </w:t>
      </w:r>
      <w:r>
        <w:t xml:space="preserve">grid</w:t>
      </w:r>
      <w:r>
        <w:t xml:space="preserve"> </w:t>
      </w:r>
      <w:r>
        <w:t xml:space="preserve">V002</w:t>
      </w:r>
      <w:r>
        <w:t xml:space="preserve"> </w:t>
      </w:r>
      <w:r>
        <w:t xml:space="preserve">[dataset]. NASA Land Processes Distributed Active Archive Center.</w:t>
      </w:r>
      <w:r>
        <w:t xml:space="preserve"> </w:t>
      </w:r>
      <w:hyperlink r:id="rId88">
        <w:r>
          <w:rPr>
            <w:rStyle w:val="Hyperlink"/>
          </w:rPr>
          <w:t xml:space="preserve">https://doi.org/10.5067/VIIRS/VNP64A1.002</w:t>
        </w:r>
      </w:hyperlink>
    </w:p>
    <w:bookmarkEnd w:id="89"/>
    <w:bookmarkStart w:id="91" w:name="ref-Giglio2018"/>
    <w:p>
      <w:pPr>
        <w:pStyle w:val="Bibliography"/>
      </w:pPr>
      <w:r>
        <w:t xml:space="preserve">Giglio L, Boschetti L, Roy DP, et al (2018) The</w:t>
      </w:r>
      <w:r>
        <w:t xml:space="preserve"> </w:t>
      </w:r>
      <w:r>
        <w:t xml:space="preserve">Collection</w:t>
      </w:r>
      <w:r>
        <w:t xml:space="preserve"> </w:t>
      </w:r>
      <w:r>
        <w:t xml:space="preserve">6</w:t>
      </w:r>
      <w:r>
        <w:t xml:space="preserve"> </w:t>
      </w:r>
      <w:r>
        <w:t xml:space="preserve">MODIS</w:t>
      </w:r>
      <w:r>
        <w:t xml:space="preserve"> </w:t>
      </w:r>
      <w:r>
        <w:t xml:space="preserve">burned area mapping algorithm and product. Remote Sensing of Environment 217:72–85.</w:t>
      </w:r>
      <w:r>
        <w:t xml:space="preserve"> </w:t>
      </w:r>
      <w:hyperlink r:id="rId90">
        <w:r>
          <w:rPr>
            <w:rStyle w:val="Hyperlink"/>
          </w:rPr>
          <w:t xml:space="preserve">https://doi.org/10.1016/j.rse.2018.08.005</w:t>
        </w:r>
      </w:hyperlink>
    </w:p>
    <w:bookmarkEnd w:id="91"/>
    <w:bookmarkStart w:id="93" w:name="ref-MCD64A1"/>
    <w:p>
      <w:pPr>
        <w:pStyle w:val="Bibliography"/>
      </w:pPr>
      <w:r>
        <w:t xml:space="preserve">Giglio L, Justice C, Boschetti L, Roy D (2021)</w:t>
      </w:r>
      <w:r>
        <w:t xml:space="preserve"> </w:t>
      </w:r>
      <w:r>
        <w:t xml:space="preserve">MODIS/Terra+Aqua</w:t>
      </w:r>
      <w:r>
        <w:t xml:space="preserve"> </w:t>
      </w:r>
      <w:r>
        <w:t xml:space="preserve">burned area monthly</w:t>
      </w:r>
      <w:r>
        <w:t xml:space="preserve"> </w:t>
      </w:r>
      <w:r>
        <w:t xml:space="preserve">L3</w:t>
      </w:r>
      <w:r>
        <w:t xml:space="preserve"> </w:t>
      </w:r>
      <w:r>
        <w:t xml:space="preserve">global 500m</w:t>
      </w:r>
      <w:r>
        <w:t xml:space="preserve"> </w:t>
      </w:r>
      <w:r>
        <w:t xml:space="preserve">SIN</w:t>
      </w:r>
      <w:r>
        <w:t xml:space="preserve"> </w:t>
      </w:r>
      <w:r>
        <w:t xml:space="preserve">grid</w:t>
      </w:r>
      <w:r>
        <w:t xml:space="preserve"> </w:t>
      </w:r>
      <w:r>
        <w:t xml:space="preserve">V061</w:t>
      </w:r>
      <w:r>
        <w:t xml:space="preserve"> </w:t>
      </w:r>
      <w:r>
        <w:t xml:space="preserve">[dataset]. NASA Land Processes Distributed Active Archive Center.</w:t>
      </w:r>
      <w:r>
        <w:t xml:space="preserve"> </w:t>
      </w:r>
      <w:hyperlink r:id="rId92">
        <w:r>
          <w:rPr>
            <w:rStyle w:val="Hyperlink"/>
          </w:rPr>
          <w:t xml:space="preserve">https://doi.org/10.5067/MODIS/MCD64A1.061</w:t>
        </w:r>
      </w:hyperlink>
    </w:p>
    <w:bookmarkEnd w:id="93"/>
    <w:bookmarkStart w:id="95" w:name="ref-Gorelick2017"/>
    <w:p>
      <w:pPr>
        <w:pStyle w:val="Bibliography"/>
      </w:pPr>
      <w:r>
        <w:t xml:space="preserve">Gorelick N, Hancher M, Dixon M, et al (2017)</w:t>
      </w:r>
      <w:r>
        <w:t xml:space="preserve"> </w:t>
      </w:r>
      <w:r>
        <w:t xml:space="preserve">Google</w:t>
      </w:r>
      <w:r>
        <w:t xml:space="preserve"> </w:t>
      </w:r>
      <w:r>
        <w:t xml:space="preserve">Earth</w:t>
      </w:r>
      <w:r>
        <w:t xml:space="preserve"> </w:t>
      </w:r>
      <w:r>
        <w:t xml:space="preserve">Engine</w:t>
      </w:r>
      <w:r>
        <w:t xml:space="preserve">: Planetary-scale geospatial analysis for everyone. Remote Sensing of Environment 202:18–27.</w:t>
      </w:r>
      <w:r>
        <w:t xml:space="preserve"> </w:t>
      </w:r>
      <w:hyperlink r:id="rId94">
        <w:r>
          <w:rPr>
            <w:rStyle w:val="Hyperlink"/>
          </w:rPr>
          <w:t xml:space="preserve">https://doi.org/10.1016/j.rse.2017.06.031</w:t>
        </w:r>
      </w:hyperlink>
    </w:p>
    <w:bookmarkEnd w:id="95"/>
    <w:bookmarkStart w:id="97" w:name="ref-Hijmans2012"/>
    <w:p>
      <w:pPr>
        <w:pStyle w:val="Bibliography"/>
      </w:pPr>
      <w:r>
        <w:t xml:space="preserve">Hijmans RJ (2012) Cross-validation of species distribution models: Removing spatial sorting bias and calibration with a null model. Ecology 93:679–688.</w:t>
      </w:r>
      <w:r>
        <w:t xml:space="preserve"> </w:t>
      </w:r>
      <w:hyperlink r:id="rId96">
        <w:r>
          <w:rPr>
            <w:rStyle w:val="Hyperlink"/>
          </w:rPr>
          <w:t xml:space="preserve">https://doi.org/10.1890/11-0826.1</w:t>
        </w:r>
      </w:hyperlink>
    </w:p>
    <w:bookmarkEnd w:id="97"/>
    <w:bookmarkStart w:id="99" w:name="ref-Huang2026"/>
    <w:p>
      <w:pPr>
        <w:pStyle w:val="Bibliography"/>
      </w:pPr>
      <w:r>
        <w:t xml:space="preserve">Huang Y, Liu N, Chen W, et al (2026) Enhancing transferability of foliar trait retrieval models: A comparative analysis of transfer learning strategies and domain shift characterization. Remote Sensing of Environment 337:115336.</w:t>
      </w:r>
      <w:r>
        <w:t xml:space="preserve"> </w:t>
      </w:r>
      <w:hyperlink r:id="rId98">
        <w:r>
          <w:rPr>
            <w:rStyle w:val="Hyperlink"/>
          </w:rPr>
          <w:t xml:space="preserve">https://doi.org/10.1016/j.rse.2026.115336</w:t>
        </w:r>
      </w:hyperlink>
    </w:p>
    <w:bookmarkEnd w:id="99"/>
    <w:bookmarkStart w:id="101" w:name="ref-Iban2022"/>
    <w:p>
      <w:pPr>
        <w:pStyle w:val="Bibliography"/>
      </w:pPr>
      <w:r>
        <w:t xml:space="preserve">Iban MC, Sekertekin A (2022) Machine learning based wildfire susceptibility mapping using remotely sensed fire data and</w:t>
      </w:r>
      <w:r>
        <w:t xml:space="preserve"> </w:t>
      </w:r>
      <w:r>
        <w:t xml:space="preserve">GIS</w:t>
      </w:r>
      <w:r>
        <w:t xml:space="preserve">: A case study of</w:t>
      </w:r>
      <w:r>
        <w:t xml:space="preserve"> </w:t>
      </w:r>
      <w:r>
        <w:t xml:space="preserve">Adana</w:t>
      </w:r>
      <w:r>
        <w:t xml:space="preserve"> </w:t>
      </w:r>
      <w:r>
        <w:t xml:space="preserve">and</w:t>
      </w:r>
      <w:r>
        <w:t xml:space="preserve"> </w:t>
      </w:r>
      <w:r>
        <w:t xml:space="preserve">Mersin</w:t>
      </w:r>
      <w:r>
        <w:t xml:space="preserve"> </w:t>
      </w:r>
      <w:r>
        <w:t xml:space="preserve">provinces,</w:t>
      </w:r>
      <w:r>
        <w:t xml:space="preserve"> </w:t>
      </w:r>
      <w:r>
        <w:t xml:space="preserve">Turkey</w:t>
      </w:r>
      <w:r>
        <w:t xml:space="preserve">. Ecological Informatics 69:101647.</w:t>
      </w:r>
      <w:r>
        <w:t xml:space="preserve"> </w:t>
      </w:r>
      <w:hyperlink r:id="rId100">
        <w:r>
          <w:rPr>
            <w:rStyle w:val="Hyperlink"/>
          </w:rPr>
          <w:t xml:space="preserve">https://doi.org/10.1016/j.ecoinf.2022.101647</w:t>
        </w:r>
      </w:hyperlink>
    </w:p>
    <w:bookmarkEnd w:id="101"/>
    <w:bookmarkStart w:id="103" w:name="ref-Jain2020"/>
    <w:p>
      <w:pPr>
        <w:pStyle w:val="Bibliography"/>
      </w:pPr>
      <w:r>
        <w:t xml:space="preserve">Jain P, Coogan SCP, Subramanian SG, et al (2020) A review of machine learning applications in wildfire science and management. Environmental Reviews 28:478–505.</w:t>
      </w:r>
      <w:r>
        <w:t xml:space="preserve"> </w:t>
      </w:r>
      <w:hyperlink r:id="rId102">
        <w:r>
          <w:rPr>
            <w:rStyle w:val="Hyperlink"/>
          </w:rPr>
          <w:t xml:space="preserve">https://doi.org/10.1139/er-2020-0019</w:t>
        </w:r>
      </w:hyperlink>
    </w:p>
    <w:bookmarkEnd w:id="103"/>
    <w:bookmarkStart w:id="105" w:name="ref-JimenezValverde2012"/>
    <w:p>
      <w:pPr>
        <w:pStyle w:val="Bibliography"/>
      </w:pPr>
      <w:r>
        <w:t xml:space="preserve">Jiménez-Valverde A (2012) Insights into the area under the receiver operating characteristic curve (</w:t>
      </w:r>
      <w:r>
        <w:t xml:space="preserve">AUC</w:t>
      </w:r>
      <w:r>
        <w:t xml:space="preserve">) as a discrimination measure in species distribution modelling. Global Ecology and Biogeography 21:498–507.</w:t>
      </w:r>
      <w:r>
        <w:t xml:space="preserve"> </w:t>
      </w:r>
      <w:hyperlink r:id="rId104">
        <w:r>
          <w:rPr>
            <w:rStyle w:val="Hyperlink"/>
          </w:rPr>
          <w:t xml:space="preserve">https://doi.org/10.1111/j.1466-8238.2011.00683.x</w:t>
        </w:r>
      </w:hyperlink>
    </w:p>
    <w:bookmarkEnd w:id="105"/>
    <w:bookmarkStart w:id="107" w:name="ref-Jodhani2026"/>
    <w:p>
      <w:pPr>
        <w:pStyle w:val="Bibliography"/>
      </w:pPr>
      <w:r>
        <w:t xml:space="preserve">Jodhani K, Bhatiya L, Sirvi L, et al (2026) Artificial intelligence and remote sensing frameworks for wildfire monitoring and risk analysis across multiple ecosystems: A review. AIMS Environmental Science 13:56–98.</w:t>
      </w:r>
      <w:r>
        <w:t xml:space="preserve"> </w:t>
      </w:r>
      <w:hyperlink r:id="rId106">
        <w:r>
          <w:rPr>
            <w:rStyle w:val="Hyperlink"/>
          </w:rPr>
          <w:t xml:space="preserve">https://doi.org/10.3934/environsci.2026004</w:t>
        </w:r>
      </w:hyperlink>
    </w:p>
    <w:bookmarkEnd w:id="107"/>
    <w:bookmarkStart w:id="109" w:name="ref-Katagis2022"/>
    <w:p>
      <w:pPr>
        <w:pStyle w:val="Bibliography"/>
      </w:pPr>
      <w:r>
        <w:t xml:space="preserve">Katagis T, Gitas IZ (2022) Assessing the accuracy of</w:t>
      </w:r>
      <w:r>
        <w:t xml:space="preserve"> </w:t>
      </w:r>
      <w:r>
        <w:t xml:space="preserve">MODIS</w:t>
      </w:r>
      <w:r>
        <w:t xml:space="preserve"> </w:t>
      </w:r>
      <w:r>
        <w:t xml:space="preserve">MCD64A1</w:t>
      </w:r>
      <w:r>
        <w:t xml:space="preserve"> </w:t>
      </w:r>
      <w:r>
        <w:t xml:space="preserve">C6</w:t>
      </w:r>
      <w:r>
        <w:t xml:space="preserve"> </w:t>
      </w:r>
      <w:r>
        <w:t xml:space="preserve">and</w:t>
      </w:r>
      <w:r>
        <w:t xml:space="preserve"> </w:t>
      </w:r>
      <w:r>
        <w:t xml:space="preserve">FireCCI51</w:t>
      </w:r>
      <w:r>
        <w:t xml:space="preserve"> </w:t>
      </w:r>
      <w:r>
        <w:t xml:space="preserve">burned area products in</w:t>
      </w:r>
      <w:r>
        <w:t xml:space="preserve"> </w:t>
      </w:r>
      <w:r>
        <w:t xml:space="preserve">Mediterranean</w:t>
      </w:r>
      <w:r>
        <w:t xml:space="preserve"> </w:t>
      </w:r>
      <w:r>
        <w:t xml:space="preserve">ecosystems. Remote Sensing 14:602.</w:t>
      </w:r>
      <w:r>
        <w:t xml:space="preserve"> </w:t>
      </w:r>
      <w:hyperlink r:id="rId108">
        <w:r>
          <w:rPr>
            <w:rStyle w:val="Hyperlink"/>
          </w:rPr>
          <w:t xml:space="preserve">https://doi.org/10.3390/rs14030602</w:t>
        </w:r>
      </w:hyperlink>
    </w:p>
    <w:bookmarkEnd w:id="109"/>
    <w:bookmarkStart w:id="111" w:name="ref-Kondylatos2023"/>
    <w:p>
      <w:pPr>
        <w:pStyle w:val="Bibliography"/>
      </w:pPr>
      <w:r>
        <w:t xml:space="preserve">Kondylatos S, Prapas I, Camps-Valls G, Papoutsis I (2023)</w:t>
      </w:r>
      <w:r>
        <w:t xml:space="preserve"> </w:t>
      </w:r>
      <w:hyperlink r:id="rId110">
        <w:r>
          <w:rPr>
            <w:rStyle w:val="Hyperlink"/>
          </w:rPr>
          <w:t xml:space="preserve">Mesogeos</w:t>
        </w:r>
        <w:r>
          <w:rPr>
            <w:rStyle w:val="Hyperlink"/>
          </w:rPr>
          <w:t xml:space="preserve">: A multi-purpose dataset for data-driven wildfire modeling in the</w:t>
        </w:r>
        <w:r>
          <w:rPr>
            <w:rStyle w:val="Hyperlink"/>
          </w:rPr>
          <w:t xml:space="preserve"> </w:t>
        </w:r>
        <w:r>
          <w:rPr>
            <w:rStyle w:val="Hyperlink"/>
          </w:rPr>
          <w:t xml:space="preserve">Mediterranean</w:t>
        </w:r>
      </w:hyperlink>
      <w:r>
        <w:t xml:space="preserve">. In: Advances in neural information processing systems 36 (NeurIPS 2023) datasets and benchmarks track. pp 50661–50676</w:t>
      </w:r>
    </w:p>
    <w:bookmarkEnd w:id="111"/>
    <w:bookmarkStart w:id="113" w:name="ref-Liu2025"/>
    <w:p>
      <w:pPr>
        <w:pStyle w:val="Bibliography"/>
      </w:pPr>
      <w:r>
        <w:t xml:space="preserve">Liu C, Mostafavi A (2025)</w:t>
      </w:r>
      <w:r>
        <w:t xml:space="preserve"> </w:t>
      </w:r>
      <w:r>
        <w:t xml:space="preserve">WildfireGenome</w:t>
      </w:r>
      <w:r>
        <w:t xml:space="preserve">: Interpretable machine learning reveals local drivers of wildfire risk and their cross-county variation. arXiv preprint arXiv:2511.11589.</w:t>
      </w:r>
      <w:r>
        <w:t xml:space="preserve"> </w:t>
      </w:r>
      <w:hyperlink r:id="rId112">
        <w:r>
          <w:rPr>
            <w:rStyle w:val="Hyperlink"/>
          </w:rPr>
          <w:t xml:space="preserve">https://doi.org/10.48550/arXiv.2511.11589</w:t>
        </w:r>
      </w:hyperlink>
    </w:p>
    <w:bookmarkEnd w:id="113"/>
    <w:bookmarkStart w:id="115" w:name="ref-Lobo2008"/>
    <w:p>
      <w:pPr>
        <w:pStyle w:val="Bibliography"/>
      </w:pPr>
      <w:r>
        <w:t xml:space="preserve">Lobo JM, Jiménez-Valverde A, Real R (2008)</w:t>
      </w:r>
      <w:r>
        <w:t xml:space="preserve"> </w:t>
      </w:r>
      <w:r>
        <w:t xml:space="preserve">AUC</w:t>
      </w:r>
      <w:r>
        <w:t xml:space="preserve">: A misleading measure of the performance of predictive distribution models. Global Ecology and Biogeography 17:145–151.</w:t>
      </w:r>
      <w:r>
        <w:t xml:space="preserve"> </w:t>
      </w:r>
      <w:hyperlink r:id="rId114">
        <w:r>
          <w:rPr>
            <w:rStyle w:val="Hyperlink"/>
          </w:rPr>
          <w:t xml:space="preserve">https://doi.org/10.1111/j.1466-8238.2007.00358.x</w:t>
        </w:r>
      </w:hyperlink>
    </w:p>
    <w:bookmarkEnd w:id="115"/>
    <w:bookmarkStart w:id="117" w:name="ref-Maffei2018"/>
    <w:p>
      <w:pPr>
        <w:pStyle w:val="Bibliography"/>
      </w:pPr>
      <w:r>
        <w:t xml:space="preserve">Maffei C, Alfieri SM, Menenti M (2018) Relating spatiotemporal patterns of forest fires burned area and duration to diurnal land surface temperature anomalies. Remote Sensing 10:1777.</w:t>
      </w:r>
      <w:r>
        <w:t xml:space="preserve"> </w:t>
      </w:r>
      <w:hyperlink r:id="rId116">
        <w:r>
          <w:rPr>
            <w:rStyle w:val="Hyperlink"/>
          </w:rPr>
          <w:t xml:space="preserve">https://doi.org/10.3390/rs10111777</w:t>
        </w:r>
      </w:hyperlink>
    </w:p>
    <w:bookmarkEnd w:id="117"/>
    <w:bookmarkStart w:id="119" w:name="ref-Maffei2021"/>
    <w:p>
      <w:pPr>
        <w:pStyle w:val="Bibliography"/>
      </w:pPr>
      <w:r>
        <w:t xml:space="preserve">Maffei C, Lindenbergh R, Menenti M (2021) Combining multi-spectral and thermal remote sensing to predict forest fire characteristics. ISPRS Journal of Photogrammetry and Remote Sensing 181:400–412.</w:t>
      </w:r>
      <w:r>
        <w:t xml:space="preserve"> </w:t>
      </w:r>
      <w:hyperlink r:id="rId118">
        <w:r>
          <w:rPr>
            <w:rStyle w:val="Hyperlink"/>
          </w:rPr>
          <w:t xml:space="preserve">https://doi.org/10.1016/j.isprsjprs.2021.09.016</w:t>
        </w:r>
      </w:hyperlink>
    </w:p>
    <w:bookmarkEnd w:id="119"/>
    <w:bookmarkStart w:id="121" w:name="ref-MaffeiMenenti2019"/>
    <w:p>
      <w:pPr>
        <w:pStyle w:val="Bibliography"/>
      </w:pPr>
      <w:r>
        <w:t xml:space="preserve">Maffei C, Menenti M (2019) Predicting forest fires burned area and rate of spread from pre-fire multispectral satellite measurements. ISPRS Journal of Photogrammetry and Remote Sensing 158:263–278.</w:t>
      </w:r>
      <w:r>
        <w:t xml:space="preserve"> </w:t>
      </w:r>
      <w:hyperlink r:id="rId120">
        <w:r>
          <w:rPr>
            <w:rStyle w:val="Hyperlink"/>
          </w:rPr>
          <w:t xml:space="preserve">https://doi.org/10.1016/j.isprsjprs.2019.10.013</w:t>
        </w:r>
      </w:hyperlink>
    </w:p>
    <w:bookmarkEnd w:id="121"/>
    <w:bookmarkStart w:id="123" w:name="ref-Marino2024"/>
    <w:p>
      <w:pPr>
        <w:pStyle w:val="Bibliography"/>
      </w:pPr>
      <w:r>
        <w:t xml:space="preserve">Marino E, Yáñez L, Guijarro M, et al (2024) Transferability of empirical models derived from satellite imagery for live fuel moisture content estimation and fire risk prediction. Fire 7:276.</w:t>
      </w:r>
      <w:r>
        <w:t xml:space="preserve"> </w:t>
      </w:r>
      <w:hyperlink r:id="rId122">
        <w:r>
          <w:rPr>
            <w:rStyle w:val="Hyperlink"/>
          </w:rPr>
          <w:t xml:space="preserve">https://doi.org/10.3390/fire7080276</w:t>
        </w:r>
      </w:hyperlink>
    </w:p>
    <w:bookmarkEnd w:id="123"/>
    <w:bookmarkStart w:id="125" w:name="ref-ThermalTwinRepo"/>
    <w:p>
      <w:pPr>
        <w:pStyle w:val="Bibliography"/>
      </w:pPr>
      <w:r>
        <w:t xml:space="preserve">Metin E, Cogurcu YE (2026) Evaluation area and the limits of cross-region transfer of pre-fire thermal wildfire models: Analysis code, modelling datasets and frozen outputs [software], version 1.0.1. Zenodo.</w:t>
      </w:r>
      <w:r>
        <w:t xml:space="preserve"> </w:t>
      </w:r>
      <w:hyperlink r:id="rId124">
        <w:r>
          <w:rPr>
            <w:rStyle w:val="Hyperlink"/>
          </w:rPr>
          <w:t xml:space="preserve">https://doi.org/10.5281/zenodo.23035271</w:t>
        </w:r>
      </w:hyperlink>
    </w:p>
    <w:bookmarkEnd w:id="125"/>
    <w:bookmarkStart w:id="127" w:name="ref-Meyer2021"/>
    <w:p>
      <w:pPr>
        <w:pStyle w:val="Bibliography"/>
      </w:pPr>
      <w:r>
        <w:t xml:space="preserve">Meyer H, Pebesma E (2021) Predicting into unknown space?</w:t>
      </w:r>
      <w:r>
        <w:t xml:space="preserve"> </w:t>
      </w:r>
      <w:r>
        <w:t xml:space="preserve">Estimating</w:t>
      </w:r>
      <w:r>
        <w:t xml:space="preserve"> </w:t>
      </w:r>
      <w:r>
        <w:t xml:space="preserve">the area of applicability of spatial prediction models. Methods in Ecology and Evolution 12:1620–1633.</w:t>
      </w:r>
      <w:r>
        <w:t xml:space="preserve"> </w:t>
      </w:r>
      <w:hyperlink r:id="rId126">
        <w:r>
          <w:rPr>
            <w:rStyle w:val="Hyperlink"/>
          </w:rPr>
          <w:t xml:space="preserve">https://doi.org/10.1111/2041-210X.13650</w:t>
        </w:r>
      </w:hyperlink>
    </w:p>
    <w:bookmarkEnd w:id="127"/>
    <w:bookmarkStart w:id="129" w:name="ref-Meyer2018"/>
    <w:p>
      <w:pPr>
        <w:pStyle w:val="Bibliography"/>
      </w:pPr>
      <w:r>
        <w:t xml:space="preserve">Meyer H, Reudenbach C, Hengl T, et al (2018) Improving performance of spatio-temporal machine learning models using forward feature selection and target-oriented validation. Environmental Modelling &amp; Software 101:1–9.</w:t>
      </w:r>
      <w:r>
        <w:t xml:space="preserve"> </w:t>
      </w:r>
      <w:hyperlink r:id="rId128">
        <w:r>
          <w:rPr>
            <w:rStyle w:val="Hyperlink"/>
          </w:rPr>
          <w:t xml:space="preserve">https://doi.org/10.1016/j.envsoft.2017.12.001</w:t>
        </w:r>
      </w:hyperlink>
    </w:p>
    <w:bookmarkEnd w:id="129"/>
    <w:bookmarkStart w:id="131" w:name="ref-Mila2022"/>
    <w:p>
      <w:pPr>
        <w:pStyle w:val="Bibliography"/>
      </w:pPr>
      <w:r>
        <w:t xml:space="preserve">Milà C, Mateu J, Pebesma E, Meyer H (2022) Nearest neighbour distance matching</w:t>
      </w:r>
      <w:r>
        <w:t xml:space="preserve"> </w:t>
      </w:r>
      <w:r>
        <w:t xml:space="preserve">Leave-One-Out</w:t>
      </w:r>
      <w:r>
        <w:t xml:space="preserve"> </w:t>
      </w:r>
      <w:r>
        <w:t xml:space="preserve">Cross-Validation</w:t>
      </w:r>
      <w:r>
        <w:t xml:space="preserve"> </w:t>
      </w:r>
      <w:r>
        <w:t xml:space="preserve">for map validation. Methods in Ecology and Evolution 13:1304–1316.</w:t>
      </w:r>
      <w:r>
        <w:t xml:space="preserve"> </w:t>
      </w:r>
      <w:hyperlink r:id="rId130">
        <w:r>
          <w:rPr>
            <w:rStyle w:val="Hyperlink"/>
          </w:rPr>
          <w:t xml:space="preserve">https://doi.org/10.1111/2041-210X.13851</w:t>
        </w:r>
      </w:hyperlink>
    </w:p>
    <w:bookmarkEnd w:id="131"/>
    <w:bookmarkStart w:id="133" w:name="ref-MorenoTorres2012"/>
    <w:p>
      <w:pPr>
        <w:pStyle w:val="Bibliography"/>
      </w:pPr>
      <w:r>
        <w:t xml:space="preserve">Moreno-Torres JG, Raeder T, Alaiz-Rodríguez R, et al (2012) A unifying view on dataset shift in classification. Pattern Recognition 45:521–530.</w:t>
      </w:r>
      <w:r>
        <w:t xml:space="preserve"> </w:t>
      </w:r>
      <w:hyperlink r:id="rId132">
        <w:r>
          <w:rPr>
            <w:rStyle w:val="Hyperlink"/>
          </w:rPr>
          <w:t xml:space="preserve">https://doi.org/10.1016/j.patcog.2011.06.019</w:t>
        </w:r>
      </w:hyperlink>
    </w:p>
    <w:bookmarkEnd w:id="133"/>
    <w:bookmarkStart w:id="135" w:name="ref-MunozSabater2021"/>
    <w:p>
      <w:pPr>
        <w:pStyle w:val="Bibliography"/>
      </w:pPr>
      <w:r>
        <w:t xml:space="preserve">Muñoz-Sabater J, Dutra E, Agustí-Panareda A, et al (2021)</w:t>
      </w:r>
      <w:r>
        <w:t xml:space="preserve"> </w:t>
      </w:r>
      <w:r>
        <w:t xml:space="preserve">ERA5-Land</w:t>
      </w:r>
      <w:r>
        <w:t xml:space="preserve">: A state-of-the-art global reanalysis dataset for land applications. Earth System Science Data 13:4349–4383.</w:t>
      </w:r>
      <w:r>
        <w:t xml:space="preserve"> </w:t>
      </w:r>
      <w:hyperlink r:id="rId134">
        <w:r>
          <w:rPr>
            <w:rStyle w:val="Hyperlink"/>
          </w:rPr>
          <w:t xml:space="preserve">https://doi.org/10.5194/essd-13-4349-2021</w:t>
        </w:r>
      </w:hyperlink>
    </w:p>
    <w:bookmarkEnd w:id="135"/>
    <w:bookmarkStart w:id="137" w:name="ref-Oliveira2012"/>
    <w:p>
      <w:pPr>
        <w:pStyle w:val="Bibliography"/>
      </w:pPr>
      <w:r>
        <w:t xml:space="preserve">Oliveira S, Oehler F, San-Miguel-Ayanz J, et al (2012) Modeling spatial patterns of fire occurrence in</w:t>
      </w:r>
      <w:r>
        <w:t xml:space="preserve"> </w:t>
      </w:r>
      <w:r>
        <w:t xml:space="preserve">Mediterranean Europe</w:t>
      </w:r>
      <w:r>
        <w:t xml:space="preserve"> </w:t>
      </w:r>
      <w:r>
        <w:t xml:space="preserve">using multiple regression and random forest. Forest Ecology and Management 275:117–129.</w:t>
      </w:r>
      <w:r>
        <w:t xml:space="preserve"> </w:t>
      </w:r>
      <w:hyperlink r:id="rId136">
        <w:r>
          <w:rPr>
            <w:rStyle w:val="Hyperlink"/>
          </w:rPr>
          <w:t xml:space="preserve">https://doi.org/10.1016/j.foreco.2012.03.003</w:t>
        </w:r>
      </w:hyperlink>
    </w:p>
    <w:bookmarkEnd w:id="137"/>
    <w:bookmarkStart w:id="139" w:name="ref-ParisienMoritz2009"/>
    <w:p>
      <w:pPr>
        <w:pStyle w:val="Bibliography"/>
      </w:pPr>
      <w:r>
        <w:t xml:space="preserve">Parisien M-A, Moritz MA (2009) Environmental controls on the distribution of wildfire at multiple spatial scales. Ecological Monographs 79:127–154.</w:t>
      </w:r>
      <w:r>
        <w:t xml:space="preserve"> </w:t>
      </w:r>
      <w:hyperlink r:id="rId138">
        <w:r>
          <w:rPr>
            <w:rStyle w:val="Hyperlink"/>
          </w:rPr>
          <w:t xml:space="preserve">https://doi.org/10.1890/07-1289.1</w:t>
        </w:r>
      </w:hyperlink>
    </w:p>
    <w:bookmarkEnd w:id="139"/>
    <w:bookmarkStart w:id="141" w:name="ref-Pausas2021"/>
    <w:p>
      <w:pPr>
        <w:pStyle w:val="Bibliography"/>
      </w:pPr>
      <w:r>
        <w:t xml:space="preserve">Pausas JG, Keeley JE (2021) Wildfires and global change. Frontiers in Ecology and the Environment 19:387–395.</w:t>
      </w:r>
      <w:r>
        <w:t xml:space="preserve"> </w:t>
      </w:r>
      <w:hyperlink r:id="rId140">
        <w:r>
          <w:rPr>
            <w:rStyle w:val="Hyperlink"/>
          </w:rPr>
          <w:t xml:space="preserve">https://doi.org/10.1002/fee.2359</w:t>
        </w:r>
      </w:hyperlink>
    </w:p>
    <w:bookmarkEnd w:id="141"/>
    <w:bookmarkStart w:id="143" w:name="ref-PausasPaula2012"/>
    <w:p>
      <w:pPr>
        <w:pStyle w:val="Bibliography"/>
      </w:pPr>
      <w:r>
        <w:t xml:space="preserve">Pausas JG, Paula S (2012) Fuel shapes the fire-climate relationship: Evidence from</w:t>
      </w:r>
      <w:r>
        <w:t xml:space="preserve"> </w:t>
      </w:r>
      <w:r>
        <w:t xml:space="preserve">Mediterranean</w:t>
      </w:r>
      <w:r>
        <w:t xml:space="preserve"> </w:t>
      </w:r>
      <w:r>
        <w:t xml:space="preserve">ecosystems. Global Ecology and Biogeography 21:1074–1082.</w:t>
      </w:r>
      <w:r>
        <w:t xml:space="preserve"> </w:t>
      </w:r>
      <w:hyperlink r:id="rId142">
        <w:r>
          <w:rPr>
            <w:rStyle w:val="Hyperlink"/>
          </w:rPr>
          <w:t xml:space="preserve">https://doi.org/10.1111/j.1466-8238.2012.00769.x</w:t>
        </w:r>
      </w:hyperlink>
    </w:p>
    <w:bookmarkEnd w:id="143"/>
    <w:bookmarkStart w:id="145" w:name="ref-Persello2012"/>
    <w:p>
      <w:pPr>
        <w:pStyle w:val="Bibliography"/>
      </w:pPr>
      <w:r>
        <w:t xml:space="preserve">Persello C, Bruzzone L (2012) Active learning for domain adaptation in the supervised classification of remote sensing images. IEEE Transactions on Geoscience and Remote Sensing 50:4468–4483.</w:t>
      </w:r>
      <w:r>
        <w:t xml:space="preserve"> </w:t>
      </w:r>
      <w:hyperlink r:id="rId144">
        <w:r>
          <w:rPr>
            <w:rStyle w:val="Hyperlink"/>
          </w:rPr>
          <w:t xml:space="preserve">https://doi.org/10.1109/TGRS.2012.2192740</w:t>
        </w:r>
      </w:hyperlink>
    </w:p>
    <w:bookmarkEnd w:id="145"/>
    <w:bookmarkStart w:id="147" w:name="ref-Ploton2020"/>
    <w:p>
      <w:pPr>
        <w:pStyle w:val="Bibliography"/>
      </w:pPr>
      <w:r>
        <w:t xml:space="preserve">Ploton P, Mortier F, Réjou-Méchain M, et al (2020) Spatial validation reveals poor predictive performance of large-scale ecological mapping models. Nature Communications 11:4540.</w:t>
      </w:r>
      <w:r>
        <w:t xml:space="preserve"> </w:t>
      </w:r>
      <w:hyperlink r:id="rId146">
        <w:r>
          <w:rPr>
            <w:rStyle w:val="Hyperlink"/>
          </w:rPr>
          <w:t xml:space="preserve">https://doi.org/10.1038/s41467-020-18321-y</w:t>
        </w:r>
      </w:hyperlink>
    </w:p>
    <w:bookmarkEnd w:id="147"/>
    <w:bookmarkStart w:id="149" w:name="ref-Podschwit2022"/>
    <w:p>
      <w:pPr>
        <w:pStyle w:val="Bibliography"/>
      </w:pPr>
      <w:r>
        <w:t xml:space="preserve">Podschwit H, Jolly W, Alvarado E, et al (2022) Reliability of cross-regional applications of global fire danger models: A</w:t>
      </w:r>
      <w:r>
        <w:t xml:space="preserve"> </w:t>
      </w:r>
      <w:r>
        <w:t xml:space="preserve">Peruvian</w:t>
      </w:r>
      <w:r>
        <w:t xml:space="preserve"> </w:t>
      </w:r>
      <w:r>
        <w:t xml:space="preserve">case study. Fire Ecology 18:25.</w:t>
      </w:r>
      <w:r>
        <w:t xml:space="preserve"> </w:t>
      </w:r>
      <w:hyperlink r:id="rId148">
        <w:r>
          <w:rPr>
            <w:rStyle w:val="Hyperlink"/>
          </w:rPr>
          <w:t xml:space="preserve">https://doi.org/10.1186/s42408-022-00150-7</w:t>
        </w:r>
      </w:hyperlink>
    </w:p>
    <w:bookmarkEnd w:id="149"/>
    <w:bookmarkStart w:id="151" w:name="ref-Roberts2017"/>
    <w:p>
      <w:pPr>
        <w:pStyle w:val="Bibliography"/>
      </w:pPr>
      <w:r>
        <w:t xml:space="preserve">Roberts DR, Bahn V, Ciuti S, et al (2017) Cross-validation strategies for data with temporal, spatial, hierarchical, or phylogenetic structure. Ecography 40:913–929.</w:t>
      </w:r>
      <w:r>
        <w:t xml:space="preserve"> </w:t>
      </w:r>
      <w:hyperlink r:id="rId150">
        <w:r>
          <w:rPr>
            <w:rStyle w:val="Hyperlink"/>
          </w:rPr>
          <w:t xml:space="preserve">https://doi.org/10.1111/ecog.02881</w:t>
        </w:r>
      </w:hyperlink>
    </w:p>
    <w:bookmarkEnd w:id="151"/>
    <w:bookmarkStart w:id="153" w:name="ref-Rousseau2022"/>
    <w:p>
      <w:pPr>
        <w:pStyle w:val="Bibliography"/>
      </w:pPr>
      <w:r>
        <w:t xml:space="preserve">Rousseau JS, Betts MG (2022) Factors influencing transferability in species distribution models. Ecography 2022:e06060.</w:t>
      </w:r>
      <w:r>
        <w:t xml:space="preserve"> </w:t>
      </w:r>
      <w:hyperlink r:id="rId152">
        <w:r>
          <w:rPr>
            <w:rStyle w:val="Hyperlink"/>
          </w:rPr>
          <w:t xml:space="preserve">https://doi.org/10.1111/ecog.06060</w:t>
        </w:r>
      </w:hyperlink>
    </w:p>
    <w:bookmarkEnd w:id="153"/>
    <w:bookmarkStart w:id="155" w:name="ref-Sandholt2002"/>
    <w:p>
      <w:pPr>
        <w:pStyle w:val="Bibliography"/>
      </w:pPr>
      <w:r>
        <w:t xml:space="preserve">Sandholt I, Rasmussen K, Andersen J (2002) A simple interpretation of the surface temperature/vegetation index space for assessment of surface moisture status. Remote Sensing of Environment 79:213–224.</w:t>
      </w:r>
      <w:r>
        <w:t xml:space="preserve"> </w:t>
      </w:r>
      <w:hyperlink r:id="rId154">
        <w:r>
          <w:rPr>
            <w:rStyle w:val="Hyperlink"/>
          </w:rPr>
          <w:t xml:space="preserve">https://doi.org/10.1016/S0034-4257(01)00274-7</w:t>
        </w:r>
      </w:hyperlink>
    </w:p>
    <w:bookmarkEnd w:id="155"/>
    <w:bookmarkStart w:id="157" w:name="ref-Schoener1968"/>
    <w:p>
      <w:pPr>
        <w:pStyle w:val="Bibliography"/>
      </w:pPr>
      <w:r>
        <w:t xml:space="preserve">Schoener TW (1968) The</w:t>
      </w:r>
      <w:r>
        <w:t xml:space="preserve"> </w:t>
      </w:r>
      <w:r>
        <w:t xml:space="preserve">Anolis</w:t>
      </w:r>
      <w:r>
        <w:t xml:space="preserve"> </w:t>
      </w:r>
      <w:r>
        <w:t xml:space="preserve">lizards of</w:t>
      </w:r>
      <w:r>
        <w:t xml:space="preserve"> </w:t>
      </w:r>
      <w:r>
        <w:t xml:space="preserve">Bimini</w:t>
      </w:r>
      <w:r>
        <w:t xml:space="preserve">: Resource partitioning in a complex fauna. Ecology 49:704–726.</w:t>
      </w:r>
      <w:r>
        <w:t xml:space="preserve"> </w:t>
      </w:r>
      <w:hyperlink r:id="rId156">
        <w:r>
          <w:rPr>
            <w:rStyle w:val="Hyperlink"/>
          </w:rPr>
          <w:t xml:space="preserve">https://doi.org/10.2307/1935534</w:t>
        </w:r>
      </w:hyperlink>
    </w:p>
    <w:bookmarkEnd w:id="157"/>
    <w:bookmarkStart w:id="159" w:name="ref-Sofaer2019"/>
    <w:p>
      <w:pPr>
        <w:pStyle w:val="Bibliography"/>
      </w:pPr>
      <w:r>
        <w:t xml:space="preserve">Sofaer HR, Hoeting JA, Jarnevich CS (2019) The area under the precision-recall curve as a performance metric for rare binary events. Methods in Ecology and Evolution 10:565–577.</w:t>
      </w:r>
      <w:r>
        <w:t xml:space="preserve"> </w:t>
      </w:r>
      <w:hyperlink r:id="rId158">
        <w:r>
          <w:rPr>
            <w:rStyle w:val="Hyperlink"/>
          </w:rPr>
          <w:t xml:space="preserve">https://doi.org/10.1111/2041-210X.13140</w:t>
        </w:r>
      </w:hyperlink>
    </w:p>
    <w:bookmarkEnd w:id="159"/>
    <w:bookmarkStart w:id="161" w:name="ref-Sun2016"/>
    <w:p>
      <w:pPr>
        <w:pStyle w:val="Bibliography"/>
      </w:pPr>
      <w:r>
        <w:t xml:space="preserve">Sun B, Feng J, Saenko K (2016)</w:t>
      </w:r>
      <w:r>
        <w:t xml:space="preserve"> </w:t>
      </w:r>
      <w:hyperlink r:id="rId160">
        <w:r>
          <w:rPr>
            <w:rStyle w:val="Hyperlink"/>
          </w:rPr>
          <w:t xml:space="preserve">Return of frustratingly easy domain adaptation</w:t>
        </w:r>
      </w:hyperlink>
      <w:r>
        <w:t xml:space="preserve">. In: Proceedings of the thirtieth</w:t>
      </w:r>
      <w:r>
        <w:t xml:space="preserve"> </w:t>
      </w:r>
      <w:r>
        <w:t xml:space="preserve">AAAI</w:t>
      </w:r>
      <w:r>
        <w:t xml:space="preserve"> </w:t>
      </w:r>
      <w:r>
        <w:t xml:space="preserve">conference on artificial intelligence (</w:t>
      </w:r>
      <w:r>
        <w:t xml:space="preserve">AAAI</w:t>
      </w:r>
      <w:r>
        <w:t xml:space="preserve">-16). AAAI Press, Phoenix, Arizona, USA, pp 2058–2065</w:t>
      </w:r>
    </w:p>
    <w:bookmarkEnd w:id="161"/>
    <w:bookmarkStart w:id="163" w:name="ref-Tuia2016"/>
    <w:p>
      <w:pPr>
        <w:pStyle w:val="Bibliography"/>
      </w:pPr>
      <w:r>
        <w:t xml:space="preserve">Tuia D, Persello C, Bruzzone L (2016) Domain adaptation for the classification of remote sensing data: An overview of recent advances. IEEE Geoscience and Remote Sensing Magazine 4:41–57.</w:t>
      </w:r>
      <w:r>
        <w:t xml:space="preserve"> </w:t>
      </w:r>
      <w:hyperlink r:id="rId162">
        <w:r>
          <w:rPr>
            <w:rStyle w:val="Hyperlink"/>
          </w:rPr>
          <w:t xml:space="preserve">https://doi.org/10.1109/MGRS.2016.2548504</w:t>
        </w:r>
      </w:hyperlink>
    </w:p>
    <w:bookmarkEnd w:id="163"/>
    <w:bookmarkStart w:id="165" w:name="ref-LandsatC2L2"/>
    <w:p>
      <w:pPr>
        <w:pStyle w:val="Bibliography"/>
      </w:pPr>
      <w:r>
        <w:t xml:space="preserve">U.S. Geological Survey Earth Resources Observation and Science (EROS) Center (2020) Landsat 8-9 operational land imager / thermal infrared sensor level-2, collection 2 [dataset]. US Geological Survey.</w:t>
      </w:r>
      <w:r>
        <w:t xml:space="preserve"> </w:t>
      </w:r>
      <w:hyperlink r:id="rId164">
        <w:r>
          <w:rPr>
            <w:rStyle w:val="Hyperlink"/>
          </w:rPr>
          <w:t xml:space="preserve">https://doi.org/10.5066/P9OGBGM6</w:t>
        </w:r>
      </w:hyperlink>
    </w:p>
    <w:bookmarkEnd w:id="165"/>
    <w:bookmarkStart w:id="167" w:name="ref-Valavi2019"/>
    <w:p>
      <w:pPr>
        <w:pStyle w:val="Bibliography"/>
      </w:pPr>
      <w:r>
        <w:t xml:space="preserve">Valavi R, Elith J, Lahoz-Monfort JJ, Guillera-Arroita G (2019)</w:t>
      </w:r>
      <w:r>
        <w:t xml:space="preserve"> </w:t>
      </w:r>
      <w:r>
        <w:t xml:space="preserve">blockCV</w:t>
      </w:r>
      <w:r>
        <w:t xml:space="preserve">: An</w:t>
      </w:r>
      <w:r>
        <w:t xml:space="preserve"> </w:t>
      </w:r>
      <w:r>
        <w:t xml:space="preserve">R</w:t>
      </w:r>
      <w:r>
        <w:t xml:space="preserve"> </w:t>
      </w:r>
      <w:r>
        <w:t xml:space="preserve">package for generating spatially or environmentally separated folds for k-fold cross-validation of species distribution models. Methods in Ecology and Evolution 10:225–232.</w:t>
      </w:r>
      <w:r>
        <w:t xml:space="preserve"> </w:t>
      </w:r>
      <w:hyperlink r:id="rId166">
        <w:r>
          <w:rPr>
            <w:rStyle w:val="Hyperlink"/>
          </w:rPr>
          <w:t xml:space="preserve">https://doi.org/10.1111/2041-210X.13107</w:t>
        </w:r>
      </w:hyperlink>
    </w:p>
    <w:bookmarkEnd w:id="167"/>
    <w:bookmarkStart w:id="169" w:name="ref-VanDerWal2009"/>
    <w:p>
      <w:pPr>
        <w:pStyle w:val="Bibliography"/>
      </w:pPr>
      <w:r>
        <w:t xml:space="preserve">VanDerWal J, Shoo LP, Graham C, Williams SE (2009) Selecting pseudo-absence data for presence-only distribution modeling: How far should you stray from what you know? Ecological Modelling 220:589–594.</w:t>
      </w:r>
      <w:r>
        <w:t xml:space="preserve"> </w:t>
      </w:r>
      <w:hyperlink r:id="rId168">
        <w:r>
          <w:rPr>
            <w:rStyle w:val="Hyperlink"/>
          </w:rPr>
          <w:t xml:space="preserve">https://doi.org/10.1016/j.ecolmodel.2008.11.010</w:t>
        </w:r>
      </w:hyperlink>
    </w:p>
    <w:bookmarkEnd w:id="169"/>
    <w:bookmarkStart w:id="171" w:name="ref-Vesk2021"/>
    <w:p>
      <w:pPr>
        <w:pStyle w:val="Bibliography"/>
      </w:pPr>
      <w:r>
        <w:t xml:space="preserve">Vesk PA, Morris WK, Neal WC, et al (2021) Transferability of trait-based species distribution models. Ecography 44:134–147.</w:t>
      </w:r>
      <w:r>
        <w:t xml:space="preserve"> </w:t>
      </w:r>
      <w:hyperlink r:id="rId170">
        <w:r>
          <w:rPr>
            <w:rStyle w:val="Hyperlink"/>
          </w:rPr>
          <w:t xml:space="preserve">https://doi.org/10.1111/ecog.05179</w:t>
        </w:r>
      </w:hyperlink>
    </w:p>
    <w:bookmarkEnd w:id="171"/>
    <w:bookmarkStart w:id="173" w:name="ref-Vibhandik2026"/>
    <w:p>
      <w:pPr>
        <w:pStyle w:val="Bibliography"/>
      </w:pPr>
      <w:r>
        <w:t xml:space="preserve">Vibhandik P, Sawant S, Joshi A, Bidwe R (2026) A systematic literature review on forest fire susceptibility mapping using geo-spatial technology and future research directions. Discover Artificial Intelligence 6:396.</w:t>
      </w:r>
      <w:r>
        <w:t xml:space="preserve"> </w:t>
      </w:r>
      <w:hyperlink r:id="rId172">
        <w:r>
          <w:rPr>
            <w:rStyle w:val="Hyperlink"/>
          </w:rPr>
          <w:t xml:space="preserve">https://doi.org/10.1007/s44163-026-00921-0</w:t>
        </w:r>
      </w:hyperlink>
    </w:p>
    <w:bookmarkEnd w:id="173"/>
    <w:bookmarkStart w:id="175" w:name="ref-Wadoux2021"/>
    <w:p>
      <w:pPr>
        <w:pStyle w:val="Bibliography"/>
      </w:pPr>
      <w:r>
        <w:t xml:space="preserve">Wadoux AMJ-C, Heuvelink GBM, Bruin S de, Brus DJ (2021) Spatial cross-validation is not the right way to evaluate map accuracy. Ecological Modelling 457:109692.</w:t>
      </w:r>
      <w:r>
        <w:t xml:space="preserve"> </w:t>
      </w:r>
      <w:hyperlink r:id="rId174">
        <w:r>
          <w:rPr>
            <w:rStyle w:val="Hyperlink"/>
          </w:rPr>
          <w:t xml:space="preserve">https://doi.org/10.1016/j.ecolmodel.2021.109692</w:t>
        </w:r>
      </w:hyperlink>
    </w:p>
    <w:bookmarkEnd w:id="175"/>
    <w:bookmarkStart w:id="177" w:name="ref-MOD11A1"/>
    <w:p>
      <w:pPr>
        <w:pStyle w:val="Bibliography"/>
      </w:pPr>
      <w:r>
        <w:t xml:space="preserve">Wan Z, Hook S, Hulley G (2021)</w:t>
      </w:r>
      <w:r>
        <w:t xml:space="preserve"> </w:t>
      </w:r>
      <w:r>
        <w:t xml:space="preserve">MODIS/Terra</w:t>
      </w:r>
      <w:r>
        <w:t xml:space="preserve"> </w:t>
      </w:r>
      <w:r>
        <w:t xml:space="preserve">land surface temperature/emissivity daily</w:t>
      </w:r>
      <w:r>
        <w:t xml:space="preserve"> </w:t>
      </w:r>
      <w:r>
        <w:t xml:space="preserve">L3</w:t>
      </w:r>
      <w:r>
        <w:t xml:space="preserve"> </w:t>
      </w:r>
      <w:r>
        <w:t xml:space="preserve">global 1km</w:t>
      </w:r>
      <w:r>
        <w:t xml:space="preserve"> </w:t>
      </w:r>
      <w:r>
        <w:t xml:space="preserve">SIN</w:t>
      </w:r>
      <w:r>
        <w:t xml:space="preserve"> </w:t>
      </w:r>
      <w:r>
        <w:t xml:space="preserve">grid</w:t>
      </w:r>
      <w:r>
        <w:t xml:space="preserve"> </w:t>
      </w:r>
      <w:r>
        <w:t xml:space="preserve">V061</w:t>
      </w:r>
      <w:r>
        <w:t xml:space="preserve"> </w:t>
      </w:r>
      <w:r>
        <w:t xml:space="preserve">[dataset]. NASA Land Processes Distributed Active Archive Center.</w:t>
      </w:r>
      <w:r>
        <w:t xml:space="preserve"> </w:t>
      </w:r>
      <w:hyperlink r:id="rId176">
        <w:r>
          <w:rPr>
            <w:rStyle w:val="Hyperlink"/>
          </w:rPr>
          <w:t xml:space="preserve">https://doi.org/10.5067/MODIS/MOD11A1.061</w:t>
        </w:r>
      </w:hyperlink>
    </w:p>
    <w:bookmarkEnd w:id="177"/>
    <w:bookmarkStart w:id="179" w:name="ref-Warren2008"/>
    <w:p>
      <w:pPr>
        <w:pStyle w:val="Bibliography"/>
      </w:pPr>
      <w:r>
        <w:t xml:space="preserve">Warren DL, Glor RE, Turelli M (2008) Environmental niche equivalency versus conservatism: Quantitative approaches to niche evolution. Evolution 62:2868–2883.</w:t>
      </w:r>
      <w:r>
        <w:t xml:space="preserve"> </w:t>
      </w:r>
      <w:hyperlink r:id="rId178">
        <w:r>
          <w:rPr>
            <w:rStyle w:val="Hyperlink"/>
          </w:rPr>
          <w:t xml:space="preserve">https://doi.org/10.1111/j.1558-5646.2008.00482.x</w:t>
        </w:r>
      </w:hyperlink>
    </w:p>
    <w:bookmarkEnd w:id="179"/>
    <w:bookmarkStart w:id="181" w:name="ref-Xu2026"/>
    <w:p>
      <w:pPr>
        <w:pStyle w:val="Bibliography"/>
      </w:pPr>
      <w:r>
        <w:t xml:space="preserve">Xu Y, Dai Y, Chang L, et al (2026) Does your wildfire prediction model actually work, or just score well? arXiv preprint arXiv:2605.18911.</w:t>
      </w:r>
      <w:r>
        <w:t xml:space="preserve"> </w:t>
      </w:r>
      <w:hyperlink r:id="rId180">
        <w:r>
          <w:rPr>
            <w:rStyle w:val="Hyperlink"/>
          </w:rPr>
          <w:t xml:space="preserve">https://doi.org/10.48550/arXiv.2605.18911</w:t>
        </w:r>
      </w:hyperlink>
    </w:p>
    <w:bookmarkEnd w:id="181"/>
    <w:bookmarkStart w:id="183" w:name="ref-Yates2018"/>
    <w:p>
      <w:pPr>
        <w:pStyle w:val="Bibliography"/>
      </w:pPr>
      <w:r>
        <w:t xml:space="preserve">Yates KL, Bouchet PJ, Caley MJ, et al (2018) Outstanding challenges in the transferability of ecological models. Trends in Ecology &amp; Evolution 33:790–802.</w:t>
      </w:r>
      <w:r>
        <w:t xml:space="preserve"> </w:t>
      </w:r>
      <w:hyperlink r:id="rId182">
        <w:r>
          <w:rPr>
            <w:rStyle w:val="Hyperlink"/>
          </w:rPr>
          <w:t xml:space="preserve">https://doi.org/10.1016/j.tree.2018.08.001</w:t>
        </w:r>
      </w:hyperlink>
    </w:p>
    <w:bookmarkEnd w:id="183"/>
    <w:bookmarkStart w:id="185" w:name="ref-Yebra2013"/>
    <w:p>
      <w:pPr>
        <w:pStyle w:val="Bibliography"/>
      </w:pPr>
      <w:r>
        <w:t xml:space="preserve">Yebra M, Dennison PE, Chuvieco E, et al (2013) A global review of remote sensing of live fuel moisture content for fire danger assessment: Moving towards operational products. Remote Sensing of Environment 136:455–468.</w:t>
      </w:r>
      <w:r>
        <w:t xml:space="preserve"> </w:t>
      </w:r>
      <w:hyperlink r:id="rId184">
        <w:r>
          <w:rPr>
            <w:rStyle w:val="Hyperlink"/>
          </w:rPr>
          <w:t xml:space="preserve">https://doi.org/10.1016/j.rse.2013.05.029</w:t>
        </w:r>
      </w:hyperlink>
    </w:p>
    <w:bookmarkEnd w:id="185"/>
    <w:bookmarkStart w:id="187" w:name="ref-Zanaga2022"/>
    <w:p>
      <w:pPr>
        <w:pStyle w:val="Bibliography"/>
      </w:pPr>
      <w:r>
        <w:t xml:space="preserve">Zanaga D, Van De Kerchove R, Daems D, et al (2022)</w:t>
      </w:r>
      <w:r>
        <w:t xml:space="preserve"> </w:t>
      </w:r>
      <w:r>
        <w:t xml:space="preserve">ESA</w:t>
      </w:r>
      <w:r>
        <w:t xml:space="preserve"> </w:t>
      </w:r>
      <w:r>
        <w:t xml:space="preserve">WorldCover</w:t>
      </w:r>
      <w:r>
        <w:t xml:space="preserve"> </w:t>
      </w:r>
      <w:r>
        <w:t xml:space="preserve">10 m 2021 v200. Zenodo.</w:t>
      </w:r>
      <w:r>
        <w:t xml:space="preserve"> </w:t>
      </w:r>
      <w:hyperlink r:id="rId186">
        <w:r>
          <w:rPr>
            <w:rStyle w:val="Hyperlink"/>
          </w:rPr>
          <w:t xml:space="preserve">https://doi.org/10.5281/zenodo.7254221</w:t>
        </w:r>
      </w:hyperlink>
    </w:p>
    <w:bookmarkEnd w:id="187"/>
    <w:bookmarkEnd w:id="188"/>
    <w:bookmarkEnd w:id="189"/>
    <w:bookmarkStart w:id="190" w:name="figure-captions"/>
    <w:p>
      <w:pPr>
        <w:pStyle w:val="Heading1"/>
      </w:pPr>
      <w:r>
        <w:t xml:space="preserve">Figure captions</w:t>
      </w:r>
    </w:p>
    <w:p>
      <w:pPr>
        <w:pStyle w:val="FirstParagraph"/>
      </w:pPr>
      <w:r>
        <w:rPr>
          <w:b/>
          <w:bCs/>
        </w:rPr>
        <w:t xml:space="preserve">Fig. 1</w:t>
      </w:r>
      <w:r>
        <w:t xml:space="preserve"> </w:t>
      </w:r>
      <w:r>
        <w:rPr>
          <w:b/>
          <w:bCs/>
        </w:rPr>
        <w:t xml:space="preserve">Study regions and the gate negative control.</w:t>
      </w:r>
      <w:r>
        <w:t xml:space="preserve"> </w:t>
      </w:r>
      <w:r>
        <w:t xml:space="preserve">The five fire regions are shown in blue: Manavgat 2021 and Muğla 2021 (Türkiye), Bejís 2022 (Spain), North Evia 2021 (Greece, extended area) and Montiferru 2021 (Sardinia, Italy). Rectangles are the study areas. Kozan 2023 (grey, dashed) is the negative control of the admissibility gate and is not used in any model. Coastlines are from Natural Earth 1:50 m. Country borders are not shown. The scale bar is exact only at 38°N. Bounding boxes are given in Table S19.</w:t>
      </w:r>
    </w:p>
    <w:p>
      <w:pPr>
        <w:pStyle w:val="BodyText"/>
      </w:pPr>
      <w:r>
        <w:rPr>
          <w:b/>
          <w:bCs/>
        </w:rPr>
        <w:t xml:space="preserve">Fig. 2</w:t>
      </w:r>
      <w:r>
        <w:t xml:space="preserve"> </w:t>
      </w:r>
      <w:r>
        <w:rPr>
          <w:b/>
          <w:bCs/>
        </w:rPr>
        <w:t xml:space="preserve">Processing chain and evaluation design.</w:t>
      </w:r>
      <w:r>
        <w:t xml:space="preserve"> </w:t>
      </w:r>
      <w:r>
        <w:t xml:space="preserve">Each box names the Methods section that describes it. Five source products (MCD64A1, Landsat Collection 2 Level-2, MOD11A1, Copernicus DEM GLO-30 and ESA WorldCover) are combined on the</w:t>
      </w:r>
      <w:r>
        <w:t xml:space="preserve"> </w:t>
      </w:r>
      <m:oMath>
        <m:r>
          <m:rPr>
            <m:sty m:val="p"/>
          </m:rPr>
          <m:t>∼</m:t>
        </m:r>
      </m:oMath>
      <w:r>
        <w:t xml:space="preserve">510 m analysis grid. Regions that pass the admissibility gate are used in the natural-vegetation population. Kozan 2023 fails the gate (98% of its burned area is cropland) and is not modelled. Two evaluations are made: within-region cross-validation and cross-region transfer in 20 directions, with and without label-free adaptation. Both are combined in the transfer-gap decomposition (§3.10). Leakage control, seed 42 and the spatial-block bootstrap (§3.13) apply throughout.</w:t>
      </w:r>
    </w:p>
    <w:p>
      <w:pPr>
        <w:pStyle w:val="BodyText"/>
      </w:pPr>
      <w:r>
        <w:rPr>
          <w:b/>
          <w:bCs/>
        </w:rPr>
        <w:t xml:space="preserve">Fig. 3</w:t>
      </w:r>
      <w:r>
        <w:t xml:space="preserve"> </w:t>
      </w:r>
      <w:r>
        <w:rPr>
          <w:b/>
          <w:bCs/>
        </w:rPr>
        <w:t xml:space="preserve">The within-region thermal gain in all five regions, by block size.</w:t>
      </w:r>
      <w:r>
        <w:t xml:space="preserve"> </w:t>
      </w:r>
      <w:r>
        <w:t xml:space="preserve">Natural-vegetation population; random forest; 95% spatial-block bootstrap intervals (1000 replicates, seed 42).</w:t>
      </w:r>
      <w:r>
        <w:t xml:space="preserve"> </w:t>
      </w:r>
      <w:r>
        <w:rPr>
          <w:b/>
          <w:bCs/>
        </w:rPr>
        <w:t xml:space="preserve">(a)</w:t>
      </w:r>
      <w:r>
        <w:t xml:space="preserve"> </w:t>
      </w:r>
      <w:r>
        <w:t xml:space="preserve">Baseline (open marker) and thermal (filled marker) ROC-AUC at 2-cell (</w:t>
      </w:r>
      <m:oMath>
        <m:r>
          <m:rPr>
            <m:sty m:val="p"/>
          </m:rPr>
          <m:t>∼</m:t>
        </m:r>
      </m:oMath>
      <w:r>
        <w:t xml:space="preserve">1 km) blocking. The right-hand column gives the paired</w:t>
      </w:r>
      <w:r>
        <w:t xml:space="preserve"> </w:t>
      </w:r>
      <m:oMath>
        <m:r>
          <m:rPr>
            <m:sty m:val="p"/>
          </m:rPr>
          <m:t>Δ</m:t>
        </m:r>
      </m:oMath>
      <w:r>
        <w:t xml:space="preserve">AUC and its interval.</w:t>
      </w:r>
      <w:r>
        <w:t xml:space="preserve"> </w:t>
      </w:r>
      <w:r>
        <w:rPr>
          <w:b/>
          <w:bCs/>
        </w:rPr>
        <w:t xml:space="preserve">(b)</w:t>
      </w:r>
      <w:r>
        <w:t xml:space="preserve"> </w:t>
      </w:r>
      <w:r>
        <w:t xml:space="preserve">Thermal ROC-AUC at 2, 10 and 20 cells (</w:t>
      </w:r>
      <m:oMath>
        <m:r>
          <m:rPr>
            <m:sty m:val="p"/>
          </m:rPr>
          <m:t>≈</m:t>
        </m:r>
      </m:oMath>
      <w:r>
        <w:t xml:space="preserve">1, 5 and 10 km). Skill falls as the blocks become larger.</w:t>
      </w:r>
      <w:r>
        <w:t xml:space="preserve"> </w:t>
      </w:r>
      <w:r>
        <w:rPr>
          <w:b/>
          <w:bCs/>
        </w:rPr>
        <w:t xml:space="preserve">(c)</w:t>
      </w:r>
      <w:r>
        <w:t xml:space="preserve"> </w:t>
      </w:r>
      <m:oMath>
        <m:r>
          <m:rPr>
            <m:sty m:val="p"/>
          </m:rPr>
          <m:t>Δ</m:t>
        </m:r>
      </m:oMath>
      <w:r>
        <w:t xml:space="preserve">AUC at the same block sizes. The interval excludes zero in all regions at 2 and 10 cells. At 20 cells only 6 to 33 blocks contain burned cells, so these intervals are indicative (Table 1, note). Colour and marker shape both show the region.</w:t>
      </w:r>
    </w:p>
    <w:p>
      <w:pPr>
        <w:pStyle w:val="BodyText"/>
      </w:pPr>
      <w:r>
        <w:rPr>
          <w:b/>
          <w:bCs/>
        </w:rPr>
        <w:t xml:space="preserve">Fig. 4</w:t>
      </w:r>
      <w:r>
        <w:t xml:space="preserve"> </w:t>
      </w:r>
      <w:r>
        <w:rPr>
          <w:b/>
          <w:bCs/>
        </w:rPr>
        <w:t xml:space="preserve">Cross-region transfer, without and with label-free adaptation.</w:t>
      </w:r>
      <w:r>
        <w:t xml:space="preserve"> </w:t>
      </w:r>
      <w:r>
        <w:t xml:space="preserve">Thermal transfer ROC-AUC for the 20 ordered directions; natural-vegetation population; original study areas.</w:t>
      </w:r>
      <w:r>
        <w:t xml:space="preserve"> </w:t>
      </w:r>
      <w:r>
        <w:rPr>
          <w:b/>
          <w:bCs/>
        </w:rPr>
        <w:t xml:space="preserve">(a)</w:t>
      </w:r>
      <w:r>
        <w:t xml:space="preserve"> </w:t>
      </w:r>
      <w:r>
        <w:t xml:space="preserve">Raw transfer.</w:t>
      </w:r>
      <w:r>
        <w:t xml:space="preserve"> </w:t>
      </w:r>
      <w:r>
        <w:rPr>
          <w:b/>
          <w:bCs/>
        </w:rPr>
        <w:t xml:space="preserve">(b)</w:t>
      </w:r>
      <w:r>
        <w:t xml:space="preserve"> </w:t>
      </w:r>
      <w:r>
        <w:t xml:space="preserve">After region-wise z-scoring.</w:t>
      </w:r>
      <w:r>
        <w:t xml:space="preserve"> </w:t>
      </w:r>
      <w:r>
        <w:rPr>
          <w:b/>
          <w:bCs/>
        </w:rPr>
        <w:t xml:space="preserve">(c)</w:t>
      </w:r>
      <w:r>
        <w:t xml:space="preserve"> </w:t>
      </w:r>
      <w:r>
        <w:t xml:space="preserve">After CORAL. Rows are source regions and columns are target regions (Man. = Manavgat, Bej. = Bejís, Muğ. = Muğla, Evia = North Evia, Mont. = Montiferru). The diagonal is empty. The colour scale is centred on 0.5: orange is below chance and purple is above. Cells below chance are also hatched. In (a), a dot marks a direction whose 10-cell (</w:t>
      </w:r>
      <m:oMath>
        <m:r>
          <m:rPr>
            <m:sty m:val="p"/>
          </m:rPr>
          <m:t>≈</m:t>
        </m:r>
      </m:oMath>
      <w:r>
        <w:t xml:space="preserve">5 km) target-block interval excludes 0.5 (nine above and six below chance). The ranges are 0.314 to 0.677 (raw), 0.302 to 0.630 (z-score) and 0.406 to 0.624 (CORAL). Adaptation moves the matrix toward chance. Under z-scoring, Bejís</w:t>
      </w:r>
      <m:oMath>
        <m:r>
          <m:rPr>
            <m:sty m:val="p"/>
          </m:rPr>
          <m:t>→</m:t>
        </m:r>
      </m:oMath>
      <w:r>
        <w:t xml:space="preserve">Manavgat falls further below chance (0.314 to 0.302). Hatching uses the exact value, so three cells printed as 0.50 are hatched differently (CORAL Bejís</w:t>
      </w:r>
      <m:oMath>
        <m:r>
          <m:rPr>
            <m:sty m:val="p"/>
          </m:rPr>
          <m:t>→</m:t>
        </m:r>
      </m:oMath>
      <w:r>
        <w:t xml:space="preserve">Evia is 0.4991). Intervals are given in Table S16.</w:t>
      </w:r>
    </w:p>
    <w:p>
      <w:pPr>
        <w:pStyle w:val="BodyText"/>
      </w:pPr>
      <w:r>
        <w:rPr>
          <w:b/>
          <w:bCs/>
        </w:rPr>
        <w:t xml:space="preserve">Fig. 5</w:t>
      </w:r>
      <w:r>
        <w:t xml:space="preserve"> </w:t>
      </w:r>
      <w:r>
        <w:rPr>
          <w:b/>
          <w:bCs/>
        </w:rPr>
        <w:t xml:space="preserve">Label-free adaptation moves transfer toward chance.</w:t>
      </w:r>
      <w:r>
        <w:t xml:space="preserve"> </w:t>
      </w:r>
      <w:r>
        <w:t xml:space="preserve">The 12 ordered directions among Manavgat, Bejís, Muğla and Evia, the four regions of the pipeline’s gap decomposition; Montiferru is not part of that decomposition. Natural-vegetation population; original study areas. The open circle is raw transfer ROC-AUC. The arrow ends at the better of the two adapted results (z-score or CORAL). This choice uses target labels, so the arrows show an optimistic case. A cross marks the result of CORAL alone, which uses no target labels. The grey tick is the target’s within-region reference at 1 km blocking, and the dashed line is chance.</w:t>
      </w:r>
      <w:r>
        <w:t xml:space="preserve"> </w:t>
      </w:r>
      <w:r>
        <w:rPr>
          <w:b/>
          <w:bCs/>
        </w:rPr>
        <w:t xml:space="preserve">Solid blue arrows (five) move toward the reference; dashed orange arrows (seven) move away from it.</w:t>
      </w:r>
      <w:r>
        <w:t xml:space="preserve"> </w:t>
      </w:r>
      <w:r>
        <w:t xml:space="preserve">Eleven of twelve directions end closer to chance. The exception is Manavgat</w:t>
      </w:r>
      <m:oMath>
        <m:r>
          <m:rPr>
            <m:sty m:val="p"/>
          </m:rPr>
          <m:t>→</m:t>
        </m:r>
      </m:oMath>
      <w:r>
        <w:t xml:space="preserve">Muğla (0.438 to 0.427). Bejís</w:t>
      </w:r>
      <m:oMath>
        <m:r>
          <m:rPr>
            <m:sty m:val="p"/>
          </m:rPr>
          <m:t>→</m:t>
        </m:r>
      </m:oMath>
      <w:r>
        <w:t xml:space="preserve">Manavgat is shown as a recovery because CORAL raises it from 0.314 to 0.406; under z-scoring it falls to 0.302 (Fig. 4). The largest loss is Evia</w:t>
      </w:r>
      <m:oMath>
        <m:r>
          <m:rPr>
            <m:sty m:val="p"/>
          </m:rPr>
          <m:t>→</m:t>
        </m:r>
      </m:oMath>
      <w:r>
        <w:t xml:space="preserve">Manavgat, from 0.677 to 0.417, against a reference of 0.908 (recovered fraction</w:t>
      </w:r>
      <w:r>
        <w:t xml:space="preserve"> </w:t>
      </w:r>
      <m:oMath>
        <m:r>
          <m:rPr>
            <m:sty m:val="p"/>
          </m:rPr>
          <m:t>−</m:t>
        </m:r>
        <m:r>
          <m:t>1.126</m:t>
        </m:r>
      </m:oMath>
      <w:r>
        <w:t xml:space="preserve">). No arrow reaches its reference.</w:t>
      </w:r>
    </w:p>
    <w:p>
      <w:pPr>
        <w:pStyle w:val="BodyText"/>
      </w:pPr>
      <w:r>
        <w:rPr>
          <w:b/>
          <w:bCs/>
        </w:rPr>
        <w:t xml:space="preserve">Fig. 6</w:t>
      </w:r>
      <w:r>
        <w:t xml:space="preserve"> </w:t>
      </w:r>
      <w:r>
        <w:rPr>
          <w:b/>
          <w:bCs/>
        </w:rPr>
        <w:t xml:space="preserve">Pooling the other regions helps one target of five.</w:t>
      </w:r>
      <w:r>
        <w:t xml:space="preserve"> </w:t>
      </w:r>
      <w:r>
        <w:t xml:space="preserve">For each target (row), a model trained on the other four regions together (filled orange circle, with its 95% spatial-block,</w:t>
      </w:r>
      <w:r>
        <w:t xml:space="preserve"> </w:t>
      </w:r>
      <m:oMath>
        <m:r>
          <m:rPr>
            <m:sty m:val="p"/>
          </m:rPr>
          <m:t>≈</m:t>
        </m:r>
      </m:oMath>
      <w:r>
        <w:t xml:space="preserve">5 km, bootstrap interval below the row) is compared with the mean of the four single-source models (open grey square) and the best single source (open blue diamond; this choice uses target labels). The grey tick is the within-region ceiling, and the dashed line is chance. Natural-vegetation population; thermal feature set; no adaptation. The pooled model is better than the mean single source only for Evia, at 0.715 [0.668, 0.757] against 0.569, and there it is also better than the best single source, 0.654. For Manavgat and Bejís it is below chance at the point estimate (0.426 and 0.458). Only the Manavgat interval lies fully below chance. All points are far below the within-region ceiling.</w:t>
      </w:r>
    </w:p>
    <w:p>
      <w:pPr>
        <w:pStyle w:val="BodyText"/>
      </w:pPr>
      <w:r>
        <w:rPr>
          <w:b/>
          <w:bCs/>
        </w:rPr>
        <w:t xml:space="preserve">Fig. 7</w:t>
      </w:r>
      <w:r>
        <w:t xml:space="preserve"> </w:t>
      </w:r>
      <w:r>
        <w:rPr>
          <w:b/>
          <w:bCs/>
        </w:rPr>
        <w:t xml:space="preserve">Removing the reversing features costs local skill and gives no measurable transfer gain.</w:t>
      </w:r>
      <w:r>
        <w:t xml:space="preserve"> </w:t>
      </w:r>
      <w:r>
        <w:t xml:space="preserve">Mean within-region ROC-AUC over five regions (horizontal) against mean transfer ROC-AUC over 20 directions (vertical), for four feature sets: the full thermal set, without the LST anomaly, without elevation, and without both. Along the grey path, within-region skill falls (0.896</w:t>
      </w:r>
      <w:r>
        <w:t xml:space="preserve"> </w:t>
      </w:r>
      <m:oMath>
        <m:r>
          <m:rPr>
            <m:sty m:val="p"/>
          </m:rPr>
          <m:t>→</m:t>
        </m:r>
      </m:oMath>
      <w:r>
        <w:t xml:space="preserve"> </w:t>
      </w:r>
      <w:r>
        <w:t xml:space="preserve">0.820) and mean transfer rises (0.527</w:t>
      </w:r>
      <w:r>
        <w:t xml:space="preserve"> </w:t>
      </w:r>
      <m:oMath>
        <m:r>
          <m:rPr>
            <m:sty m:val="p"/>
          </m:rPr>
          <m:t>→</m:t>
        </m:r>
      </m:oMath>
      <w:r>
        <w:t xml:space="preserve"> </w:t>
      </w:r>
      <w:r>
        <w:t xml:space="preserve">0.541). The within-region cost is 0.076 AUC and is supported in every region. The change in transfer is</w:t>
      </w:r>
      <w:r>
        <w:t xml:space="preserve"> </w:t>
      </w:r>
      <m:oMath>
        <m:r>
          <m:rPr>
            <m:sty m:val="p"/>
          </m:rPr>
          <m:t>+</m:t>
        </m:r>
      </m:oMath>
      <w:r>
        <w:t xml:space="preserve">0.014 AUC, with a pair-</w:t>
      </w:r>
      <m:oMath>
        <m:r>
          <m:t>t</m:t>
        </m:r>
      </m:oMath>
      <w:r>
        <w:t xml:space="preserve"> </w:t>
      </w:r>
      <w:r>
        <w:t xml:space="preserve">interval over ten region pairs of [</w:t>
      </w:r>
      <m:oMath>
        <m:r>
          <m:rPr>
            <m:sty m:val="p"/>
          </m:rPr>
          <m:t>−</m:t>
        </m:r>
      </m:oMath>
      <w:r>
        <w:t xml:space="preserve">0.028,</w:t>
      </w:r>
      <w:r>
        <w:t xml:space="preserve"> </w:t>
      </w:r>
      <m:oMath>
        <m:r>
          <m:rPr>
            <m:sty m:val="p"/>
          </m:rPr>
          <m:t>+</m:t>
        </m:r>
      </m:oMath>
      <w:r>
        <w:t xml:space="preserve">0.056], which includes zero. The vertical whisker shows this interval around the full-set transfer level (dotted line).</w:t>
      </w:r>
    </w:p>
    <w:p>
      <w:pPr>
        <w:pStyle w:val="BodyText"/>
      </w:pPr>
      <w:r>
        <w:rPr>
          <w:b/>
          <w:bCs/>
        </w:rPr>
        <w:t xml:space="preserve">Fig. 8</w:t>
      </w:r>
      <w:r>
        <w:t xml:space="preserve"> </w:t>
      </w:r>
      <w:r>
        <w:rPr>
          <w:b/>
          <w:bCs/>
        </w:rPr>
        <w:t xml:space="preserve">The contrast pairs.</w:t>
      </w:r>
      <w:r>
        <w:t xml:space="preserve"> </w:t>
      </w:r>
      <w:r>
        <w:rPr>
          <w:b/>
          <w:bCs/>
        </w:rPr>
        <w:t xml:space="preserve">(a)</w:t>
      </w:r>
      <w:r>
        <w:t xml:space="preserve"> </w:t>
      </w:r>
      <w:r>
        <w:t xml:space="preserve">Manavgat and Muğla have the highest niche overlap (mean one-dimensional Schoener’s</w:t>
      </w:r>
      <w:r>
        <w:t xml:space="preserve"> </w:t>
      </w:r>
      <m:oMath>
        <m:r>
          <m:t>D</m:t>
        </m:r>
      </m:oMath>
      <w:r>
        <w:t xml:space="preserve">,</w:t>
      </w:r>
      <w:r>
        <w:t xml:space="preserve"> </w:t>
      </w:r>
      <m:oMath>
        <m:acc>
          <m:accPr>
            <m:chr m:val="‾"/>
          </m:accPr>
          <m:e>
            <m:r>
              <m:t>D</m:t>
            </m:r>
          </m:e>
        </m:acc>
        <m:r>
          <m:rPr>
            <m:sty m:val="p"/>
          </m:rPr>
          <m:t>=</m:t>
        </m:r>
        <m:r>
          <m:t>0.80</m:t>
        </m:r>
      </m:oMath>
      <w:r>
        <w:t xml:space="preserve">; rank 1 of 10 on all five overlap measures). Transfer is below chance in both directions at the point estimates (0.438 and 0.345).</w:t>
      </w:r>
      <w:r>
        <w:t xml:space="preserve"> </w:t>
      </w:r>
      <w:r>
        <w:rPr>
          <w:b/>
          <w:bCs/>
        </w:rPr>
        <w:t xml:space="preserve">(b)</w:t>
      </w:r>
      <w:r>
        <w:t xml:space="preserve"> </w:t>
      </w:r>
      <w:r>
        <w:t xml:space="preserve">Bejís and Montiferru have the lowest overlap (</w:t>
      </w:r>
      <m:oMath>
        <m:acc>
          <m:accPr>
            <m:chr m:val="‾"/>
          </m:accPr>
          <m:e>
            <m:r>
              <m:t>D</m:t>
            </m:r>
          </m:e>
        </m:acc>
        <m:r>
          <m:rPr>
            <m:sty m:val="p"/>
          </m:rPr>
          <m:t>=</m:t>
        </m:r>
        <m:r>
          <m:t>0.48</m:t>
        </m:r>
      </m:oMath>
      <w:r>
        <w:t xml:space="preserve">, rank 10). Transfer is above chance in both directions (0.594 and 0.548). Arrows run from 0.5 to the signed univariate AUC of each feature in each region. A filled arrowhead marks a 95% spatial-block (10-cell,</w:t>
      </w:r>
      <w:r>
        <w:t xml:space="preserve"> </w:t>
      </w:r>
      <m:oMath>
        <m:r>
          <m:rPr>
            <m:sty m:val="p"/>
          </m:rPr>
          <m:t>≈</m:t>
        </m:r>
      </m:oMath>
      <w:r>
        <w:t xml:space="preserve">5 km) bootstrap interval that excludes 0.5; an open arrowhead marks one that does not. Solid blue is the first region and dashed orange the second. Shaded rows mark features with opposite signs in the two regions. Side bars give Schoener’s</w:t>
      </w:r>
      <w:r>
        <w:t xml:space="preserve"> </w:t>
      </w:r>
      <m:oMath>
        <m:r>
          <m:t>D</m:t>
        </m:r>
      </m:oMath>
      <w:r>
        <w:t xml:space="preserve"> </w:t>
      </w:r>
      <w:r>
        <w:t xml:space="preserve">per feature. In (a), six features are supported in both regions and all six have opposite signs; signs agree on 2 of 9 features. In (b), no feature is supported in both regions, and signs agree on 7 of 9. At 1 km blocking all four directions have interval support; at 5 km only Muğla</w:t>
      </w:r>
      <m:oMath>
        <m:r>
          <m:rPr>
            <m:sty m:val="p"/>
          </m:rPr>
          <m:t>→</m:t>
        </m:r>
      </m:oMath>
      <w:r>
        <w:t xml:space="preserve">Manavgat has, so the contrast is stated at the point estimates.</w:t>
      </w:r>
    </w:p>
    <w:bookmarkEnd w:id="190"/>
    <w:sectPr>
      <w:footerReference r:id="rId9" w:type="default"/>
      <w:footnotePr>
        <w:numRestart w:val="eachSect"/>
      </w:footnotePr>
      <w:pgSz w:h="16838" w:w="11906"/>
      <w:pgMar w:bottom="1417" w:left="1417" w:right="1417" w:top="1417"/>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pPr>
    <w:rPr>
      <w:rFonts w:ascii="Times New Roman" w:cs="Times New Roman" w:eastAsia="Times New Roman" w:hAnsi="Times New Roman"/>
      <w:sz w:val="24"/>
    </w:rPr>
  </w:style>
  <w:style w:styleId="BodyText" w:type="paragraph">
    <w:name w:val="Body Text"/>
    <w:basedOn w:val="Normal"/>
    <w:link w:val="BodyTextChar"/>
    <w:qFormat/>
    <w:pPr>
      <w:spacing w:after="180" w:before="180" w:line="480" w:lineRule="auto"/>
    </w:pPr>
    <w:rPr>
      <w:rFonts w:ascii="Times New Roman" w:cs="Times New Roman" w:eastAsia="Times New Roman" w:hAnsi="Times New Roman"/>
      <w:sz w:val="24"/>
    </w:rPr>
  </w:style>
  <w:style w:customStyle="1" w:styleId="FirstParagraph" w:type="paragraph">
    <w:name w:val="First Paragraph"/>
    <w:basedOn w:val="BodyText"/>
    <w:next w:val="BodyText"/>
    <w:qFormat/>
    <w:pPr>
      <w:spacing w:line="480" w:lineRule="auto"/>
    </w:pPr>
    <w:rPr>
      <w:rFonts w:ascii="Times New Roman" w:cs="Times New Roman" w:eastAsia="Times New Roman" w:hAnsi="Times New Roman"/>
      <w:sz w:val="24"/>
    </w:rPr>
  </w:style>
  <w:style w:customStyle="1" w:styleId="Compact" w:type="paragraph">
    <w:name w:val="Compact"/>
    <w:basedOn w:val="BodyText"/>
    <w:qFormat/>
    <w:pPr>
      <w:spacing w:after="36" w:before="36" w:line="480" w:lineRule="auto"/>
    </w:pPr>
    <w:rPr>
      <w:rFonts w:ascii="Times New Roman" w:cs="Times New Roman" w:eastAsia="Times New Roman" w:hAnsi="Times New Roman"/>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b/>
      <w:sz w:val="32"/>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ascii="Times New Roman" w:cs="Times New Roman" w:eastAsia="Times New Roman" w:hAnsi="Times New Roman"/>
      <w:b/>
      <w:spacing w:val="15"/>
      <w:sz w:val="26"/>
      <w:szCs w:val="28"/>
    </w:rPr>
  </w:style>
  <w:style w:customStyle="1" w:styleId="SubtitleChar" w:type="character">
    <w:name w:val="Subtitle Char"/>
    <w:basedOn w:val="DefaultParagraphFont"/>
    <w:link w:val="Subtitle"/>
    <w:uiPriority w:val="11"/>
    <w:rsid w:val="00A10FD9"/>
    <w:rPr>
      <w:rFonts w:ascii="Times New Roman" w:cs="Times New Roman" w:eastAsia="Times New Roman" w:hAnsi="Times New Roma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cs="Times New Roman" w:eastAsia="Times New Roman" w:hAnsi="Times New Roman"/>
      <w:sz w:val="24"/>
      <w:szCs w:val="24"/>
    </w:rPr>
  </w:style>
  <w:style w:styleId="Date" w:type="paragraph">
    <w:name w:val="Date"/>
    <w:basedOn w:val="Title"/>
    <w:next w:val="BodyText"/>
    <w:qFormat/>
    <w:pPr>
      <w:keepNext/>
      <w:keepLines/>
    </w:pPr>
    <w:rPr>
      <w:rFonts w:ascii="Times New Roman" w:cs="Times New Roman" w:eastAsia="Times New Roman" w:hAnsi="Times New Roman"/>
      <w:sz w:val="24"/>
      <w:szCs w:val="24"/>
    </w:rPr>
  </w:style>
  <w:style w:customStyle="1" w:styleId="AbstractTitle" w:type="paragraph">
    <w:name w:val="Abstract Title"/>
    <w:basedOn w:val="Normal"/>
    <w:next w:val="Abstract"/>
    <w:qFormat/>
    <w:pPr>
      <w:keepNext/>
      <w:keepLines/>
      <w:spacing w:after="0" w:before="300"/>
      <w:jc w:val="center"/>
    </w:pPr>
    <w:rPr>
      <w:rFonts w:ascii="Times New Roman" w:cs="Times New Roman" w:eastAsia="Times New Roman" w:hAnsi="Times New Roman"/>
      <w:b/>
      <w:sz w:val="20"/>
      <w:szCs w:val="20"/>
    </w:rPr>
  </w:style>
  <w:style w:customStyle="1" w:styleId="Abstract" w:type="paragraph">
    <w:name w:val="Abstract"/>
    <w:basedOn w:val="Normal"/>
    <w:next w:val="BodyText"/>
    <w:qFormat/>
    <w:pPr>
      <w:keepNext/>
      <w:keepLines/>
      <w:spacing w:after="300" w:before="100" w:line="480" w:lineRule="auto"/>
    </w:pPr>
    <w:rPr>
      <w:rFonts w:ascii="Times New Roman" w:cs="Times New Roman" w:eastAsia="Times New Roman" w:hAnsi="Times New Roman"/>
      <w:sz w:val="24"/>
      <w:szCs w:val="20"/>
    </w:rPr>
  </w:style>
  <w:style w:styleId="Bibliography" w:type="paragraph">
    <w:name w:val="Bibliography"/>
    <w:basedOn w:val="Normal"/>
    <w:next w:val="Bibliography"/>
    <w:qFormat/>
    <w:pPr>
      <w:spacing w:line="480" w:lineRule="auto"/>
    </w:pPr>
    <w:rPr>
      <w:rFonts w:ascii="Times New Roman" w:cs="Times New Roman" w:eastAsia="Times New Roman" w:hAnsi="Times New Roman"/>
      <w:sz w:val="24"/>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cs="Times New Roman" w:eastAsia="Times New Roman" w:hAnsi="Times New Roman"/>
      <w:b/>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imes New Roman" w:eastAsia="Times New Roman" w:hAnsi="Times New Roman"/>
      <w:b/>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imes New Roman" w:eastAsia="Times New Roman" w:hAnsi="Times New Roman"/>
      <w:b/>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eastAsia="Times New Roman" w:hAnsi="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imes New Roman" w:eastAsia="Times New Roman" w:hAnsi="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imes New Roman" w:eastAsia="Times New Roman" w:hAnsi="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imes New Roman" w:eastAsia="Times New Roman" w:hAnsi="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imes New Roman" w:eastAsia="Times New Roman" w:hAnsi="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imes New Roman" w:eastAsia="Times New Roman" w:hAnsi="Times New Roman"/>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cs="Times New Roman" w:eastAsia="Times New Roman" w:hAnsi="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cs="Times New Roman" w:eastAsia="Times New Roman" w:hAnsi="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cs="Times New Roman" w:eastAsia="Times New Roman" w:hAnsi="Times New Roman"/>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cs="Times New Roman" w:eastAsia="Times New Roman" w:hAnsi="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cs="Times New Roman" w:eastAsia="Times New Roman" w:hAnsi="Times New Roman"/>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cs="Times New Roman" w:eastAsia="Times New Roman" w:hAnsi="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cs="Times New Roman" w:eastAsia="Times New Roman" w:hAnsi="Times New Roman"/>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cs="Times New Roman" w:eastAsia="Times New Roman" w:hAnsi="Times New Roman"/>
    </w:rPr>
  </w:style>
  <w:style w:default="1" w:styleId="DefaultParagraphFont" w:type="character">
    <w:name w:val="Default Paragraph Font"/>
    <w:semiHidden/>
    <w:unhideWhenUsed/>
    <w:rPr>
      <w:rFonts w:ascii="Times New Roman" w:cs="Times New Roman" w:eastAsia="Times New Roman" w:hAnsi="Times New Roman"/>
    </w:rPr>
  </w:style>
  <w:style w:default="1" w:styleId="Table" w:type="table">
    <w:name w:val="Table"/>
    <w:basedOn w:val="TableNormal"/>
    <w:semiHidden/>
    <w:unhideWhenUsed/>
    <w:qFormat/>
    <w:rPr>
      <w:rFonts w:ascii="Times New Roman" w:cs="Times New Roman" w:eastAsia="Times New Roman" w:hAnsi="Times New Roman"/>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rPr>
      <w:rFonts w:ascii="Times New Roman" w:cs="Times New Roman" w:eastAsia="Times New Roman" w:hAnsi="Times New Roman"/>
    </w:rPr>
  </w:style>
  <w:style w:customStyle="1" w:styleId="VerbatimChar" w:type="character">
    <w:name w:val="Verbatim Char"/>
    <w:basedOn w:val="BodyTextChar"/>
    <w:rPr>
      <w:rFonts w:ascii="Consolas" w:cs="Consolas" w:eastAsia="Consolas" w:hAnsi="Consolas"/>
      <w:sz w:val="21"/>
    </w:rPr>
  </w:style>
  <w:style w:customStyle="1" w:styleId="SectionNumber" w:type="character">
    <w:name w:val="Section Number"/>
    <w:basedOn w:val="BodyTextChar"/>
    <w:rPr>
      <w:rFonts w:ascii="Times New Roman" w:cs="Times New Roman" w:eastAsia="Times New Roman" w:hAnsi="Times New Roman"/>
    </w:rPr>
  </w:style>
  <w:style w:styleId="FootnoteReference" w:type="character">
    <w:name w:val="Footnote Reference"/>
    <w:basedOn w:val="BodyTextChar"/>
    <w:rPr>
      <w:rFonts w:ascii="Times New Roman" w:cs="Times New Roman" w:eastAsia="Times New Roman" w:hAnsi="Times New Roman"/>
      <w:vertAlign w:val="superscript"/>
    </w:rPr>
  </w:style>
  <w:style w:styleId="Hyperlink" w:type="character">
    <w:name w:val="Hyperlink"/>
    <w:basedOn w:val="BodyTextChar"/>
    <w:rPr>
      <w:rFonts w:ascii="Times New Roman" w:cs="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 Id="rId140" Type="http://schemas.openxmlformats.org/officeDocument/2006/relationships/hyperlink" Target="https://doi.org/10.1002/fee.2359" TargetMode="External"/><Relationship Id="rId68" Type="http://schemas.openxmlformats.org/officeDocument/2006/relationships/hyperlink" Target="https://doi.org/10.1007/s12145-023-00953-5" TargetMode="External"/><Relationship Id="rId172" Type="http://schemas.openxmlformats.org/officeDocument/2006/relationships/hyperlink" Target="https://doi.org/10.1007/s44163-026-00921-0" TargetMode="External"/><Relationship Id="rId154" Type="http://schemas.openxmlformats.org/officeDocument/2006/relationships/hyperlink" Target="https://doi.org/10.1016/S0034-4257(01)00274-7" TargetMode="External"/><Relationship Id="rId100" Type="http://schemas.openxmlformats.org/officeDocument/2006/relationships/hyperlink" Target="https://doi.org/10.1016/j.ecoinf.2022.101647" TargetMode="External"/><Relationship Id="rId78" Type="http://schemas.openxmlformats.org/officeDocument/2006/relationships/hyperlink" Target="https://doi.org/10.1016/j.ecoinf.2022.101665" TargetMode="External"/><Relationship Id="rId168" Type="http://schemas.openxmlformats.org/officeDocument/2006/relationships/hyperlink" Target="https://doi.org/10.1016/j.ecolmodel.2008.11.010" TargetMode="External"/><Relationship Id="rId70" Type="http://schemas.openxmlformats.org/officeDocument/2006/relationships/hyperlink" Target="https://doi.org/10.1016/j.ecolmodel.2011.02.011" TargetMode="External"/><Relationship Id="rId174" Type="http://schemas.openxmlformats.org/officeDocument/2006/relationships/hyperlink" Target="https://doi.org/10.1016/j.ecolmodel.2021.109692" TargetMode="External"/><Relationship Id="rId128" Type="http://schemas.openxmlformats.org/officeDocument/2006/relationships/hyperlink" Target="https://doi.org/10.1016/j.envsoft.2017.12.001" TargetMode="External"/><Relationship Id="rId136" Type="http://schemas.openxmlformats.org/officeDocument/2006/relationships/hyperlink" Target="https://doi.org/10.1016/j.foreco.2012.03.003" TargetMode="External"/><Relationship Id="rId120" Type="http://schemas.openxmlformats.org/officeDocument/2006/relationships/hyperlink" Target="https://doi.org/10.1016/j.isprsjprs.2019.10.013" TargetMode="External"/><Relationship Id="rId118" Type="http://schemas.openxmlformats.org/officeDocument/2006/relationships/hyperlink" Target="https://doi.org/10.1016/j.isprsjprs.2021.09.016" TargetMode="External"/><Relationship Id="rId132" Type="http://schemas.openxmlformats.org/officeDocument/2006/relationships/hyperlink" Target="https://doi.org/10.1016/j.patcog.2011.06.019" TargetMode="External"/><Relationship Id="rId80" Type="http://schemas.openxmlformats.org/officeDocument/2006/relationships/hyperlink" Target="https://doi.org/10.1016/j.rse.2004.01.019" TargetMode="External"/><Relationship Id="rId184" Type="http://schemas.openxmlformats.org/officeDocument/2006/relationships/hyperlink" Target="https://doi.org/10.1016/j.rse.2013.05.029" TargetMode="External"/><Relationship Id="rId94" Type="http://schemas.openxmlformats.org/officeDocument/2006/relationships/hyperlink" Target="https://doi.org/10.1016/j.rse.2017.06.031" TargetMode="External"/><Relationship Id="rId90" Type="http://schemas.openxmlformats.org/officeDocument/2006/relationships/hyperlink" Target="https://doi.org/10.1016/j.rse.2018.08.005" TargetMode="External"/><Relationship Id="rId74" Type="http://schemas.openxmlformats.org/officeDocument/2006/relationships/hyperlink" Target="https://doi.org/10.1016/j.rse.2019.111490" TargetMode="External"/><Relationship Id="rId98" Type="http://schemas.openxmlformats.org/officeDocument/2006/relationships/hyperlink" Target="https://doi.org/10.1016/j.rse.2026.115336" TargetMode="External"/><Relationship Id="rId182" Type="http://schemas.openxmlformats.org/officeDocument/2006/relationships/hyperlink" Target="https://doi.org/10.1016/j.tree.2018.08.001" TargetMode="External"/><Relationship Id="rId76" Type="http://schemas.openxmlformats.org/officeDocument/2006/relationships/hyperlink" Target="https://doi.org/10.1023/A:1010933404324" TargetMode="External"/><Relationship Id="rId146" Type="http://schemas.openxmlformats.org/officeDocument/2006/relationships/hyperlink" Target="https://doi.org/10.1038/s41467-020-18321-y" TargetMode="External"/><Relationship Id="rId72" Type="http://schemas.openxmlformats.org/officeDocument/2006/relationships/hyperlink" Target="https://doi.org/10.1071/WF19158" TargetMode="External"/><Relationship Id="rId162" Type="http://schemas.openxmlformats.org/officeDocument/2006/relationships/hyperlink" Target="https://doi.org/10.1109/MGRS.2016.2548504" TargetMode="External"/><Relationship Id="rId144" Type="http://schemas.openxmlformats.org/officeDocument/2006/relationships/hyperlink" Target="https://doi.org/10.1109/TGRS.2012.2192740" TargetMode="External"/><Relationship Id="rId166" Type="http://schemas.openxmlformats.org/officeDocument/2006/relationships/hyperlink" Target="https://doi.org/10.1111/2041-210X.13107" TargetMode="External"/><Relationship Id="rId158" Type="http://schemas.openxmlformats.org/officeDocument/2006/relationships/hyperlink" Target="https://doi.org/10.1111/2041-210X.13140" TargetMode="External"/><Relationship Id="rId126" Type="http://schemas.openxmlformats.org/officeDocument/2006/relationships/hyperlink" Target="https://doi.org/10.1111/2041-210X.13650" TargetMode="External"/><Relationship Id="rId130" Type="http://schemas.openxmlformats.org/officeDocument/2006/relationships/hyperlink" Target="https://doi.org/10.1111/2041-210X.13851" TargetMode="External"/><Relationship Id="rId150" Type="http://schemas.openxmlformats.org/officeDocument/2006/relationships/hyperlink" Target="https://doi.org/10.1111/ecog.02881" TargetMode="External"/><Relationship Id="rId170" Type="http://schemas.openxmlformats.org/officeDocument/2006/relationships/hyperlink" Target="https://doi.org/10.1111/ecog.05179" TargetMode="External"/><Relationship Id="rId152" Type="http://schemas.openxmlformats.org/officeDocument/2006/relationships/hyperlink" Target="https://doi.org/10.1111/ecog.06060" TargetMode="External"/><Relationship Id="rId114" Type="http://schemas.openxmlformats.org/officeDocument/2006/relationships/hyperlink" Target="https://doi.org/10.1111/j.1466-8238.2007.00358.x" TargetMode="External"/><Relationship Id="rId104" Type="http://schemas.openxmlformats.org/officeDocument/2006/relationships/hyperlink" Target="https://doi.org/10.1111/j.1466-8238.2011.00683.x" TargetMode="External"/><Relationship Id="rId142" Type="http://schemas.openxmlformats.org/officeDocument/2006/relationships/hyperlink" Target="https://doi.org/10.1111/j.1466-8238.2012.00769.x" TargetMode="External"/><Relationship Id="rId178" Type="http://schemas.openxmlformats.org/officeDocument/2006/relationships/hyperlink" Target="https://doi.org/10.1111/j.1558-5646.2008.00482.x" TargetMode="External"/><Relationship Id="rId102" Type="http://schemas.openxmlformats.org/officeDocument/2006/relationships/hyperlink" Target="https://doi.org/10.1139/er-2020-0019" TargetMode="External"/><Relationship Id="rId148" Type="http://schemas.openxmlformats.org/officeDocument/2006/relationships/hyperlink" Target="https://doi.org/10.1186/s42408-022-00150-7" TargetMode="External"/><Relationship Id="rId160" Type="http://schemas.openxmlformats.org/officeDocument/2006/relationships/hyperlink" Target="https://doi.org/10.1609/aaai.v30i1.10306" TargetMode="External"/><Relationship Id="rId138" Type="http://schemas.openxmlformats.org/officeDocument/2006/relationships/hyperlink" Target="https://doi.org/10.1890/07-1289.1" TargetMode="External"/><Relationship Id="rId96" Type="http://schemas.openxmlformats.org/officeDocument/2006/relationships/hyperlink" Target="https://doi.org/10.1890/11-0826.1" TargetMode="External"/><Relationship Id="rId156" Type="http://schemas.openxmlformats.org/officeDocument/2006/relationships/hyperlink" Target="https://doi.org/10.2307/1935534" TargetMode="External"/><Relationship Id="rId122" Type="http://schemas.openxmlformats.org/officeDocument/2006/relationships/hyperlink" Target="https://doi.org/10.3390/fire7080276" TargetMode="External"/><Relationship Id="rId82" Type="http://schemas.openxmlformats.org/officeDocument/2006/relationships/hyperlink" Target="https://doi.org/10.3390/geomatics6010013" TargetMode="External"/><Relationship Id="rId116" Type="http://schemas.openxmlformats.org/officeDocument/2006/relationships/hyperlink" Target="https://doi.org/10.3390/rs10111777" TargetMode="External"/><Relationship Id="rId108" Type="http://schemas.openxmlformats.org/officeDocument/2006/relationships/hyperlink" Target="https://doi.org/10.3390/rs14030602" TargetMode="External"/><Relationship Id="rId106" Type="http://schemas.openxmlformats.org/officeDocument/2006/relationships/hyperlink" Target="https://doi.org/10.3934/environsci.2026004" TargetMode="External"/><Relationship Id="rId112" Type="http://schemas.openxmlformats.org/officeDocument/2006/relationships/hyperlink" Target="https://doi.org/10.48550/arXiv.2511.11589" TargetMode="External"/><Relationship Id="rId180" Type="http://schemas.openxmlformats.org/officeDocument/2006/relationships/hyperlink" Target="https://doi.org/10.48550/arXiv.2605.18911" TargetMode="External"/><Relationship Id="rId164" Type="http://schemas.openxmlformats.org/officeDocument/2006/relationships/hyperlink" Target="https://doi.org/10.5066/P9OGBGM6" TargetMode="External"/><Relationship Id="rId92" Type="http://schemas.openxmlformats.org/officeDocument/2006/relationships/hyperlink" Target="https://doi.org/10.5067/MODIS/MCD64A1.061" TargetMode="External"/><Relationship Id="rId176" Type="http://schemas.openxmlformats.org/officeDocument/2006/relationships/hyperlink" Target="https://doi.org/10.5067/MODIS/MOD11A1.061" TargetMode="External"/><Relationship Id="rId88" Type="http://schemas.openxmlformats.org/officeDocument/2006/relationships/hyperlink" Target="https://doi.org/10.5067/VIIRS/VNP64A1.002" TargetMode="External"/><Relationship Id="rId134" Type="http://schemas.openxmlformats.org/officeDocument/2006/relationships/hyperlink" Target="https://doi.org/10.5194/essd-13-4349-2021" TargetMode="External"/><Relationship Id="rId86" Type="http://schemas.openxmlformats.org/officeDocument/2006/relationships/hyperlink" Target="https://doi.org/10.5194/nhess-25-4713-2025" TargetMode="External"/><Relationship Id="rId110" Type="http://schemas.openxmlformats.org/officeDocument/2006/relationships/hyperlink" Target="https://doi.org/10.52202/075280-2204" TargetMode="External"/><Relationship Id="rId84" Type="http://schemas.openxmlformats.org/officeDocument/2006/relationships/hyperlink" Target="https://doi.org/10.5270/ESA-c5d3d65" TargetMode="External"/><Relationship Id="rId124" Type="http://schemas.openxmlformats.org/officeDocument/2006/relationships/hyperlink" Target="https://doi.org/10.5281/zenodo.23035271" TargetMode="External"/><Relationship Id="rId186" Type="http://schemas.openxmlformats.org/officeDocument/2006/relationships/hyperlink" Target="https://doi.org/10.5281/zenodo.7254221" TargetMode="External"/><Relationship Id="rId63" Type="http://schemas.openxmlformats.org/officeDocument/2006/relationships/hyperlink" Target="https://github.com/dryuemco/thermal-twin" TargetMode="External"/><Relationship Id="rId62" Type="http://schemas.openxmlformats.org/officeDocument/2006/relationships/hyperlink" Target="https://github.com/emrehann17/satellite-thermal-digital-twin" TargetMode="External"/></Relationships>
</file>

<file path=word/_rels/footnotes.xml.rels><?xml version='1.0' encoding='UTF-8' standalone='yes'?>
<Relationships xmlns="http://schemas.openxmlformats.org/package/2006/relationships"><Relationship Id="rId140" Type="http://schemas.openxmlformats.org/officeDocument/2006/relationships/hyperlink" Target="https://doi.org/10.1002/fee.2359" TargetMode="External"/><Relationship Id="rId68" Type="http://schemas.openxmlformats.org/officeDocument/2006/relationships/hyperlink" Target="https://doi.org/10.1007/s12145-023-00953-5" TargetMode="External"/><Relationship Id="rId172" Type="http://schemas.openxmlformats.org/officeDocument/2006/relationships/hyperlink" Target="https://doi.org/10.1007/s44163-026-00921-0" TargetMode="External"/><Relationship Id="rId154" Type="http://schemas.openxmlformats.org/officeDocument/2006/relationships/hyperlink" Target="https://doi.org/10.1016/S0034-4257(01)00274-7" TargetMode="External"/><Relationship Id="rId100" Type="http://schemas.openxmlformats.org/officeDocument/2006/relationships/hyperlink" Target="https://doi.org/10.1016/j.ecoinf.2022.101647" TargetMode="External"/><Relationship Id="rId78" Type="http://schemas.openxmlformats.org/officeDocument/2006/relationships/hyperlink" Target="https://doi.org/10.1016/j.ecoinf.2022.101665" TargetMode="External"/><Relationship Id="rId168" Type="http://schemas.openxmlformats.org/officeDocument/2006/relationships/hyperlink" Target="https://doi.org/10.1016/j.ecolmodel.2008.11.010" TargetMode="External"/><Relationship Id="rId70" Type="http://schemas.openxmlformats.org/officeDocument/2006/relationships/hyperlink" Target="https://doi.org/10.1016/j.ecolmodel.2011.02.011" TargetMode="External"/><Relationship Id="rId174" Type="http://schemas.openxmlformats.org/officeDocument/2006/relationships/hyperlink" Target="https://doi.org/10.1016/j.ecolmodel.2021.109692" TargetMode="External"/><Relationship Id="rId128" Type="http://schemas.openxmlformats.org/officeDocument/2006/relationships/hyperlink" Target="https://doi.org/10.1016/j.envsoft.2017.12.001" TargetMode="External"/><Relationship Id="rId136" Type="http://schemas.openxmlformats.org/officeDocument/2006/relationships/hyperlink" Target="https://doi.org/10.1016/j.foreco.2012.03.003" TargetMode="External"/><Relationship Id="rId120" Type="http://schemas.openxmlformats.org/officeDocument/2006/relationships/hyperlink" Target="https://doi.org/10.1016/j.isprsjprs.2019.10.013" TargetMode="External"/><Relationship Id="rId118" Type="http://schemas.openxmlformats.org/officeDocument/2006/relationships/hyperlink" Target="https://doi.org/10.1016/j.isprsjprs.2021.09.016" TargetMode="External"/><Relationship Id="rId132" Type="http://schemas.openxmlformats.org/officeDocument/2006/relationships/hyperlink" Target="https://doi.org/10.1016/j.patcog.2011.06.019" TargetMode="External"/><Relationship Id="rId80" Type="http://schemas.openxmlformats.org/officeDocument/2006/relationships/hyperlink" Target="https://doi.org/10.1016/j.rse.2004.01.019" TargetMode="External"/><Relationship Id="rId184" Type="http://schemas.openxmlformats.org/officeDocument/2006/relationships/hyperlink" Target="https://doi.org/10.1016/j.rse.2013.05.029" TargetMode="External"/><Relationship Id="rId94" Type="http://schemas.openxmlformats.org/officeDocument/2006/relationships/hyperlink" Target="https://doi.org/10.1016/j.rse.2017.06.031" TargetMode="External"/><Relationship Id="rId90" Type="http://schemas.openxmlformats.org/officeDocument/2006/relationships/hyperlink" Target="https://doi.org/10.1016/j.rse.2018.08.005" TargetMode="External"/><Relationship Id="rId74" Type="http://schemas.openxmlformats.org/officeDocument/2006/relationships/hyperlink" Target="https://doi.org/10.1016/j.rse.2019.111490" TargetMode="External"/><Relationship Id="rId98" Type="http://schemas.openxmlformats.org/officeDocument/2006/relationships/hyperlink" Target="https://doi.org/10.1016/j.rse.2026.115336" TargetMode="External"/><Relationship Id="rId182" Type="http://schemas.openxmlformats.org/officeDocument/2006/relationships/hyperlink" Target="https://doi.org/10.1016/j.tree.2018.08.001" TargetMode="External"/><Relationship Id="rId76" Type="http://schemas.openxmlformats.org/officeDocument/2006/relationships/hyperlink" Target="https://doi.org/10.1023/A:1010933404324" TargetMode="External"/><Relationship Id="rId146" Type="http://schemas.openxmlformats.org/officeDocument/2006/relationships/hyperlink" Target="https://doi.org/10.1038/s41467-020-18321-y" TargetMode="External"/><Relationship Id="rId72" Type="http://schemas.openxmlformats.org/officeDocument/2006/relationships/hyperlink" Target="https://doi.org/10.1071/WF19158" TargetMode="External"/><Relationship Id="rId162" Type="http://schemas.openxmlformats.org/officeDocument/2006/relationships/hyperlink" Target="https://doi.org/10.1109/MGRS.2016.2548504" TargetMode="External"/><Relationship Id="rId144" Type="http://schemas.openxmlformats.org/officeDocument/2006/relationships/hyperlink" Target="https://doi.org/10.1109/TGRS.2012.2192740" TargetMode="External"/><Relationship Id="rId166" Type="http://schemas.openxmlformats.org/officeDocument/2006/relationships/hyperlink" Target="https://doi.org/10.1111/2041-210X.13107" TargetMode="External"/><Relationship Id="rId158" Type="http://schemas.openxmlformats.org/officeDocument/2006/relationships/hyperlink" Target="https://doi.org/10.1111/2041-210X.13140" TargetMode="External"/><Relationship Id="rId126" Type="http://schemas.openxmlformats.org/officeDocument/2006/relationships/hyperlink" Target="https://doi.org/10.1111/2041-210X.13650" TargetMode="External"/><Relationship Id="rId130" Type="http://schemas.openxmlformats.org/officeDocument/2006/relationships/hyperlink" Target="https://doi.org/10.1111/2041-210X.13851" TargetMode="External"/><Relationship Id="rId150" Type="http://schemas.openxmlformats.org/officeDocument/2006/relationships/hyperlink" Target="https://doi.org/10.1111/ecog.02881" TargetMode="External"/><Relationship Id="rId170" Type="http://schemas.openxmlformats.org/officeDocument/2006/relationships/hyperlink" Target="https://doi.org/10.1111/ecog.05179" TargetMode="External"/><Relationship Id="rId152" Type="http://schemas.openxmlformats.org/officeDocument/2006/relationships/hyperlink" Target="https://doi.org/10.1111/ecog.06060" TargetMode="External"/><Relationship Id="rId114" Type="http://schemas.openxmlformats.org/officeDocument/2006/relationships/hyperlink" Target="https://doi.org/10.1111/j.1466-8238.2007.00358.x" TargetMode="External"/><Relationship Id="rId104" Type="http://schemas.openxmlformats.org/officeDocument/2006/relationships/hyperlink" Target="https://doi.org/10.1111/j.1466-8238.2011.00683.x" TargetMode="External"/><Relationship Id="rId142" Type="http://schemas.openxmlformats.org/officeDocument/2006/relationships/hyperlink" Target="https://doi.org/10.1111/j.1466-8238.2012.00769.x" TargetMode="External"/><Relationship Id="rId178" Type="http://schemas.openxmlformats.org/officeDocument/2006/relationships/hyperlink" Target="https://doi.org/10.1111/j.1558-5646.2008.00482.x" TargetMode="External"/><Relationship Id="rId102" Type="http://schemas.openxmlformats.org/officeDocument/2006/relationships/hyperlink" Target="https://doi.org/10.1139/er-2020-0019" TargetMode="External"/><Relationship Id="rId148" Type="http://schemas.openxmlformats.org/officeDocument/2006/relationships/hyperlink" Target="https://doi.org/10.1186/s42408-022-00150-7" TargetMode="External"/><Relationship Id="rId160" Type="http://schemas.openxmlformats.org/officeDocument/2006/relationships/hyperlink" Target="https://doi.org/10.1609/aaai.v30i1.10306" TargetMode="External"/><Relationship Id="rId138" Type="http://schemas.openxmlformats.org/officeDocument/2006/relationships/hyperlink" Target="https://doi.org/10.1890/07-1289.1" TargetMode="External"/><Relationship Id="rId96" Type="http://schemas.openxmlformats.org/officeDocument/2006/relationships/hyperlink" Target="https://doi.org/10.1890/11-0826.1" TargetMode="External"/><Relationship Id="rId156" Type="http://schemas.openxmlformats.org/officeDocument/2006/relationships/hyperlink" Target="https://doi.org/10.2307/1935534" TargetMode="External"/><Relationship Id="rId122" Type="http://schemas.openxmlformats.org/officeDocument/2006/relationships/hyperlink" Target="https://doi.org/10.3390/fire7080276" TargetMode="External"/><Relationship Id="rId82" Type="http://schemas.openxmlformats.org/officeDocument/2006/relationships/hyperlink" Target="https://doi.org/10.3390/geomatics6010013" TargetMode="External"/><Relationship Id="rId116" Type="http://schemas.openxmlformats.org/officeDocument/2006/relationships/hyperlink" Target="https://doi.org/10.3390/rs10111777" TargetMode="External"/><Relationship Id="rId108" Type="http://schemas.openxmlformats.org/officeDocument/2006/relationships/hyperlink" Target="https://doi.org/10.3390/rs14030602" TargetMode="External"/><Relationship Id="rId106" Type="http://schemas.openxmlformats.org/officeDocument/2006/relationships/hyperlink" Target="https://doi.org/10.3934/environsci.2026004" TargetMode="External"/><Relationship Id="rId112" Type="http://schemas.openxmlformats.org/officeDocument/2006/relationships/hyperlink" Target="https://doi.org/10.48550/arXiv.2511.11589" TargetMode="External"/><Relationship Id="rId180" Type="http://schemas.openxmlformats.org/officeDocument/2006/relationships/hyperlink" Target="https://doi.org/10.48550/arXiv.2605.18911" TargetMode="External"/><Relationship Id="rId164" Type="http://schemas.openxmlformats.org/officeDocument/2006/relationships/hyperlink" Target="https://doi.org/10.5066/P9OGBGM6" TargetMode="External"/><Relationship Id="rId92" Type="http://schemas.openxmlformats.org/officeDocument/2006/relationships/hyperlink" Target="https://doi.org/10.5067/MODIS/MCD64A1.061" TargetMode="External"/><Relationship Id="rId176" Type="http://schemas.openxmlformats.org/officeDocument/2006/relationships/hyperlink" Target="https://doi.org/10.5067/MODIS/MOD11A1.061" TargetMode="External"/><Relationship Id="rId88" Type="http://schemas.openxmlformats.org/officeDocument/2006/relationships/hyperlink" Target="https://doi.org/10.5067/VIIRS/VNP64A1.002" TargetMode="External"/><Relationship Id="rId134" Type="http://schemas.openxmlformats.org/officeDocument/2006/relationships/hyperlink" Target="https://doi.org/10.5194/essd-13-4349-2021" TargetMode="External"/><Relationship Id="rId86" Type="http://schemas.openxmlformats.org/officeDocument/2006/relationships/hyperlink" Target="https://doi.org/10.5194/nhess-25-4713-2025" TargetMode="External"/><Relationship Id="rId110" Type="http://schemas.openxmlformats.org/officeDocument/2006/relationships/hyperlink" Target="https://doi.org/10.52202/075280-2204" TargetMode="External"/><Relationship Id="rId84" Type="http://schemas.openxmlformats.org/officeDocument/2006/relationships/hyperlink" Target="https://doi.org/10.5270/ESA-c5d3d65" TargetMode="External"/><Relationship Id="rId124" Type="http://schemas.openxmlformats.org/officeDocument/2006/relationships/hyperlink" Target="https://doi.org/10.5281/zenodo.23035271" TargetMode="External"/><Relationship Id="rId186" Type="http://schemas.openxmlformats.org/officeDocument/2006/relationships/hyperlink" Target="https://doi.org/10.5281/zenodo.7254221" TargetMode="External"/><Relationship Id="rId63" Type="http://schemas.openxmlformats.org/officeDocument/2006/relationships/hyperlink" Target="https://github.com/dryuemco/thermal-twin" TargetMode="External"/><Relationship Id="rId62" Type="http://schemas.openxmlformats.org/officeDocument/2006/relationships/hyperlink" Target="https://github.com/emrehann17/satellite-thermal-digital-tw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Evaluation area and the limits of cross-region transfer of pre-fire thermal wildfire models: five large Mediterranean fires</dc:title>
  <dc:creator>Emrehan Metin; Yunus Emre Cogurcu</dc:creator>
  <dc:language>en-GB</dc:language>
  <cp:keywords/>
  <dcterms:created xsi:type="dcterms:W3CDTF">2026-09-29T10:02:25Z</dcterms:created>
  <dcterms:modified xsi:type="dcterms:W3CDTF">2026-09-29T10:02:25Z</dcterms:modified>
  <cp:lastModifiedBy/>
  <dc:description/>
  <dc:subject/>
  <cp:category/>
  <dc:identifier/>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C:\Users\CORSAIR\projects\thermal-twin-main\paper\REFERENCES.bib</vt:lpwstr>
  </property>
  <property fmtid="{D5CDD505-2E9C-101B-9397-08002B2CF9AE}" pid="3" name="csl">
    <vt:lpwstr>C:\Users\CORSAIR\projects\thermal-twin-main\paper\tex\springer-basic-author-date.csl</vt:lpwstr>
  </property>
</Properties>
</file>