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S36,</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paired thermal contribution to transfer</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and 10⁻¹</w:t>
      </w:r>
      <w:r>
        <w:t xml:space="preserve"> </w:t>
      </w:r>
      <w:r>
        <w:t xml:space="preserve">(</w:t>
      </w:r>
      <w:r>
        <w:rPr>
          <w:rStyle w:val="VerbatimChar"/>
        </w:rPr>
        <w:t xml:space="preserve">paper/labelfix_rerun/step10/coral_lambda_sensitivity.csv</w:t>
      </w:r>
      <w:r>
        <w:t xml:space="preserve">). Bejís to Manavgat gives 0.408 [0.389,</w:t>
      </w:r>
      <w:r>
        <w:t xml:space="preserve"> </w:t>
      </w:r>
      <w:r>
        <w:t xml:space="preserve">0.427], 0.410 and 0.367, which are below chance at every λ. Manavgat to Bejís gives 0.470 [0.444,</w:t>
      </w:r>
      <w:r>
        <w:t xml:space="preserve"> </w:t>
      </w:r>
      <w:r>
        <w:t xml:space="preserve">0.494], 0.474 and 0.466. No adapted direction of this pair has an interval above chance at any λ, so</w:t>
      </w:r>
      <w:r>
        <w:t xml:space="preserve"> </w:t>
      </w:r>
      <w:r>
        <w:t xml:space="preserve">no conclusion depends on the choice of λ in this range.</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and with</w:t>
      </w:r>
      <w:r>
        <w:t xml:space="preserve"> </w:t>
      </w:r>
      <w:r>
        <w:t xml:space="preserve">terrain held, Manavgat has the same sign as the other four regions.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Holding northness (the cosine of aspect) through deciles does not change the sign of the LST</w:t>
      </w:r>
      <w:r>
        <w:t xml:space="preserve"> </w:t>
      </w:r>
      <w:r>
        <w:t xml:space="preserve">association in any region (Table S35).</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which includes zero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w:t>
      </w:r>
      <w:r>
        <w:t xml:space="preserve"> </w:t>
      </w:r>
      <w:r>
        <w:t xml:space="preserve">elevation alone costs −0.056 (0.896 to 0.840). Removing the LST anomaly alone costs −0.013 (0.896 to</w:t>
      </w:r>
      <w:r>
        <w:t xml:space="preserve"> </w:t>
      </w:r>
      <w:r>
        <w:t xml:space="preserve">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X0bca91d5c67796c86c5b93cce0259614be8d6a1"/>
    <w:p>
      <w:pPr>
        <w:pStyle w:val="Heading2"/>
      </w:pPr>
      <w:r>
        <w:t xml:space="preserve">S1.15 The paired thermal contribution to transfer</w:t>
      </w:r>
    </w:p>
    <w:p>
      <w:pPr>
        <w:pStyle w:val="FirstParagraph"/>
      </w:pPr>
      <w:r>
        <w:t xml:space="preserve">The signed associations on both frames are given in Tables S9, S10 and S14, and their stratified</w:t>
      </w:r>
      <w:r>
        <w:t xml:space="preserve"> </w:t>
      </w:r>
      <w:r>
        <w:t xml:space="preserve">values in Section S1.11; Section 4.4 summarises them. This section gives the uncertainty of the</w:t>
      </w:r>
      <w:r>
        <w:t xml:space="preserve"> </w:t>
      </w:r>
      <w:r>
        <w:t xml:space="preserve">paired thermal contribution to transfer.</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five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main results against the fitted forest, the adaptation method, the inference, the land-cover map,</w:t>
      </w:r>
      <w:r>
        <w:t xml:space="preserve"> </w:t>
      </w:r>
      <w:r>
        <w:t xml:space="preserve">the burned-area product, terrain aspect and a weather reference.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pct" w:w="5000"/>
        <w:tblLayout w:type="fixed"/>
        <w:tblLook w:firstRow="1" w:lastRow="0" w:firstColumn="0" w:lastColumn="0" w:noHBand="0" w:noVBand="0" w:val="0020"/>
      </w:tblPr>
      <w:tblGrid>
        <w:gridCol w:w="395"/>
        <w:gridCol w:w="726"/>
        <w:gridCol w:w="7948"/>
      </w:tblGrid>
      <w:tr>
        <w:trPr>
          <w:tblHeader w:val="on"/>
          <w:cantSplit/>
        </w:trPr>
        <w:tc>
          <w:tcPr>
            <w:tcW w:type="dxa" w:w="395"/>
          </w:tcPr>
          <w:p>
            <w:pPr>
              <w:pStyle w:val="Compact"/>
              <w:spacing w:line="240" w:lineRule="auto" w:after="20"/>
            </w:pPr>
            <w:r>
              <w:rPr>
                <w:sz w:val="20"/>
              </w:rPr>
              <w:t xml:space="preserve">Analysis</w:t>
            </w:r>
          </w:p>
        </w:tc>
        <w:tc>
          <w:tcPr>
            <w:tcW w:type="dxa" w:w="726"/>
          </w:tcPr>
          <w:p>
            <w:pPr>
              <w:pStyle w:val="Compact"/>
              <w:spacing w:line="240" w:lineRule="auto" w:after="20"/>
            </w:pPr>
            <w:r>
              <w:rPr>
                <w:sz w:val="20"/>
              </w:rPr>
              <w:t xml:space="preserve">Question</w:t>
            </w:r>
          </w:p>
        </w:tc>
        <w:tc>
          <w:tcPr>
            <w:tcW w:type="dxa" w:w="7948"/>
          </w:tcPr>
          <w:p>
            <w:pPr>
              <w:pStyle w:val="Compact"/>
              <w:spacing w:line="240" w:lineRule="auto" w:after="20"/>
            </w:pPr>
            <w:r>
              <w:rPr>
                <w:sz w:val="20"/>
              </w:rPr>
              <w:t xml:space="preserve">Result</w:t>
            </w:r>
          </w:p>
        </w:tc>
      </w:tr>
      <w:tr>
        <w:trPr>
          <w:cantSplit/>
        </w:trPr>
        <w:tc>
          <w:tcPr>
            <w:tcW w:type="dxa" w:w="395"/>
          </w:tcPr>
          <w:p>
            <w:pPr>
              <w:pStyle w:val="Compact"/>
              <w:spacing w:line="240" w:lineRule="auto" w:after="20"/>
            </w:pPr>
            <w:r>
              <w:rPr>
                <w:sz w:val="20"/>
              </w:rPr>
              <w:t xml:space="preserve">Random-forest seed (R8a)</w:t>
            </w:r>
          </w:p>
        </w:tc>
        <w:tc>
          <w:tcPr>
            <w:tcW w:type="dxa" w:w="726"/>
          </w:tcPr>
          <w:p>
            <w:pPr>
              <w:pStyle w:val="Compact"/>
              <w:spacing w:line="240" w:lineRule="auto" w:after="20"/>
            </w:pPr>
            <w:r>
              <w:rPr>
                <w:sz w:val="20"/>
              </w:rPr>
              <w:t xml:space="preserve">Do the transfer results depend on the fitted forest?</w:t>
            </w:r>
          </w:p>
        </w:tc>
        <w:tc>
          <w:tcPr>
            <w:tcW w:type="dxa" w:w="7948"/>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395"/>
          </w:tcPr>
          <w:p>
            <w:pPr>
              <w:pStyle w:val="Compact"/>
              <w:spacing w:line="240" w:lineRule="auto" w:after="20"/>
            </w:pPr>
            <w:r>
              <w:rPr>
                <w:sz w:val="20"/>
              </w:rPr>
              <w:t xml:space="preserve">CORAL variants and placebo (R8c)</w:t>
            </w:r>
          </w:p>
        </w:tc>
        <w:tc>
          <w:tcPr>
            <w:tcW w:type="dxa" w:w="726"/>
          </w:tcPr>
          <w:p>
            <w:pPr>
              <w:pStyle w:val="Compact"/>
              <w:spacing w:line="240" w:lineRule="auto" w:after="20"/>
            </w:pPr>
            <w:r>
              <w:rPr>
                <w:sz w:val="20"/>
              </w:rPr>
              <w:t xml:space="preserve">Is the movement toward chance specific to aligning with the target?</w:t>
            </w:r>
          </w:p>
        </w:tc>
        <w:tc>
          <w:tcPr>
            <w:tcW w:type="dxa" w:w="7948"/>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395"/>
          </w:tcPr>
          <w:p>
            <w:pPr>
              <w:pStyle w:val="Compact"/>
              <w:spacing w:line="240" w:lineRule="auto" w:after="20"/>
            </w:pPr>
            <w:r>
              <w:rPr>
                <w:sz w:val="20"/>
              </w:rPr>
              <w:t xml:space="preserve">Permutation test of the similarity measures (R8d)</w:t>
            </w:r>
          </w:p>
        </w:tc>
        <w:tc>
          <w:tcPr>
            <w:tcW w:type="dxa" w:w="726"/>
          </w:tcPr>
          <w:p>
            <w:pPr>
              <w:pStyle w:val="Compact"/>
              <w:spacing w:line="240" w:lineRule="auto" w:after="20"/>
            </w:pPr>
            <w:r>
              <w:rPr>
                <w:sz w:val="20"/>
              </w:rPr>
              <w:t xml:space="preserve">Does any measure predict transfer under a permutation test?</w:t>
            </w:r>
          </w:p>
        </w:tc>
        <w:tc>
          <w:tcPr>
            <w:tcW w:type="dxa" w:w="7948"/>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w:t>
            </w:r>
          </w:p>
        </w:tc>
      </w:tr>
      <w:tr>
        <w:trPr>
          <w:cantSplit/>
        </w:trPr>
        <w:tc>
          <w:tcPr>
            <w:tcW w:type="dxa" w:w="395"/>
          </w:tcPr>
          <w:p>
            <w:pPr>
              <w:pStyle w:val="Compact"/>
              <w:spacing w:line="240" w:lineRule="auto" w:after="20"/>
            </w:pPr>
            <w:r>
              <w:rPr>
                <w:sz w:val="20"/>
              </w:rPr>
              <w:t xml:space="preserve">Without Manavgat (R8d)</w:t>
            </w:r>
          </w:p>
        </w:tc>
        <w:tc>
          <w:tcPr>
            <w:tcW w:type="dxa" w:w="726"/>
          </w:tcPr>
          <w:p>
            <w:pPr>
              <w:pStyle w:val="Compact"/>
              <w:spacing w:line="240" w:lineRule="auto" w:after="20"/>
            </w:pPr>
            <w:r>
              <w:rPr>
                <w:sz w:val="20"/>
              </w:rPr>
              <w:t xml:space="preserve">Does one region drive the transfer results?</w:t>
            </w:r>
          </w:p>
        </w:tc>
        <w:tc>
          <w:tcPr>
            <w:tcW w:type="dxa" w:w="7948"/>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395"/>
          </w:tcPr>
          <w:p>
            <w:pPr>
              <w:pStyle w:val="Compact"/>
              <w:spacing w:line="240" w:lineRule="auto" w:after="20"/>
            </w:pPr>
            <w:r>
              <w:rPr>
                <w:sz w:val="20"/>
              </w:rPr>
              <w:t xml:space="preserve">Equivalence on the original study areas (R8d)</w:t>
            </w:r>
          </w:p>
        </w:tc>
        <w:tc>
          <w:tcPr>
            <w:tcW w:type="dxa" w:w="726"/>
          </w:tcPr>
          <w:p>
            <w:pPr>
              <w:pStyle w:val="Compact"/>
              <w:spacing w:line="240" w:lineRule="auto" w:after="20"/>
            </w:pPr>
            <w:r>
              <w:rPr>
                <w:sz w:val="20"/>
              </w:rPr>
              <w:t xml:space="preserve">Is the as-drawn thermal gain within ±0.05?</w:t>
            </w:r>
          </w:p>
        </w:tc>
        <w:tc>
          <w:tcPr>
            <w:tcW w:type="dxa" w:w="7948"/>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395"/>
          </w:tcPr>
          <w:p>
            <w:pPr>
              <w:pStyle w:val="Compact"/>
              <w:spacing w:line="240" w:lineRule="auto" w:after="20"/>
            </w:pPr>
            <w:r>
              <w:rPr>
                <w:sz w:val="20"/>
              </w:rPr>
              <w:t xml:space="preserve">Intervals for Table S27 (R8e)</w:t>
            </w:r>
          </w:p>
        </w:tc>
        <w:tc>
          <w:tcPr>
            <w:tcW w:type="dxa" w:w="726"/>
          </w:tcPr>
          <w:p>
            <w:pPr>
              <w:pStyle w:val="Compact"/>
              <w:spacing w:line="240" w:lineRule="auto" w:after="20"/>
            </w:pPr>
            <w:r>
              <w:rPr>
                <w:sz w:val="20"/>
              </w:rPr>
              <w:t xml:space="preserve">Are the stratified LST associations supported?</w:t>
            </w:r>
          </w:p>
        </w:tc>
        <w:tc>
          <w:tcPr>
            <w:tcW w:type="dxa" w:w="7948"/>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395"/>
          </w:tcPr>
          <w:p>
            <w:pPr>
              <w:pStyle w:val="Compact"/>
              <w:spacing w:line="240" w:lineRule="auto" w:after="20"/>
            </w:pPr>
            <w:r>
              <w:rPr>
                <w:sz w:val="20"/>
              </w:rPr>
              <w:t xml:space="preserve">Capture of burned cells (R8b, R8g)</w:t>
            </w:r>
          </w:p>
        </w:tc>
        <w:tc>
          <w:tcPr>
            <w:tcW w:type="dxa" w:w="726"/>
          </w:tcPr>
          <w:p>
            <w:pPr>
              <w:pStyle w:val="Compact"/>
              <w:spacing w:line="240" w:lineRule="auto" w:after="20"/>
            </w:pPr>
            <w:r>
              <w:rPr>
                <w:sz w:val="20"/>
              </w:rPr>
              <w:t xml:space="preserve">How many burned cells fall in the highest-scored cells?</w:t>
            </w:r>
          </w:p>
        </w:tc>
        <w:tc>
          <w:tcPr>
            <w:tcW w:type="dxa" w:w="7948"/>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395"/>
          </w:tcPr>
          <w:p>
            <w:pPr>
              <w:pStyle w:val="Compact"/>
              <w:spacing w:line="240" w:lineRule="auto" w:after="20"/>
            </w:pPr>
            <w:r>
              <w:rPr>
                <w:sz w:val="20"/>
              </w:rPr>
              <w:t xml:space="preserve">Pre-fire land cover (R8i, R8j)</w:t>
            </w:r>
          </w:p>
        </w:tc>
        <w:tc>
          <w:tcPr>
            <w:tcW w:type="dxa" w:w="726"/>
          </w:tcPr>
          <w:p>
            <w:pPr>
              <w:pStyle w:val="Compact"/>
              <w:spacing w:line="240" w:lineRule="auto" w:after="20"/>
            </w:pPr>
            <w:r>
              <w:rPr>
                <w:sz w:val="20"/>
              </w:rPr>
              <w:t xml:space="preserve">Does the post-fire WorldCover v200 map (2021 images) affect the population or the results?</w:t>
            </w:r>
          </w:p>
        </w:tc>
        <w:tc>
          <w:tcPr>
            <w:tcW w:type="dxa" w:w="7948"/>
          </w:tcPr>
          <w:p>
            <w:pPr>
              <w:pStyle w:val="Compact"/>
              <w:spacing w:line="240" w:lineRule="auto" w:after="20"/>
            </w:pPr>
            <w:r>
              <w:rPr>
                <w:sz w:val="20"/>
              </w:rPr>
              <w:t xml:space="preserve">The 2020 map (v100) was fetched on each region’s 30 m grid and aggregated to the same cells; the same procedure applied to v200 reproduces the pipeline’s raster and every cell value of the modelling datasets exactly. With the 2020 map, at most 43 burned cells left or entered the natural-vegetation population in Manavgat, Bejís, Muğla and Evia. In Montiferru, 142 burned cells entered it, and the gate fraction rose from 0.773 to 0.977, so the 2021 map left out about a fifth of the burned natural vegetation there. The within-region thermal gain (5 km blocking) changed from +0.062, +0.045, +0.079, +0.148 and +0.099 to +0.060, +0.071, +0.083, +0.155 and +0.095 (Manavgat, Bejís, Muğla, Evia, Montiferru). Mean transfer changed from 0.527 to 0.513, and the mean thermal gain in transfer from +0.007 to +0.013; seven directions were below chance with both maps, and no direction changed side. Part of the class changes reflects the different algorithms of v100 and v200, not the fires</w:t>
            </w:r>
          </w:p>
        </w:tc>
      </w:tr>
      <w:tr>
        <w:trPr>
          <w:cantSplit/>
        </w:trPr>
        <w:tc>
          <w:tcPr>
            <w:tcW w:type="dxa" w:w="395"/>
          </w:tcPr>
          <w:p>
            <w:pPr>
              <w:pStyle w:val="Compact"/>
              <w:spacing w:line="240" w:lineRule="auto" w:after="20"/>
            </w:pPr>
            <w:r>
              <w:rPr>
                <w:sz w:val="20"/>
              </w:rPr>
              <w:t xml:space="preserve">Second burned-area product (R8k, R8m)</w:t>
            </w:r>
          </w:p>
        </w:tc>
        <w:tc>
          <w:tcPr>
            <w:tcW w:type="dxa" w:w="726"/>
          </w:tcPr>
          <w:p>
            <w:pPr>
              <w:pStyle w:val="Compact"/>
              <w:spacing w:line="240" w:lineRule="auto" w:after="20"/>
            </w:pPr>
            <w:r>
              <w:rPr>
                <w:sz w:val="20"/>
              </w:rPr>
              <w:t xml:space="preserve">Do the results depend on MCD64A1?</w:t>
            </w:r>
          </w:p>
        </w:tc>
        <w:tc>
          <w:tcPr>
            <w:tcW w:type="dxa" w:w="7948"/>
          </w:tcPr>
          <w:p>
            <w:pPr>
              <w:pStyle w:val="Compact"/>
              <w:spacing w:line="240" w:lineRule="auto" w:after="20"/>
            </w:pPr>
            <w:r>
              <w:rPr>
                <w:sz w:val="20"/>
              </w:rPr>
              <w:t xml:space="preserve">The MCD64A1 labels fetched again from Earth Engine reproduce the modelling datasets exactly in all five regions. VIIRS VNP64A1 v002 labels, built the same way, agree with them with a Jaccard index of 0.941, 0.950, 0.925, 0.978 and 0.865 (Manavgat, Bejís, Muğla, Evia, Montiferru). With VNP64A1 labels, the within-region thermal gain (5 km blocking) is +0.057, +0.055, +0.089, +0.147 and +0.082; the elevation association of Manavgat is 0.228 (0.232 with MCD64A1); mean transfer is 0.525 (0.527), the mean thermal gain in transfer +0.005 (+0.007), seven directions are below chance with both products, and no direction changes side</w:t>
            </w:r>
          </w:p>
        </w:tc>
      </w:tr>
      <w:tr>
        <w:trPr>
          <w:cantSplit/>
        </w:trPr>
        <w:tc>
          <w:tcPr>
            <w:tcW w:type="dxa" w:w="395"/>
          </w:tcPr>
          <w:p>
            <w:pPr>
              <w:pStyle w:val="Compact"/>
              <w:spacing w:line="240" w:lineRule="auto" w:after="20"/>
            </w:pPr>
            <w:r>
              <w:rPr>
                <w:sz w:val="20"/>
              </w:rPr>
              <w:t xml:space="preserve">Terrain aspect (R8k, R8m, R8n)</w:t>
            </w:r>
          </w:p>
        </w:tc>
        <w:tc>
          <w:tcPr>
            <w:tcW w:type="dxa" w:w="726"/>
          </w:tcPr>
          <w:p>
            <w:pPr>
              <w:pStyle w:val="Compact"/>
              <w:spacing w:line="240" w:lineRule="auto" w:after="20"/>
            </w:pPr>
            <w:r>
              <w:rPr>
                <w:sz w:val="20"/>
              </w:rPr>
              <w:t xml:space="preserve">Does aspect explain the thermal gain or the LST sign?</w:t>
            </w:r>
          </w:p>
        </w:tc>
        <w:tc>
          <w:tcPr>
            <w:tcW w:type="dxa" w:w="7948"/>
          </w:tcPr>
          <w:p>
            <w:pPr>
              <w:pStyle w:val="Compact"/>
              <w:spacing w:line="240" w:lineRule="auto" w:after="20"/>
            </w:pPr>
            <w:r>
              <w:rPr>
                <w:sz w:val="20"/>
              </w:rPr>
              <w:t xml:space="preserve">Northness and eastness from the Copernicus DEM were added to both feature sets. The within-region thermal gain (5 km blocking) became +0.051 [+0.030, +0.070], +0.044 [+0.025, +0.065], +0.073 [+0.047, +0.099] and +0.139 [+0.109, +0.173] in Manavgat, Bejís, Muğla and Evia, and +0.020 [−0.025, +0.066] in Montiferru, against +0.099 [+0.017, +0.186] without aspect there. Within northness deciles, the LST association is 0.652, 0.482, 0.317, 0.376 and 0.417 (raw 0.665, 0.478, 0.324, 0.377 and 0.370), so aspect does not change its sign</w:t>
            </w:r>
          </w:p>
        </w:tc>
      </w:tr>
      <w:tr>
        <w:trPr>
          <w:cantSplit/>
        </w:trPr>
        <w:tc>
          <w:tcPr>
            <w:tcW w:type="dxa" w:w="395"/>
          </w:tcPr>
          <w:p>
            <w:pPr>
              <w:pStyle w:val="Compact"/>
              <w:spacing w:line="240" w:lineRule="auto" w:after="20"/>
            </w:pPr>
            <w:r>
              <w:rPr>
                <w:sz w:val="20"/>
              </w:rPr>
              <w:t xml:space="preserve">Weather reference (R8o)</w:t>
            </w:r>
          </w:p>
        </w:tc>
        <w:tc>
          <w:tcPr>
            <w:tcW w:type="dxa" w:w="726"/>
          </w:tcPr>
          <w:p>
            <w:pPr>
              <w:pStyle w:val="Compact"/>
              <w:spacing w:line="240" w:lineRule="auto" w:after="20"/>
            </w:pPr>
            <w:r>
              <w:rPr>
                <w:sz w:val="20"/>
              </w:rPr>
              <w:t xml:space="preserve">Do the thermal channels follow weather anomalies?</w:t>
            </w:r>
          </w:p>
        </w:tc>
        <w:tc>
          <w:tcPr>
            <w:tcW w:type="dxa" w:w="7948"/>
          </w:tcPr>
          <w:p>
            <w:pPr>
              <w:pStyle w:val="Compact"/>
              <w:spacing w:line="240" w:lineRule="auto" w:after="20"/>
            </w:pPr>
            <w:r>
              <w:rPr>
                <w:sz w:val="20"/>
              </w:rPr>
              <w:t xml:space="preserve">Descriptively, across the five regions the mean Landsat LST anomaly follows the ERA5-Land anomaly of air temperature in the predictor window (Spearman ρ = 0.8) but not that of relative humidity (ρ = 0.0), and the mean TVDI difference does not follow humidity either (ρ = 0.0). With five regions this is descriptive only; it fits the reading that the channels describe temperature and surface state more than fuel moisture</w:t>
            </w:r>
          </w:p>
        </w:tc>
      </w:tr>
      <w:tr>
        <w:trPr>
          <w:cantSplit/>
        </w:trPr>
        <w:tc>
          <w:tcPr>
            <w:tcW w:type="dxa" w:w="395"/>
          </w:tcPr>
          <w:p>
            <w:pPr>
              <w:pStyle w:val="Compact"/>
              <w:spacing w:line="240" w:lineRule="auto" w:after="20"/>
            </w:pPr>
            <w:r>
              <w:rPr>
                <w:sz w:val="20"/>
              </w:rPr>
              <w:t xml:space="preserve">Crossed random effects (R8l)</w:t>
            </w:r>
          </w:p>
        </w:tc>
        <w:tc>
          <w:tcPr>
            <w:tcW w:type="dxa" w:w="726"/>
          </w:tcPr>
          <w:p>
            <w:pPr>
              <w:pStyle w:val="Compact"/>
              <w:spacing w:line="240" w:lineRule="auto" w:after="20"/>
            </w:pPr>
            <w:r>
              <w:rPr>
                <w:sz w:val="20"/>
              </w:rPr>
              <w:t xml:space="preserve">Does a model with source and target random intercepts change the thermal gain in transfer?</w:t>
            </w:r>
          </w:p>
        </w:tc>
        <w:tc>
          <w:tcPr>
            <w:tcW w:type="dxa" w:w="7948"/>
          </w:tcPr>
          <w:p>
            <w:pPr>
              <w:pStyle w:val="Compact"/>
              <w:spacing w:line="240" w:lineRule="auto" w:after="20"/>
            </w:pPr>
            <w:r>
              <w:rPr>
                <w:sz w:val="20"/>
              </w:rPr>
              <w:t xml:space="preserve">No. The estimated source and target variances are close to zero. The mean gain is +0.007 [−0.035, +0.050] on the original study areas and +0.024 [−0.012, +0.060] on the 10 km collar (REML, t interval with four degrees of freedom); both include zero</w:t>
            </w:r>
          </w:p>
        </w:tc>
      </w:tr>
      <w:tr>
        <w:trPr>
          <w:cantSplit/>
        </w:trPr>
        <w:tc>
          <w:tcPr>
            <w:tcW w:type="dxa" w:w="395"/>
          </w:tcPr>
          <w:p>
            <w:pPr>
              <w:pStyle w:val="Compact"/>
              <w:spacing w:line="240" w:lineRule="auto" w:after="20"/>
            </w:pPr>
            <w:r>
              <w:rPr>
                <w:sz w:val="20"/>
              </w:rPr>
              <w:t xml:space="preserve">Residual spatial correlation (R8l)</w:t>
            </w:r>
          </w:p>
        </w:tc>
        <w:tc>
          <w:tcPr>
            <w:tcW w:type="dxa" w:w="726"/>
          </w:tcPr>
          <w:p>
            <w:pPr>
              <w:pStyle w:val="Compact"/>
              <w:spacing w:line="240" w:lineRule="auto" w:after="20"/>
            </w:pPr>
            <w:r>
              <w:rPr>
                <w:sz w:val="20"/>
              </w:rPr>
              <w:t xml:space="preserve">Do 5 km blocks remove the spatial dependence?</w:t>
            </w:r>
          </w:p>
        </w:tc>
        <w:tc>
          <w:tcPr>
            <w:tcW w:type="dxa" w:w="7948"/>
          </w:tcPr>
          <w:p>
            <w:pPr>
              <w:pStyle w:val="Compact"/>
              <w:spacing w:line="240" w:lineRule="auto" w:after="20"/>
            </w:pPr>
            <w:r>
              <w:rPr>
                <w:sz w:val="20"/>
              </w:rPr>
              <w:t xml:space="preserve">Not fully. The correlation of out-of-fold residuals between cell pairs is 0.58 to 0.83 below 1 km, 0.15 to 0.48 at 5 to 10 km (except Montiferru, −0.01), and falls below 0.05 at 10 to 20 km in Manavgat, Bejís and Muğla, at 20 to 40 km in Evia and at 5 to 10 km in Montiferru. Intervals at 5 km blocking may therefore be somewhat too narrow</w:t>
            </w:r>
          </w:p>
        </w:tc>
      </w:tr>
      <w:tr>
        <w:trPr>
          <w:cantSplit/>
        </w:trPr>
        <w:tc>
          <w:tcPr>
            <w:tcW w:type="dxa" w:w="395"/>
          </w:tcPr>
          <w:p>
            <w:pPr>
              <w:pStyle w:val="Compact"/>
              <w:spacing w:line="240" w:lineRule="auto" w:after="20"/>
            </w:pPr>
            <w:r>
              <w:rPr>
                <w:sz w:val="20"/>
              </w:rPr>
              <w:t xml:space="preserve">Pooled against fold-averaged AUC (R8l)</w:t>
            </w:r>
          </w:p>
        </w:tc>
        <w:tc>
          <w:tcPr>
            <w:tcW w:type="dxa" w:w="726"/>
          </w:tcPr>
          <w:p>
            <w:pPr>
              <w:pStyle w:val="Compact"/>
              <w:spacing w:line="240" w:lineRule="auto" w:after="20"/>
            </w:pPr>
            <w:r>
              <w:rPr>
                <w:sz w:val="20"/>
              </w:rPr>
              <w:t xml:space="preserve">Does pooling out-of-fold predictions inflate the within-region AUC?</w:t>
            </w:r>
          </w:p>
        </w:tc>
        <w:tc>
          <w:tcPr>
            <w:tcW w:type="dxa" w:w="7948"/>
          </w:tcPr>
          <w:p>
            <w:pPr>
              <w:pStyle w:val="Compact"/>
              <w:spacing w:line="240" w:lineRule="auto" w:after="20"/>
            </w:pPr>
            <w:r>
              <w:rPr>
                <w:sz w:val="20"/>
              </w:rPr>
              <w:t xml:space="preserve">No. The mean of the five fold AUCs is 0.004 to 0.018 higher than the pooled value in every region (thermal model, 5 km blocking)</w:t>
            </w:r>
          </w:p>
        </w:tc>
      </w:tr>
      <w:tr>
        <w:trPr>
          <w:cantSplit/>
        </w:trPr>
        <w:tc>
          <w:tcPr>
            <w:tcW w:type="dxa" w:w="395"/>
          </w:tcPr>
          <w:p>
            <w:pPr>
              <w:pStyle w:val="Compact"/>
              <w:spacing w:line="240" w:lineRule="auto" w:after="20"/>
            </w:pPr>
            <w:r>
              <w:rPr>
                <w:sz w:val="20"/>
              </w:rPr>
              <w:t xml:space="preserve">Estimator intervals (R8l)</w:t>
            </w:r>
          </w:p>
        </w:tc>
        <w:tc>
          <w:tcPr>
            <w:tcW w:type="dxa" w:w="726"/>
          </w:tcPr>
          <w:p>
            <w:pPr>
              <w:pStyle w:val="Compact"/>
              <w:spacing w:line="240" w:lineRule="auto" w:after="20"/>
            </w:pPr>
            <w:r>
              <w:rPr>
                <w:sz w:val="20"/>
              </w:rPr>
              <w:t xml:space="preserve">How uncertain are the four estimators of Table S25?</w:t>
            </w:r>
          </w:p>
        </w:tc>
        <w:tc>
          <w:tcPr>
            <w:tcW w:type="dxa" w:w="7948"/>
          </w:tcPr>
          <w:p>
            <w:pPr>
              <w:pStyle w:val="Compact"/>
              <w:spacing w:line="240" w:lineRule="auto" w:after="20"/>
            </w:pPr>
            <w:r>
              <w:rPr>
                <w:sz w:val="20"/>
              </w:rPr>
              <w:t xml:space="preserve">Pair-cluster intervals of mean transfer: 0.527 [0.461, 0.588], 0.527 [0.460, 0.594], 0.522 [0.456, 0.584] and 0.481 [0.419, 0.542]; of the thermal gain in transfer: +0.007 [−0.022, +0.034], −0.011 [−0.040, +0.016], −0.019 [−0.045, +0.007] and −0.021 [−0.057, +0.010]. All gain intervals include zero</w:t>
            </w:r>
          </w:p>
        </w:tc>
      </w:tr>
      <w:tr>
        <w:trPr>
          <w:cantSplit/>
        </w:trPr>
        <w:tc>
          <w:tcPr>
            <w:tcW w:type="dxa" w:w="395"/>
          </w:tcPr>
          <w:p>
            <w:pPr>
              <w:pStyle w:val="Compact"/>
              <w:spacing w:line="240" w:lineRule="auto" w:after="20"/>
            </w:pPr>
            <w:r>
              <w:rPr>
                <w:sz w:val="20"/>
              </w:rPr>
              <w:t xml:space="preserve">Bejís pre-label cells (R8b)</w:t>
            </w:r>
          </w:p>
        </w:tc>
        <w:tc>
          <w:tcPr>
            <w:tcW w:type="dxa" w:w="726"/>
          </w:tcPr>
          <w:p>
            <w:pPr>
              <w:pStyle w:val="Compact"/>
              <w:spacing w:line="240" w:lineRule="auto" w:after="20"/>
            </w:pPr>
            <w:r>
              <w:rPr>
                <w:sz w:val="20"/>
              </w:rPr>
              <w:t xml:space="preserve">Do the 48 cells that burned in the predictor window affect the results?</w:t>
            </w:r>
          </w:p>
        </w:tc>
        <w:tc>
          <w:tcPr>
            <w:tcW w:type="dxa" w:w="7948"/>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4"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52"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CaptionedFigure"/>
      </w:pPr>
      <w:r>
        <w:drawing>
          <wp:inline>
            <wp:extent cx="5753100" cy="4213538"/>
            <wp:effectExtent b="0" l="0" r="0" t="0"/>
            <wp:docPr descr="Fig. S1. The five study areas at cell level. Grey shading is the elevation of the natural-vegetation cells, white cells lie outside this population, and burned cells are red. The dashed and solid blue lines are the 5 km and 10 km distance collars (Section 3.12). Axes give approximate distances in km on the ~500 m grid. Drawn by paper/figures/figS1_study_areas.py from the released modelling datasets." title="" id="50" name="Picture"/>
            <a:graphic>
              <a:graphicData uri="http://schemas.openxmlformats.org/drawingml/2006/picture">
                <pic:pic>
                  <pic:nvPicPr>
                    <pic:cNvPr descr="figures/figS1_study_areas.png" id="51" name="Picture"/>
                    <pic:cNvPicPr>
                      <a:picLocks noChangeArrowheads="1" noChangeAspect="1"/>
                    </pic:cNvPicPr>
                  </pic:nvPicPr>
                  <pic:blipFill>
                    <a:blip r:embed="rId49"/>
                    <a:stretch>
                      <a:fillRect/>
                    </a:stretch>
                  </pic:blipFill>
                  <pic:spPr bwMode="auto">
                    <a:xfrm>
                      <a:off x="0" y="0"/>
                      <a:ext cx="5753100" cy="4213538"/>
                    </a:xfrm>
                    <a:prstGeom prst="rect">
                      <a:avLst/>
                    </a:prstGeom>
                    <a:noFill/>
                    <a:ln w="9525">
                      <a:noFill/>
                      <a:headEnd/>
                      <a:tailEnd/>
                    </a:ln>
                  </pic:spPr>
                </pic:pic>
              </a:graphicData>
            </a:graphic>
          </wp:inline>
        </w:drawing>
      </w:r>
    </w:p>
    <w:p>
      <w:pPr>
        <w:pStyle w:val="ImageCaption"/>
      </w:pPr>
      <w:r>
        <w:rPr>
          <w:b/>
          <w:bCs/>
        </w:rPr>
        <w:t xml:space="preserve">Fig. S1. The five study areas at cell level.</w:t>
      </w:r>
      <w:r>
        <w:t xml:space="preserve"> </w:t>
      </w:r>
      <w:r>
        <w:t xml:space="preserve">Grey shading is the elevation of the</w:t>
      </w:r>
      <w:r>
        <w:t xml:space="preserve"> </w:t>
      </w:r>
      <w:r>
        <w:t xml:space="preserve">natural-vegetation cells, white cells lie outside this population, and burned cells are red. The dashed</w:t>
      </w:r>
      <w:r>
        <w:t xml:space="preserve"> </w:t>
      </w:r>
      <w:r>
        <w:t xml:space="preserve">and solid blue lines are the 5 km and 10 km distance collars (Section 3.12). Axes give approximate</w:t>
      </w:r>
      <w:r>
        <w:t xml:space="preserve"> </w:t>
      </w:r>
      <w:r>
        <w:t xml:space="preserve">distances in km on the ~500 m grid. Drawn by</w:t>
      </w:r>
      <w:r>
        <w:t xml:space="preserve"> </w:t>
      </w:r>
      <w:r>
        <w:rPr>
          <w:rStyle w:val="VerbatimChar"/>
        </w:rPr>
        <w:t xml:space="preserve">paper/figures/figS1_study_areas.py</w:t>
      </w:r>
      <w:r>
        <w:t xml:space="preserve"> </w:t>
      </w:r>
      <w:r>
        <w:t xml:space="preserve">from the released</w:t>
      </w:r>
      <w:r>
        <w:t xml:space="preserve"> </w:t>
      </w:r>
      <w:r>
        <w:t xml:space="preserve">modelling datasets.</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pPr>
      <w:r>
        <w:t xml:space="preserve">In Manavgat, the median elevation of the modelled cells is 330 m within 5 km of the fire (burned cells</w:t>
      </w:r>
      <w:r>
        <w:t xml:space="preserve"> </w:t>
      </w:r>
      <w:r>
        <w:t xml:space="preserve">included), 995 m at 10 to 20 km and 1,273 m at 20 to 50 km; the burned cells have a median of 287 m</w:t>
      </w:r>
      <w:r>
        <w:t xml:space="preserve"> </w:t>
      </w:r>
      <w:r>
        <w:t xml:space="preserve">(printed by</w:t>
      </w:r>
      <w:r>
        <w:t xml:space="preserve"> </w:t>
      </w:r>
      <w:r>
        <w:rPr>
          <w:rStyle w:val="VerbatimChar"/>
        </w:rPr>
        <w:t xml:space="preserve">paper/code/verify_aoi_frame.py</w:t>
      </w:r>
      <w:r>
        <w:t xml:space="preserve">, stage 1b).</w:t>
      </w:r>
    </w:p>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52"/>
    <w:bookmarkStart w:id="53"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3"/>
    <w:bookmarkEnd w:id="54"/>
    <w:bookmarkStart w:id="69"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8"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5"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5"/>
    <w:bookmarkStart w:id="56"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6"/>
    <w:bookmarkStart w:id="57"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7"/>
    <w:bookmarkEnd w:id="58"/>
    <w:bookmarkStart w:id="59"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9"/>
    <w:bookmarkStart w:id="60"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The 2022 population is the 2021 population without the 2021 scar; Section S1.13 describes what</w:t>
      </w:r>
      <w:r>
        <w:t xml:space="preserve"> </w:t>
      </w:r>
      <w:r>
        <w:t xml:space="preserve">follows from this.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60"/>
    <w:bookmarkStart w:id="61"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p>
      <w:pPr>
        <w:pStyle w:val="BodyText"/>
        <w:keepNext/>
      </w:pPr>
      <w:r>
        <w:rPr>
          <w:b/>
          <w:bCs/>
        </w:rPr>
        <w:t xml:space="preserve">Table S36. Landsat 8 observations per window.</w:t>
      </w:r>
      <w:r>
        <w:t xml:space="preserve"> </w:t>
      </w:r>
      <w:r>
        <w:t xml:space="preserve">Scenes = Landsat 8 Collection 2 Level-2 scenes</w:t>
      </w:r>
      <w:r>
        <w:t xml:space="preserve"> </w:t>
      </w:r>
      <w:r>
        <w:t xml:space="preserve">whose footprint intersects the study area. Clear observations = number of clear observations per</w:t>
      </w:r>
      <w:r>
        <w:t xml:space="preserve"> </w:t>
      </w:r>
      <w:r>
        <w:t xml:space="preserve">pixel after the pipeline’s QA mask (</w:t>
      </w:r>
      <w:r>
        <w:rPr>
          <w:rStyle w:val="VerbatimChar"/>
        </w:rPr>
        <w:t xml:space="preserve">src/step3_landsat_lst.py</w:t>
      </w:r>
      <w:r>
        <w:t xml:space="preserve">), median and 10th to 90th percentile</w:t>
      </w:r>
      <w:r>
        <w:t xml:space="preserve"> </w:t>
      </w:r>
      <w:r>
        <w:t xml:space="preserve">over the study area at 300 m. The pipeline also filters the predictor window by calendar month, so</w:t>
      </w:r>
      <w:r>
        <w:t xml:space="preserve"> </w:t>
      </w:r>
      <w:r>
        <w:t xml:space="preserve">its counts can be slightly lower. Landsat 9 is not used. Source</w:t>
      </w:r>
      <w:r>
        <w:t xml:space="preserve"> </w:t>
      </w:r>
      <w:r>
        <w:rPr>
          <w:rStyle w:val="VerbatimChar"/>
        </w:rPr>
        <w:t xml:space="preserve">paper/labelfix_rerun/round8/r8k_landsat_observations.csv</w:t>
      </w:r>
      <w:r>
        <w:t xml:space="preserve">.</w:t>
      </w:r>
    </w:p>
    <w:tbl>
      <w:tblPr>
        <w:tblStyle w:val="Table"/>
        <w:tblW w:type="auto" w:w="0"/>
        <w:tblLook w:firstRow="1" w:lastRow="0" w:firstColumn="0" w:lastColumn="0" w:noHBand="0" w:noVBand="0" w:val="0020"/>
      </w:tblPr>
      <w:tblGrid>
        <w:gridCol w:w="1153"/>
        <w:gridCol w:w="1768"/>
        <w:gridCol w:w="2767"/>
        <w:gridCol w:w="3382"/>
      </w:tblGrid>
      <w:tr>
        <w:trPr>
          <w:tblHeader w:val="on"/>
          <w:cantSplit/>
        </w:trPr>
        <w:tc>
          <w:tcPr>
            <w:tcW w:type="dxa" w:w="1153"/>
          </w:tcPr>
          <w:p>
            <w:pPr>
              <w:pStyle w:val="Compact"/>
              <w:spacing w:line="240" w:lineRule="auto" w:after="20"/>
            </w:pPr>
            <w:r>
              <w:rPr>
                <w:sz w:val="20"/>
              </w:rPr>
              <w:t xml:space="preserve">Region</w:t>
            </w:r>
          </w:p>
        </w:tc>
        <w:tc>
          <w:tcPr>
            <w:tcW w:type="dxa" w:w="1768"/>
          </w:tcPr>
          <w:p>
            <w:pPr>
              <w:pStyle w:val="Compact"/>
              <w:spacing w:line="240" w:lineRule="auto" w:after="20"/>
              <w:jc w:val="right"/>
            </w:pPr>
            <w:r>
              <w:rPr>
                <w:sz w:val="20"/>
              </w:rPr>
              <w:t xml:space="preserve">Predictor window scenes</w:t>
            </w:r>
          </w:p>
        </w:tc>
        <w:tc>
          <w:tcPr>
            <w:tcW w:type="dxa" w:w="2767"/>
          </w:tcPr>
          <w:p>
            <w:pPr>
              <w:pStyle w:val="Compact"/>
              <w:spacing w:line="240" w:lineRule="auto" w:after="20"/>
            </w:pPr>
            <w:r>
              <w:rPr>
                <w:sz w:val="20"/>
              </w:rPr>
              <w:t xml:space="preserve">Clear observations, predictor window</w:t>
            </w:r>
          </w:p>
        </w:tc>
        <w:tc>
          <w:tcPr>
            <w:tcW w:type="dxa" w:w="3382"/>
          </w:tcPr>
          <w:p>
            <w:pPr>
              <w:pStyle w:val="Compact"/>
              <w:spacing w:line="240" w:lineRule="auto" w:after="20"/>
            </w:pPr>
            <w:r>
              <w:rPr>
                <w:sz w:val="20"/>
              </w:rPr>
              <w:t xml:space="preserve">Clear observations, baseline years (medians)</w:t>
            </w:r>
          </w:p>
        </w:tc>
      </w:tr>
      <w:tr>
        <w:trPr>
          <w:cantSplit/>
        </w:trPr>
        <w:tc>
          <w:tcPr>
            <w:tcW w:type="dxa" w:w="1153"/>
          </w:tcPr>
          <w:p>
            <w:pPr>
              <w:pStyle w:val="Compact"/>
              <w:spacing w:line="240" w:lineRule="auto" w:after="20"/>
            </w:pPr>
            <w:r>
              <w:rPr>
                <w:sz w:val="20"/>
              </w:rPr>
              <w:t xml:space="preserve">Manavgat 2021</w:t>
            </w:r>
          </w:p>
        </w:tc>
        <w:tc>
          <w:tcPr>
            <w:tcW w:type="dxa" w:w="1768"/>
          </w:tcPr>
          <w:p>
            <w:pPr>
              <w:pStyle w:val="Compact"/>
              <w:spacing w:line="240" w:lineRule="auto" w:after="20"/>
              <w:jc w:val="right"/>
            </w:pPr>
            <w:r>
              <w:rPr>
                <w:sz w:val="20"/>
              </w:rPr>
              <w:t xml:space="preserve">14</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7, 7, 6, 6</w:t>
            </w:r>
          </w:p>
        </w:tc>
      </w:tr>
      <w:tr>
        <w:trPr>
          <w:cantSplit/>
        </w:trPr>
        <w:tc>
          <w:tcPr>
            <w:tcW w:type="dxa" w:w="1153"/>
          </w:tcPr>
          <w:p>
            <w:pPr>
              <w:pStyle w:val="Compact"/>
              <w:spacing w:line="240" w:lineRule="auto" w:after="20"/>
            </w:pPr>
            <w:r>
              <w:rPr>
                <w:sz w:val="20"/>
              </w:rPr>
              <w:t xml:space="preserve">Bejís 2022</w:t>
            </w:r>
          </w:p>
        </w:tc>
        <w:tc>
          <w:tcPr>
            <w:tcW w:type="dxa" w:w="1768"/>
          </w:tcPr>
          <w:p>
            <w:pPr>
              <w:pStyle w:val="Compact"/>
              <w:spacing w:line="240" w:lineRule="auto" w:after="20"/>
              <w:jc w:val="right"/>
            </w:pPr>
            <w:r>
              <w:rPr>
                <w:sz w:val="20"/>
              </w:rPr>
              <w:t xml:space="preserve">16</w:t>
            </w:r>
          </w:p>
        </w:tc>
        <w:tc>
          <w:tcPr>
            <w:tcW w:type="dxa" w:w="2767"/>
          </w:tcPr>
          <w:p>
            <w:pPr>
              <w:pStyle w:val="Compact"/>
              <w:spacing w:line="240" w:lineRule="auto" w:after="20"/>
            </w:pPr>
            <w:r>
              <w:rPr>
                <w:sz w:val="20"/>
              </w:rPr>
              <w:t xml:space="preserve">3 [2 to 6]</w:t>
            </w:r>
          </w:p>
        </w:tc>
        <w:tc>
          <w:tcPr>
            <w:tcW w:type="dxa" w:w="3382"/>
          </w:tcPr>
          <w:p>
            <w:pPr>
              <w:pStyle w:val="Compact"/>
              <w:spacing w:line="240" w:lineRule="auto" w:after="20"/>
            </w:pPr>
            <w:r>
              <w:rPr>
                <w:sz w:val="20"/>
              </w:rPr>
              <w:t xml:space="preserve">4, 4, 3, 2</w:t>
            </w:r>
          </w:p>
        </w:tc>
      </w:tr>
      <w:tr>
        <w:trPr>
          <w:cantSplit/>
        </w:trPr>
        <w:tc>
          <w:tcPr>
            <w:tcW w:type="dxa" w:w="1153"/>
          </w:tcPr>
          <w:p>
            <w:pPr>
              <w:pStyle w:val="Compact"/>
              <w:spacing w:line="240" w:lineRule="auto" w:after="20"/>
            </w:pPr>
            <w:r>
              <w:rPr>
                <w:sz w:val="20"/>
              </w:rPr>
              <w:t xml:space="preserve">Muğla 2021</w:t>
            </w:r>
          </w:p>
        </w:tc>
        <w:tc>
          <w:tcPr>
            <w:tcW w:type="dxa" w:w="1768"/>
          </w:tcPr>
          <w:p>
            <w:pPr>
              <w:pStyle w:val="Compact"/>
              <w:spacing w:line="240" w:lineRule="auto" w:after="20"/>
              <w:jc w:val="right"/>
            </w:pPr>
            <w:r>
              <w:rPr>
                <w:sz w:val="20"/>
              </w:rPr>
              <w:t xml:space="preserve">18</w:t>
            </w:r>
          </w:p>
        </w:tc>
        <w:tc>
          <w:tcPr>
            <w:tcW w:type="dxa" w:w="2767"/>
          </w:tcPr>
          <w:p>
            <w:pPr>
              <w:pStyle w:val="Compact"/>
              <w:spacing w:line="240" w:lineRule="auto" w:after="20"/>
            </w:pPr>
            <w:r>
              <w:rPr>
                <w:sz w:val="20"/>
              </w:rPr>
              <w:t xml:space="preserve">6 [3 to 10]</w:t>
            </w:r>
          </w:p>
        </w:tc>
        <w:tc>
          <w:tcPr>
            <w:tcW w:type="dxa" w:w="3382"/>
          </w:tcPr>
          <w:p>
            <w:pPr>
              <w:pStyle w:val="Compact"/>
              <w:spacing w:line="240" w:lineRule="auto" w:after="20"/>
            </w:pPr>
            <w:r>
              <w:rPr>
                <w:sz w:val="20"/>
              </w:rPr>
              <w:t xml:space="preserve">6, 6, 6, 6</w:t>
            </w:r>
          </w:p>
        </w:tc>
      </w:tr>
      <w:tr>
        <w:trPr>
          <w:cantSplit/>
        </w:trPr>
        <w:tc>
          <w:tcPr>
            <w:tcW w:type="dxa" w:w="1153"/>
          </w:tcPr>
          <w:p>
            <w:pPr>
              <w:pStyle w:val="Compact"/>
              <w:spacing w:line="240" w:lineRule="auto" w:after="20"/>
            </w:pPr>
            <w:r>
              <w:rPr>
                <w:sz w:val="20"/>
              </w:rPr>
              <w:t xml:space="preserve">North Evia 2021</w:t>
            </w:r>
          </w:p>
        </w:tc>
        <w:tc>
          <w:tcPr>
            <w:tcW w:type="dxa" w:w="1768"/>
          </w:tcPr>
          <w:p>
            <w:pPr>
              <w:pStyle w:val="Compact"/>
              <w:spacing w:line="240" w:lineRule="auto" w:after="20"/>
              <w:jc w:val="right"/>
            </w:pPr>
            <w:r>
              <w:rPr>
                <w:sz w:val="20"/>
              </w:rPr>
              <w:t xml:space="preserve">8</w:t>
            </w:r>
          </w:p>
        </w:tc>
        <w:tc>
          <w:tcPr>
            <w:tcW w:type="dxa" w:w="2767"/>
          </w:tcPr>
          <w:p>
            <w:pPr>
              <w:pStyle w:val="Compact"/>
              <w:spacing w:line="240" w:lineRule="auto" w:after="20"/>
            </w:pPr>
            <w:r>
              <w:rPr>
                <w:sz w:val="20"/>
              </w:rPr>
              <w:t xml:space="preserve">4 [3 to 4]</w:t>
            </w:r>
          </w:p>
        </w:tc>
        <w:tc>
          <w:tcPr>
            <w:tcW w:type="dxa" w:w="3382"/>
          </w:tcPr>
          <w:p>
            <w:pPr>
              <w:pStyle w:val="Compact"/>
              <w:spacing w:line="240" w:lineRule="auto" w:after="20"/>
            </w:pPr>
            <w:r>
              <w:rPr>
                <w:sz w:val="20"/>
              </w:rPr>
              <w:t xml:space="preserve">4, 3, 2, 1</w:t>
            </w:r>
          </w:p>
        </w:tc>
      </w:tr>
      <w:tr>
        <w:trPr>
          <w:cantSplit/>
        </w:trPr>
        <w:tc>
          <w:tcPr>
            <w:tcW w:type="dxa" w:w="1153"/>
          </w:tcPr>
          <w:p>
            <w:pPr>
              <w:pStyle w:val="Compact"/>
              <w:spacing w:line="240" w:lineRule="auto" w:after="20"/>
            </w:pPr>
            <w:r>
              <w:rPr>
                <w:sz w:val="20"/>
              </w:rPr>
              <w:t xml:space="preserve">Montiferru 2021</w:t>
            </w:r>
          </w:p>
        </w:tc>
        <w:tc>
          <w:tcPr>
            <w:tcW w:type="dxa" w:w="1768"/>
          </w:tcPr>
          <w:p>
            <w:pPr>
              <w:pStyle w:val="Compact"/>
              <w:spacing w:line="240" w:lineRule="auto" w:after="20"/>
              <w:jc w:val="right"/>
            </w:pPr>
            <w:r>
              <w:rPr>
                <w:sz w:val="20"/>
              </w:rPr>
              <w:t xml:space="preserve">4</w:t>
            </w:r>
          </w:p>
        </w:tc>
        <w:tc>
          <w:tcPr>
            <w:tcW w:type="dxa" w:w="2767"/>
          </w:tcPr>
          <w:p>
            <w:pPr>
              <w:pStyle w:val="Compact"/>
              <w:spacing w:line="240" w:lineRule="auto" w:after="20"/>
            </w:pPr>
            <w:r>
              <w:rPr>
                <w:sz w:val="20"/>
              </w:rPr>
              <w:t xml:space="preserve">3 [2 to 4]</w:t>
            </w:r>
          </w:p>
        </w:tc>
        <w:tc>
          <w:tcPr>
            <w:tcW w:type="dxa" w:w="3382"/>
          </w:tcPr>
          <w:p>
            <w:pPr>
              <w:pStyle w:val="Compact"/>
              <w:spacing w:line="240" w:lineRule="auto" w:after="20"/>
            </w:pPr>
            <w:r>
              <w:rPr>
                <w:sz w:val="20"/>
              </w:rPr>
              <w:t xml:space="preserve">4, 3, 2, 3</w:t>
            </w:r>
          </w:p>
        </w:tc>
      </w:tr>
    </w:tbl>
    <w:p>
      <w:pPr>
        <w:pStyle w:val="BodyText"/>
      </w:pPr>
      <w:r>
        <w:t xml:space="preserve">The anomaly channels therefore rest on few clear observations per year, one to seven depending on</w:t>
      </w:r>
      <w:r>
        <w:t xml:space="preserve"> </w:t>
      </w:r>
      <w:r>
        <w:t xml:space="preserve">region and year, which adds noise to the four-year baseline.</w:t>
      </w:r>
    </w:p>
    <w:bookmarkEnd w:id="61"/>
    <w:bookmarkStart w:id="62"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was used as a label check (Table S35), and no</w:t>
      </w:r>
      <w:r>
        <w:t xml:space="preserve"> </w:t>
      </w:r>
      <w:r>
        <w:t xml:space="preserve">conclusion changed. Independent fire perimeters were not used.</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 (Section S1.11), while holding aspect does not.</w:t>
      </w:r>
      <w:r>
        <w:t xml:space="preserve"> </w:t>
      </w:r>
      <w:r>
        <w:t xml:space="preserve">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62"/>
    <w:bookmarkStart w:id="65"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reproduction check is described in Section S3.6.2.</w:t>
      </w:r>
    </w:p>
    <w:bookmarkStart w:id="63"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3"/>
    <w:bookmarkStart w:id="64"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4"/>
    <w:bookmarkEnd w:id="65"/>
    <w:bookmarkStart w:id="67"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6"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6"/>
    <w:bookmarkEnd w:id="67"/>
    <w:bookmarkStart w:id="68"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The λ = 1 of</w:t>
      </w:r>
      <w:r>
        <w:t xml:space="preserve"> </w:t>
      </w:r>
      <w:r>
        <w:t xml:space="preserve">the original CORAL formulation lies outside this range. The value used throughout is λ = 10⁻⁵</w:t>
      </w:r>
      <w:r>
        <w:t xml:space="preserve"> </w:t>
      </w:r>
      <w:r>
        <w:t xml:space="preserve">(Section S1.2).</w:t>
      </w:r>
    </w:p>
    <w:bookmarkEnd w:id="68"/>
    <w:bookmarkEnd w:id="69"/>
    <w:bookmarkStart w:id="74" w:name="s4-target-label-recovery-curve"/>
    <w:p>
      <w:pPr>
        <w:pStyle w:val="Heading1"/>
      </w:pPr>
      <w:r>
        <w:t xml:space="preserve">S4 Target-label recovery curve</w:t>
      </w:r>
    </w:p>
    <w:bookmarkStart w:id="70"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70"/>
    <w:bookmarkStart w:id="71"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71"/>
    <w:bookmarkStart w:id="72"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72"/>
    <w:bookmarkStart w:id="73"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3"/>
    <w:bookmarkEnd w:id="74"/>
    <w:bookmarkStart w:id="76"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and the version used for this paper is archived at Zenodo (https://doi.org/10.5281/zenodo.23035271).</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5">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round7/</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and S20 to S34 and the values in the text are not checked by</w:t>
      </w:r>
      <w:r>
        <w:t xml:space="preserve"> </w:t>
      </w:r>
      <w:r>
        <w:rPr>
          <w:rStyle w:val="VerbatimChar"/>
        </w:rPr>
        <w:t xml:space="preserve">appendix_tables.py</w:t>
      </w:r>
      <w:r>
        <w:t xml:space="preserve">; they name their source files in their captions or text.</w:t>
      </w:r>
    </w:p>
    <w:bookmarkEnd w:id="76"/>
    <w:bookmarkStart w:id="77"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7"/>
    <w:bookmarkStart w:id="115" w:name="references"/>
    <w:p>
      <w:pPr>
        <w:pStyle w:val="Heading1"/>
      </w:pPr>
      <w:r>
        <w:t xml:space="preserve">References</w:t>
      </w:r>
    </w:p>
    <w:bookmarkStart w:id="114" w:name="refs"/>
    <w:bookmarkStart w:id="79"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8">
        <w:r>
          <w:rPr>
            <w:rStyle w:val="Hyperlink"/>
          </w:rPr>
          <w:t xml:space="preserve">https://doi.org/10.1016/j.ecolmodel.2011.02.011</w:t>
        </w:r>
      </w:hyperlink>
    </w:p>
    <w:bookmarkEnd w:id="79"/>
    <w:bookmarkStart w:id="81"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80">
        <w:r>
          <w:rPr>
            <w:rStyle w:val="Hyperlink"/>
          </w:rPr>
          <w:t xml:space="preserve">https://doi.org/10.1016/j.rse.2019.111490</w:t>
        </w:r>
      </w:hyperlink>
    </w:p>
    <w:bookmarkEnd w:id="81"/>
    <w:bookmarkStart w:id="83"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2">
        <w:r>
          <w:rPr>
            <w:rStyle w:val="Hyperlink"/>
          </w:rPr>
          <w:t xml:space="preserve">https://doi.org/10.5270/ESA-c5d3d65</w:t>
        </w:r>
      </w:hyperlink>
    </w:p>
    <w:bookmarkEnd w:id="83"/>
    <w:bookmarkStart w:id="85"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4">
        <w:r>
          <w:rPr>
            <w:rStyle w:val="Hyperlink"/>
          </w:rPr>
          <w:t xml:space="preserve">https://doi.org/10.5067/VIIRS/VNP64A1.002</w:t>
        </w:r>
      </w:hyperlink>
    </w:p>
    <w:bookmarkEnd w:id="85"/>
    <w:bookmarkStart w:id="87"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6">
        <w:r>
          <w:rPr>
            <w:rStyle w:val="Hyperlink"/>
          </w:rPr>
          <w:t xml:space="preserve">https://doi.org/10.1016/j.rse.2018.08.005</w:t>
        </w:r>
      </w:hyperlink>
    </w:p>
    <w:bookmarkEnd w:id="87"/>
    <w:bookmarkStart w:id="89"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8">
        <w:r>
          <w:rPr>
            <w:rStyle w:val="Hyperlink"/>
          </w:rPr>
          <w:t xml:space="preserve">https://doi.org/10.5067/MODIS/MCD64A1.061</w:t>
        </w:r>
      </w:hyperlink>
    </w:p>
    <w:bookmarkEnd w:id="89"/>
    <w:bookmarkStart w:id="91"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0">
        <w:r>
          <w:rPr>
            <w:rStyle w:val="Hyperlink"/>
          </w:rPr>
          <w:t xml:space="preserve">https://doi.org/10.1016/j.rse.2017.06.031</w:t>
        </w:r>
      </w:hyperlink>
    </w:p>
    <w:bookmarkEnd w:id="91"/>
    <w:bookmarkStart w:id="93"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92">
        <w:r>
          <w:rPr>
            <w:rStyle w:val="Hyperlink"/>
          </w:rPr>
          <w:t xml:space="preserve">https://doi.org/10.3390/rs14030602</w:t>
        </w:r>
      </w:hyperlink>
    </w:p>
    <w:bookmarkEnd w:id="93"/>
    <w:bookmarkStart w:id="95"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4">
        <w:r>
          <w:rPr>
            <w:rStyle w:val="Hyperlink"/>
          </w:rPr>
          <w:t xml:space="preserve">https://doi.org/10.1111/geb.13635</w:t>
        </w:r>
      </w:hyperlink>
    </w:p>
    <w:bookmarkEnd w:id="95"/>
    <w:bookmarkStart w:id="9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6">
        <w:r>
          <w:rPr>
            <w:rStyle w:val="Hyperlink"/>
          </w:rPr>
          <w:t xml:space="preserve">https://doi.org/10.1111/2041-210X.13650</w:t>
        </w:r>
      </w:hyperlink>
    </w:p>
    <w:bookmarkEnd w:id="97"/>
    <w:bookmarkStart w:id="99" w:name="ref-Meyer2022"/>
    <w:p>
      <w:pPr>
        <w:pStyle w:val="Bibliography"/>
      </w:pPr>
      <w:r>
        <w:t xml:space="preserve">Meyer H, Pebesma E (2022) Machine learning-based global maps of ecological variables and the challenge of assessing them. Nature Communications 13:2208.</w:t>
      </w:r>
      <w:r>
        <w:t xml:space="preserve"> </w:t>
      </w:r>
      <w:hyperlink r:id="rId98">
        <w:r>
          <w:rPr>
            <w:rStyle w:val="Hyperlink"/>
          </w:rPr>
          <w:t xml:space="preserve">https://doi.org/10.1038/s41467-022-29838-9</w:t>
        </w:r>
      </w:hyperlink>
    </w:p>
    <w:bookmarkEnd w:id="99"/>
    <w:bookmarkStart w:id="101"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00">
        <w:r>
          <w:rPr>
            <w:rStyle w:val="Hyperlink"/>
          </w:rPr>
          <w:t xml:space="preserve">https://doi.org/10.1016/S0034-4257(01)00274-7</w:t>
        </w:r>
      </w:hyperlink>
    </w:p>
    <w:bookmarkEnd w:id="101"/>
    <w:bookmarkStart w:id="103"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02">
        <w:r>
          <w:rPr>
            <w:rStyle w:val="Hyperlink"/>
          </w:rPr>
          <w:t xml:space="preserve">https://doi.org/10.2307/1935534</w:t>
        </w:r>
      </w:hyperlink>
    </w:p>
    <w:bookmarkEnd w:id="103"/>
    <w:bookmarkStart w:id="105" w:name="ref-Sun2016"/>
    <w:p>
      <w:pPr>
        <w:pStyle w:val="Bibliography"/>
      </w:pPr>
      <w:r>
        <w:t xml:space="preserve">Sun B, Feng J, Saenko K (2016)</w:t>
      </w:r>
      <w:r>
        <w:t xml:space="preserve"> </w:t>
      </w:r>
      <w:hyperlink r:id="rId104">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5"/>
    <w:bookmarkStart w:id="107"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6">
        <w:r>
          <w:rPr>
            <w:rStyle w:val="Hyperlink"/>
          </w:rPr>
          <w:t xml:space="preserve">https://doi.org/10.5066/P9OGBGM6</w:t>
        </w:r>
      </w:hyperlink>
    </w:p>
    <w:bookmarkEnd w:id="107"/>
    <w:bookmarkStart w:id="109"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8">
        <w:r>
          <w:rPr>
            <w:rStyle w:val="Hyperlink"/>
          </w:rPr>
          <w:t xml:space="preserve">https://doi.org/10.5067/MODIS/MOD11A1.061</w:t>
        </w:r>
      </w:hyperlink>
    </w:p>
    <w:bookmarkEnd w:id="109"/>
    <w:bookmarkStart w:id="111"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10">
        <w:r>
          <w:rPr>
            <w:rStyle w:val="Hyperlink"/>
          </w:rPr>
          <w:t xml:space="preserve">https://doi.org/10.1111/j.1558-5646.2008.00482.x</w:t>
        </w:r>
      </w:hyperlink>
    </w:p>
    <w:bookmarkEnd w:id="111"/>
    <w:bookmarkStart w:id="113"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12">
        <w:r>
          <w:rPr>
            <w:rStyle w:val="Hyperlink"/>
          </w:rPr>
          <w:t xml:space="preserve">https://doi.org/10.5281/zenodo.7254221</w:t>
        </w:r>
      </w:hyperlink>
    </w:p>
    <w:bookmarkEnd w:id="113"/>
    <w:bookmarkEnd w:id="114"/>
    <w:bookmarkEnd w:id="115"/>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49" Type="http://schemas.openxmlformats.org/officeDocument/2006/relationships/image" Target="media/rId49.png"/><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doi.org/10.1016/S0034-4257(01)00274-7" TargetMode="External"/><Relationship Id="rId78" Type="http://schemas.openxmlformats.org/officeDocument/2006/relationships/hyperlink" Target="https://doi.org/10.1016/j.ecolmodel.2011.02.011" TargetMode="External"/><Relationship Id="rId90"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80" Type="http://schemas.openxmlformats.org/officeDocument/2006/relationships/hyperlink" Target="https://doi.org/10.1016/j.rse.2019.111490" TargetMode="External"/><Relationship Id="rId98" Type="http://schemas.openxmlformats.org/officeDocument/2006/relationships/hyperlink" Target="https://doi.org/10.1038/s41467-022-29838-9" TargetMode="External"/><Relationship Id="rId96" Type="http://schemas.openxmlformats.org/officeDocument/2006/relationships/hyperlink" Target="https://doi.org/10.1111/2041-210X.13650" TargetMode="External"/><Relationship Id="rId94" Type="http://schemas.openxmlformats.org/officeDocument/2006/relationships/hyperlink" Target="https://doi.org/10.1111/geb.13635" TargetMode="External"/><Relationship Id="rId110" Type="http://schemas.openxmlformats.org/officeDocument/2006/relationships/hyperlink" Target="https://doi.org/10.1111/j.1558-5646.2008.00482.x" TargetMode="External"/><Relationship Id="rId104" Type="http://schemas.openxmlformats.org/officeDocument/2006/relationships/hyperlink" Target="https://doi.org/10.1609/aaai.v30i1.10306" TargetMode="External"/><Relationship Id="rId102" Type="http://schemas.openxmlformats.org/officeDocument/2006/relationships/hyperlink" Target="https://doi.org/10.2307/1935534" TargetMode="External"/><Relationship Id="rId92" Type="http://schemas.openxmlformats.org/officeDocument/2006/relationships/hyperlink" Target="https://doi.org/10.3390/rs14030602" TargetMode="External"/><Relationship Id="rId106" Type="http://schemas.openxmlformats.org/officeDocument/2006/relationships/hyperlink" Target="https://doi.org/10.5066/P9OGBGM6" TargetMode="External"/><Relationship Id="rId88" Type="http://schemas.openxmlformats.org/officeDocument/2006/relationships/hyperlink" Target="https://doi.org/10.5067/MODIS/MCD64A1.061" TargetMode="External"/><Relationship Id="rId108" Type="http://schemas.openxmlformats.org/officeDocument/2006/relationships/hyperlink" Target="https://doi.org/10.5067/MODIS/MOD11A1.061" TargetMode="External"/><Relationship Id="rId84" Type="http://schemas.openxmlformats.org/officeDocument/2006/relationships/hyperlink" Target="https://doi.org/10.5067/VIIRS/VNP64A1.002" TargetMode="External"/><Relationship Id="rId82" Type="http://schemas.openxmlformats.org/officeDocument/2006/relationships/hyperlink" Target="https://doi.org/10.5270/ESA-c5d3d65" TargetMode="External"/><Relationship Id="rId112"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5"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2026-09-29T10:02:25Z</dcterms:created>
  <dcterms:modified xsi:type="dcterms:W3CDTF">2026-09-29T10:02:25Z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