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Subject of financial analysis is very information-dense and to perform such an analysis (be it an analysis of industrial sectors, fundamental, technical, etc.) in earnest is a non-trivial job that we don’t see ourselves capable of performing.</w:t>
            </w:r>
          </w:p>
          <w:p>
            <w:pPr>
              <w:pStyle w:val="BodyText"/>
            </w:pPr>
            <w:pPr>
              <w:spacing w:after="16"/>
            </w:pPr>
            <w:r>
              <w:t xml:space="preserve">Therefore, this document aims to provide a simplified, non-rigorous analysis 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t xml:space="preserve">Financial Analysis of the Clorox Company in the Consumer Defensive Sector</w:t>
      </w:r>
    </w:p>
    <w:bookmarkStart w:id="28" w:name="sector-analysis-1"/>
    <w:p>
      <w:pPr>
        <w:pStyle w:val="Heading4"/>
      </w:pPr>
      <w:r>
        <w:rPr>
          <w:b/>
          <w:bCs/>
        </w:rPr>
        <w:t xml:space="preserve">1. 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2. 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qmd.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2025-02-15T17:33:38Z</dcterms:created>
  <dcterms:modified xsi:type="dcterms:W3CDTF">2025-02-15T17:33:38Z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