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Foreigners,</w:t>
      </w:r>
      <w:r>
        <w:t xml:space="preserve"> </w:t>
      </w:r>
      <w:r>
        <w:t xml:space="preserve">Migrants</w:t>
      </w:r>
      <w:r>
        <w:t xml:space="preserve"> </w:t>
      </w:r>
      <w:r>
        <w:t xml:space="preserve">-</w:t>
      </w:r>
      <w:r>
        <w:t xml:space="preserve"> </w:t>
      </w:r>
      <w:r>
        <w:t xml:space="preserve">OECD</w:t>
      </w:r>
      <w:r>
        <w:t xml:space="preserve"> </w:t>
      </w:r>
      <w:r>
        <w:t xml:space="preserve">and</w:t>
      </w:r>
      <w:r>
        <w:t xml:space="preserve"> </w:t>
      </w:r>
      <w:r>
        <w:t xml:space="preserve">UN</w:t>
      </w:r>
      <w:r>
        <w:t xml:space="preserve"> </w:t>
      </w:r>
      <w:r>
        <w:t xml:space="preserve">data</w:t>
      </w:r>
    </w:p>
    <w:p>
      <w:pPr>
        <w:pStyle w:val="Author"/>
      </w:pPr>
      <w:r>
        <w:t xml:space="preserve">ID,</w:t>
      </w:r>
      <w:r>
        <w:t xml:space="preserve"> </w:t>
      </w:r>
      <w:r>
        <w:t xml:space="preserve">Last</w:t>
      </w:r>
      <w:r>
        <w:t xml:space="preserve"> </w:t>
      </w:r>
      <w:r>
        <w:t xml:space="preserve">Name,</w:t>
      </w:r>
      <w:r>
        <w:t xml:space="preserve"> </w:t>
      </w:r>
      <w:r>
        <w:t xml:space="preserve">First</w:t>
      </w:r>
      <w:r>
        <w:t xml:space="preserve"> </w:t>
      </w:r>
      <w:r>
        <w:t xml:space="preserve">Name</w:t>
      </w:r>
    </w:p>
    <w:p>
      <w:pPr>
        <w:pStyle w:val="Date"/>
      </w:pPr>
      <w:r>
        <w:t xml:space="preserve">2024/01/24</w:t>
      </w:r>
    </w:p>
    <w:bookmarkStart w:id="20" w:name="r-markdown-options"/>
    <w:p>
      <w:pPr>
        <w:pStyle w:val="Heading2"/>
      </w:pPr>
      <w:r>
        <w:t xml:space="preserve">R Markdown Options</w:t>
      </w:r>
    </w:p>
    <w:p>
      <w:pPr>
        <w:numPr>
          <w:ilvl w:val="0"/>
          <w:numId w:val="1001"/>
        </w:numPr>
        <w:pStyle w:val="Compact"/>
      </w:pPr>
      <w:r>
        <w:t xml:space="preserve">R Notebook: options</w:t>
      </w:r>
    </w:p>
    <w:p>
      <w:pPr>
        <w:numPr>
          <w:ilvl w:val="0"/>
          <w:numId w:val="1001"/>
        </w:numPr>
        <w:pStyle w:val="Compact"/>
      </w:pPr>
      <w:r>
        <w:t xml:space="preserve">isoslides_presentation:</w:t>
      </w:r>
    </w:p>
    <w:p>
      <w:pPr>
        <w:numPr>
          <w:ilvl w:val="0"/>
          <w:numId w:val="1001"/>
        </w:numPr>
        <w:pStyle w:val="Compact"/>
      </w:pPr>
      <w:r>
        <w:t xml:space="preserve">widescreen: yes</w:t>
      </w:r>
    </w:p>
    <w:p>
      <w:pPr>
        <w:numPr>
          <w:ilvl w:val="0"/>
          <w:numId w:val="1001"/>
        </w:numPr>
        <w:pStyle w:val="Compact"/>
      </w:pPr>
      <w:r>
        <w:t xml:space="preserve">smaller: yes</w:t>
      </w:r>
    </w:p>
    <w:p>
      <w:pPr>
        <w:numPr>
          <w:ilvl w:val="0"/>
          <w:numId w:val="1001"/>
        </w:numPr>
        <w:pStyle w:val="Compact"/>
      </w:pPr>
      <w:r>
        <w:t xml:space="preserve">pdf_documents: tinytex</w:t>
      </w:r>
    </w:p>
    <w:p>
      <w:pPr>
        <w:numPr>
          <w:ilvl w:val="0"/>
          <w:numId w:val="1001"/>
        </w:numPr>
        <w:pStyle w:val="Compact"/>
      </w:pPr>
      <w:r>
        <w:t xml:space="preserve">word_document:</w:t>
      </w:r>
    </w:p>
    <w:p>
      <w:pPr>
        <w:numPr>
          <w:ilvl w:val="0"/>
          <w:numId w:val="1001"/>
        </w:numPr>
        <w:pStyle w:val="Compact"/>
      </w:pPr>
      <w:r>
        <w:t xml:space="preserve">reference_doc: ref-doc-style.docx</w:t>
      </w:r>
    </w:p>
    <w:p>
      <w:pPr>
        <w:numPr>
          <w:ilvl w:val="0"/>
          <w:numId w:val="1001"/>
        </w:numPr>
        <w:pStyle w:val="Compact"/>
      </w:pPr>
      <w:r>
        <w:t xml:space="preserve">powerpoint_presentation:</w:t>
      </w:r>
    </w:p>
    <w:p>
      <w:pPr>
        <w:numPr>
          <w:ilvl w:val="0"/>
          <w:numId w:val="1001"/>
        </w:numPr>
        <w:pStyle w:val="Compact"/>
      </w:pPr>
      <w:r>
        <w:t xml:space="preserve">reference_doc: ref-ppt-style.pptx</w:t>
      </w:r>
    </w:p>
    <w:bookmarkEnd w:id="20"/>
    <w:bookmarkStart w:id="21" w:name="abstract"/>
    <w:p>
      <w:pPr>
        <w:pStyle w:val="Heading2"/>
      </w:pPr>
      <w:r>
        <w:t xml:space="preserve">Abstract</w:t>
      </w:r>
    </w:p>
    <w:p>
      <w:pPr>
        <w:pStyle w:val="BlockText"/>
      </w:pPr>
      <w:r>
        <w:t xml:space="preserve">In this note, we study immigrants using OECD data and migrants using UN data. We also combine these two sets of data to provide examples to use public data.</w:t>
      </w:r>
    </w:p>
    <w:bookmarkEnd w:id="21"/>
    <w:bookmarkStart w:id="45" w:name="oecd-data"/>
    <w:p>
      <w:pPr>
        <w:pStyle w:val="Heading2"/>
      </w:pPr>
      <w:r>
        <w:t xml:space="preserve">OECD data</w:t>
      </w:r>
    </w:p>
    <w:bookmarkStart w:id="23" w:name="oecd-data-top"/>
    <w:p>
      <w:pPr>
        <w:pStyle w:val="Heading3"/>
      </w:pPr>
      <w:r>
        <w:t xml:space="preserve">OECD data top</w:t>
      </w:r>
    </w:p>
    <w:p>
      <w:pPr>
        <w:pStyle w:val="FirstParagraph"/>
      </w:pPr>
      <w:r>
        <w:t xml:space="preserve">OECD data</w:t>
      </w:r>
      <w:r>
        <w:t xml:space="preserve"> </w:t>
      </w:r>
      <w:hyperlink r:id="rId22">
        <w:r>
          <w:rPr>
            <w:rStyle w:val="Hyperlink"/>
          </w:rPr>
          <w:t xml:space="preserve">https://data.oecd.org/</w:t>
        </w:r>
      </w:hyperlink>
    </w:p>
    <w:p>
      <w:pPr>
        <w:numPr>
          <w:ilvl w:val="0"/>
          <w:numId w:val="1002"/>
        </w:numPr>
        <w:pStyle w:val="Compact"/>
      </w:pPr>
      <w:r>
        <w:t xml:space="preserve">Browse by Topics (Choose from 12 topics) or Country (Choose from 37 countries)</w:t>
      </w:r>
    </w:p>
    <w:p>
      <w:pPr>
        <w:numPr>
          <w:ilvl w:val="0"/>
          <w:numId w:val="1002"/>
        </w:numPr>
        <w:pStyle w:val="Compact"/>
      </w:pPr>
      <w:r>
        <w:t xml:space="preserve">Topics:</w:t>
      </w:r>
    </w:p>
    <w:p>
      <w:pPr>
        <w:numPr>
          <w:ilvl w:val="1"/>
          <w:numId w:val="1003"/>
        </w:numPr>
        <w:pStyle w:val="Compact"/>
      </w:pPr>
      <w:r>
        <w:t xml:space="preserve">Society</w:t>
      </w:r>
    </w:p>
    <w:p>
      <w:pPr>
        <w:numPr>
          <w:ilvl w:val="2"/>
          <w:numId w:val="1004"/>
        </w:numPr>
        <w:pStyle w:val="Compact"/>
      </w:pPr>
      <w:r>
        <w:t xml:space="preserve">Demography</w:t>
      </w:r>
    </w:p>
    <w:p>
      <w:pPr>
        <w:numPr>
          <w:ilvl w:val="2"/>
          <w:numId w:val="1004"/>
        </w:numPr>
        <w:pStyle w:val="Compact"/>
      </w:pPr>
      <w:r>
        <w:t xml:space="preserve">Inequality</w:t>
      </w:r>
    </w:p>
    <w:p>
      <w:pPr>
        <w:numPr>
          <w:ilvl w:val="2"/>
          <w:numId w:val="1004"/>
        </w:numPr>
        <w:pStyle w:val="Compact"/>
      </w:pPr>
      <w:r>
        <w:t xml:space="preserve">Migration</w:t>
      </w:r>
    </w:p>
    <w:p>
      <w:pPr>
        <w:numPr>
          <w:ilvl w:val="2"/>
          <w:numId w:val="1004"/>
        </w:numPr>
        <w:pStyle w:val="Compact"/>
      </w:pPr>
      <w:r>
        <w:t xml:space="preserve">Population by Region</w:t>
      </w:r>
    </w:p>
    <w:p>
      <w:pPr>
        <w:numPr>
          <w:ilvl w:val="2"/>
          <w:numId w:val="1004"/>
        </w:numPr>
        <w:pStyle w:val="Compact"/>
      </w:pPr>
      <w:r>
        <w:t xml:space="preserve">Social protection</w:t>
      </w:r>
    </w:p>
    <w:p>
      <w:r>
        <w:pict>
          <v:rect style="width:0;height:1.5pt" o:hralign="center" o:hrstd="t" o:hr="t"/>
        </w:pict>
      </w:r>
    </w:p>
    <w:bookmarkEnd w:id="23"/>
    <w:bookmarkStart w:id="24" w:name="topic-society---migration"/>
    <w:p>
      <w:pPr>
        <w:pStyle w:val="Heading3"/>
      </w:pPr>
      <w:r>
        <w:t xml:space="preserve">Topic: Society - Migration</w:t>
      </w:r>
    </w:p>
    <w:p>
      <w:pPr>
        <w:numPr>
          <w:ilvl w:val="0"/>
          <w:numId w:val="1005"/>
        </w:numPr>
        <w:pStyle w:val="Compact"/>
      </w:pPr>
      <w:r>
        <w:t xml:space="preserve">Permanent immigrant inflows</w:t>
      </w:r>
    </w:p>
    <w:p>
      <w:pPr>
        <w:numPr>
          <w:ilvl w:val="1"/>
          <w:numId w:val="1006"/>
        </w:numPr>
        <w:pStyle w:val="Compact"/>
      </w:pPr>
      <w:r>
        <w:t xml:space="preserve">Permanent immigrant inflows cover regulated movements of foreigners considered to be settling in the country from the perspective of the destination country. They cover regulated movements of foreigners as well as free movement migration. The data presented are the result of a standardisation process that allows for cross-country comparisons. This indicator is measured by numbers of permanent inflows.</w:t>
      </w:r>
    </w:p>
    <w:p>
      <w:pPr>
        <w:numPr>
          <w:ilvl w:val="0"/>
          <w:numId w:val="1005"/>
        </w:numPr>
        <w:pStyle w:val="Compact"/>
      </w:pPr>
      <w:r>
        <w:t xml:space="preserve">Stocks of foreign-born population in OECD countries</w:t>
      </w:r>
    </w:p>
    <w:p>
      <w:pPr>
        <w:numPr>
          <w:ilvl w:val="0"/>
          <w:numId w:val="1005"/>
        </w:numPr>
        <w:pStyle w:val="Compact"/>
      </w:pPr>
      <w:r>
        <w:t xml:space="preserve">Foreign-born population</w:t>
      </w:r>
    </w:p>
    <w:p>
      <w:pPr>
        <w:numPr>
          <w:ilvl w:val="0"/>
          <w:numId w:val="1005"/>
        </w:numPr>
        <w:pStyle w:val="Compact"/>
      </w:pPr>
      <w:r>
        <w:t xml:space="preserve">Foreign population</w:t>
      </w:r>
    </w:p>
    <w:p>
      <w:pPr>
        <w:numPr>
          <w:ilvl w:val="0"/>
          <w:numId w:val="1005"/>
        </w:numPr>
        <w:pStyle w:val="Compact"/>
      </w:pPr>
      <w:r>
        <w:t xml:space="preserve">Native-born employment</w:t>
      </w:r>
    </w:p>
    <w:p>
      <w:pPr>
        <w:numPr>
          <w:ilvl w:val="0"/>
          <w:numId w:val="1005"/>
        </w:numPr>
        <w:pStyle w:val="Compact"/>
      </w:pPr>
      <w:r>
        <w:t xml:space="preserve">Foreign-born employment</w:t>
      </w:r>
    </w:p>
    <w:p>
      <w:pPr>
        <w:numPr>
          <w:ilvl w:val="0"/>
          <w:numId w:val="1005"/>
        </w:numPr>
        <w:pStyle w:val="Compact"/>
      </w:pPr>
      <w:r>
        <w:t xml:space="preserve">Native-born unemployment</w:t>
      </w:r>
    </w:p>
    <w:p>
      <w:pPr>
        <w:numPr>
          <w:ilvl w:val="0"/>
          <w:numId w:val="1005"/>
        </w:numPr>
        <w:pStyle w:val="Compact"/>
      </w:pPr>
      <w:r>
        <w:t xml:space="preserve">Foreign-born unemployment</w:t>
      </w:r>
    </w:p>
    <w:p>
      <w:pPr>
        <w:numPr>
          <w:ilvl w:val="0"/>
          <w:numId w:val="1005"/>
        </w:numPr>
        <w:pStyle w:val="Compact"/>
      </w:pPr>
      <w:r>
        <w:t xml:space="preserve">Native-born participation rates</w:t>
      </w:r>
    </w:p>
    <w:p>
      <w:pPr>
        <w:numPr>
          <w:ilvl w:val="0"/>
          <w:numId w:val="1005"/>
        </w:numPr>
        <w:pStyle w:val="Compact"/>
      </w:pPr>
      <w:r>
        <w:t xml:space="preserve">Foreign-born participation rates</w:t>
      </w:r>
    </w:p>
    <w:p>
      <w:r>
        <w:pict>
          <v:rect style="width:0;height:1.5pt" o:hralign="center" o:hrstd="t" o:hr="t"/>
        </w:pict>
      </w:r>
    </w:p>
    <w:bookmarkEnd w:id="24"/>
    <w:bookmarkStart w:id="26" w:name="permanent-immigrant-inflows"/>
    <w:p>
      <w:pPr>
        <w:pStyle w:val="Heading3"/>
      </w:pPr>
      <w:r>
        <w:t xml:space="preserve">Permanent immigrant inflows</w:t>
      </w:r>
    </w:p>
    <w:p>
      <w:pPr>
        <w:pStyle w:val="FirstParagraph"/>
      </w:pPr>
      <w:r>
        <w:t xml:space="preserve">Permanent immigrant inflows Total, Number, 2022</w:t>
      </w:r>
      <w:r>
        <w:t xml:space="preserve"> </w:t>
      </w:r>
      <w:hyperlink r:id="rId25">
        <w:r>
          <w:rPr>
            <w:rStyle w:val="Hyperlink"/>
          </w:rPr>
          <w:t xml:space="preserve">Link</w:t>
        </w:r>
      </w:hyperlink>
    </w:p>
    <w:p>
      <w:pPr>
        <w:pStyle w:val="BodyText"/>
      </w:pPr>
      <w:r>
        <w:t xml:space="preserve">Definition of Permanent immigrant inflows</w:t>
      </w:r>
    </w:p>
    <w:p>
      <w:pPr>
        <w:numPr>
          <w:ilvl w:val="0"/>
          <w:numId w:val="1007"/>
        </w:numPr>
        <w:pStyle w:val="Compact"/>
      </w:pPr>
      <w:r>
        <w:t xml:space="preserve">Permanent immigrant inflows cover regulated movements of foreigners considered to be settling in the country from the perspective of the destination country. They cover regulated movements of foreigners as well as free movement migration. The data presented are the result of a standardisation process that allows for cross-country comparisons. This indicator is measured by numbers of permanent inflows.</w:t>
      </w:r>
    </w:p>
    <w:p>
      <w:pPr>
        <w:numPr>
          <w:ilvl w:val="0"/>
          <w:numId w:val="1007"/>
        </w:numPr>
        <w:pStyle w:val="Compact"/>
      </w:pPr>
      <w:r>
        <w:t xml:space="preserve">Citation: OECD (2024), Permanent immigrant inflows (indicator). doi: 10.1787/304546b6-en (Accessed on 27 January 2024)</w:t>
      </w:r>
    </w:p>
    <w:p>
      <w:r>
        <w:pict>
          <v:rect style="width:0;height:1.5pt" o:hralign="center" o:hrstd="t" o:hr="t"/>
        </w:pict>
      </w:r>
    </w:p>
    <w:bookmarkEnd w:id="26"/>
    <w:bookmarkStart w:id="28" w:name="oecd-permanent-immigrant-inflows"/>
    <w:p>
      <w:pPr>
        <w:pStyle w:val="Heading3"/>
      </w:pPr>
      <w:r>
        <w:t xml:space="preserve">OECD: Permanent immigrant inflows</w:t>
      </w:r>
    </w:p>
    <w:bookmarkStart w:id="27" w:name="data-information"/>
    <w:p>
      <w:pPr>
        <w:pStyle w:val="Heading4"/>
      </w:pPr>
      <w:r>
        <w:t xml:space="preserve">Data Information</w:t>
      </w:r>
    </w:p>
    <w:p>
      <w:pPr>
        <w:numPr>
          <w:ilvl w:val="0"/>
          <w:numId w:val="1008"/>
        </w:numPr>
      </w:pPr>
      <w:r>
        <w:t xml:space="preserve">Data Site:</w:t>
      </w:r>
      <w:r>
        <w:t xml:space="preserve"> </w:t>
      </w:r>
      <w:hyperlink r:id="rId25">
        <w:r>
          <w:rPr>
            <w:rStyle w:val="Hyperlink"/>
          </w:rPr>
          <w:t xml:space="preserve">https://data.oecd.org/migration/permanent-immigrant-inflows.htm</w:t>
        </w:r>
      </w:hyperlink>
    </w:p>
    <w:p>
      <w:pPr>
        <w:numPr>
          <w:ilvl w:val="0"/>
          <w:numId w:val="1008"/>
        </w:numPr>
      </w:pPr>
      <w:r>
        <w:t xml:space="preserve">Definition of Permanent immigrant inflows:</w:t>
      </w:r>
      <w:r>
        <w:t xml:space="preserve"> </w:t>
      </w:r>
      <w:r>
        <w:t xml:space="preserve">Permanent immigrant inflows cover regulated movements of foreigners considered to be settling in the country from the perspective of the destination country. They cover regulated movements of foreigners as well as free movement migration. The data presented are the result of a standardisation process that allows for cross-country comparisons. This indicator is measured by numbers of permanent inflows.</w:t>
      </w:r>
    </w:p>
    <w:p>
      <w:pPr>
        <w:numPr>
          <w:ilvl w:val="0"/>
          <w:numId w:val="1008"/>
        </w:numPr>
      </w:pPr>
      <w:r>
        <w:t xml:space="preserve">Citation: OECD (2024), Permanent immigrant inflows (indicator). doi: 10.1787/304546b6-en (Accessed on 28 January 2024)</w:t>
      </w:r>
    </w:p>
    <w:p>
      <w:pPr>
        <w:numPr>
          <w:ilvl w:val="0"/>
          <w:numId w:val="1008"/>
        </w:numPr>
      </w:pPr>
      <w:r>
        <w:t xml:space="preserve">Categories: Total, Work, Free movements, Family, Family accompanying workers, Humanitarian, Other</w:t>
      </w:r>
    </w:p>
    <w:p>
      <w:r>
        <w:pict>
          <v:rect style="width:0;height:1.5pt" o:hralign="center" o:hrstd="t" o:hr="t"/>
        </w:pict>
      </w:r>
    </w:p>
    <w:p>
      <w:pPr>
        <w:pStyle w:val="FirstParagraph"/>
      </w:pPr>
      <w:r>
        <w:t xml:space="preserve">Read the downloaded full data of</w:t>
      </w:r>
      <w:r>
        <w:t xml:space="preserve"> </w:t>
      </w:r>
      <w:r>
        <w:t xml:space="preserve">‘</w:t>
      </w:r>
      <w:r>
        <w:t xml:space="preserve">Permanent Immigrant Inflows</w:t>
      </w:r>
      <w:r>
        <w:t xml:space="preserve">’</w:t>
      </w:r>
      <w:r>
        <w:t xml:space="preserve">.</w:t>
      </w:r>
    </w:p>
    <w:p>
      <w:pPr>
        <w:pStyle w:val="SourceCode"/>
      </w:pPr>
      <w:r>
        <w:rPr>
          <w:rStyle w:val="NormalTok"/>
        </w:rPr>
        <w:t xml:space="preserve">df_inflows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"data/DP_LIVE_28012024004117279.csv"</w:t>
      </w:r>
      <w:r>
        <w:rPr>
          <w:rStyle w:val="NormalTok"/>
        </w:rPr>
        <w:t xml:space="preserve">)</w:t>
      </w:r>
    </w:p>
    <w:p>
      <w:pPr>
        <w:pStyle w:val="SourceCode"/>
      </w:pPr>
      <w:r>
        <w:rPr>
          <w:rStyle w:val="VerbatimChar"/>
        </w:rPr>
        <w:t xml:space="preserve">## Rows: 3597 Columns: 8</w:t>
      </w:r>
      <w:r>
        <w:br/>
      </w:r>
      <w:r>
        <w:rPr>
          <w:rStyle w:val="VerbatimChar"/>
        </w:rPr>
        <w:t xml:space="preserve">## ── Column specification ────────────────────────────────────────────────────────</w:t>
      </w:r>
      <w:r>
        <w:br/>
      </w:r>
      <w:r>
        <w:rPr>
          <w:rStyle w:val="VerbatimChar"/>
        </w:rPr>
        <w:t xml:space="preserve">## Delimiter: ","</w:t>
      </w:r>
      <w:r>
        <w:br/>
      </w:r>
      <w:r>
        <w:rPr>
          <w:rStyle w:val="VerbatimChar"/>
        </w:rPr>
        <w:t xml:space="preserve">## chr (5): LOCATION, INDICATOR, SUBJECT, MEASURE, FREQUENCY</w:t>
      </w:r>
      <w:r>
        <w:br/>
      </w:r>
      <w:r>
        <w:rPr>
          <w:rStyle w:val="VerbatimChar"/>
        </w:rPr>
        <w:t xml:space="preserve">## dbl (2): TIME, Value</w:t>
      </w:r>
      <w:r>
        <w:br/>
      </w:r>
      <w:r>
        <w:rPr>
          <w:rStyle w:val="VerbatimChar"/>
        </w:rPr>
        <w:t xml:space="preserve">## lgl (1): Flag Codes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r>
        <w:pict>
          <v:rect style="width:0;height:1.5pt" o:hralign="center" o:hrstd="t" o:hr="t"/>
        </w:pict>
      </w:r>
    </w:p>
    <w:p>
      <w:pPr>
        <w:pStyle w:val="SourceCode"/>
      </w:pPr>
      <w:r>
        <w:rPr>
          <w:rStyle w:val="NormalTok"/>
        </w:rPr>
        <w:t xml:space="preserve">df_inflows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 8</w:t>
      </w:r>
      <w:r>
        <w:br/>
      </w:r>
      <w:r>
        <w:rPr>
          <w:rStyle w:val="VerbatimChar"/>
        </w:rPr>
        <w:t xml:space="preserve">##    LOCATION INDICATOR   SUBJECT MEASURE FREQUENCY  TIME Value `Flag Codes`</w:t>
      </w:r>
      <w:r>
        <w:br/>
      </w:r>
      <w:r>
        <w:rPr>
          <w:rStyle w:val="VerbatimChar"/>
        </w:rPr>
        <w:t xml:space="preserve">##    &lt;chr&gt;    &lt;chr&gt;       &lt;chr&gt;   &lt;chr&gt;   &lt;chr&gt;     &lt;dbl&gt; &lt;dbl&gt; &lt;lgl&gt;       </w:t>
      </w:r>
      <w:r>
        <w:br/>
      </w:r>
      <w:r>
        <w:rPr>
          <w:rStyle w:val="VerbatimChar"/>
        </w:rPr>
        <w:t xml:space="preserve">##  1 AUS      IMMIGINFLOW FAM     NBR     A          2003 40105 NA          </w:t>
      </w:r>
      <w:r>
        <w:br/>
      </w:r>
      <w:r>
        <w:rPr>
          <w:rStyle w:val="VerbatimChar"/>
        </w:rPr>
        <w:t xml:space="preserve">##  2 AUS      IMMIGINFLOW FAM     NBR     A          2004 42187 NA          </w:t>
      </w:r>
      <w:r>
        <w:br/>
      </w:r>
      <w:r>
        <w:rPr>
          <w:rStyle w:val="VerbatimChar"/>
        </w:rPr>
        <w:t xml:space="preserve">##  3 AUS      IMMIGINFLOW FAM     NBR     A          2005 43747 NA          </w:t>
      </w:r>
      <w:r>
        <w:br/>
      </w:r>
      <w:r>
        <w:rPr>
          <w:rStyle w:val="VerbatimChar"/>
        </w:rPr>
        <w:t xml:space="preserve">##  4 AUS      IMMIGINFLOW FAM     NBR     A          2006 45943 NA          </w:t>
      </w:r>
      <w:r>
        <w:br/>
      </w:r>
      <w:r>
        <w:rPr>
          <w:rStyle w:val="VerbatimChar"/>
        </w:rPr>
        <w:t xml:space="preserve">##  5 AUS      IMMIGINFLOW FAM     NBR     A          2007 48769 NA          </w:t>
      </w:r>
      <w:r>
        <w:br/>
      </w:r>
      <w:r>
        <w:rPr>
          <w:rStyle w:val="VerbatimChar"/>
        </w:rPr>
        <w:t xml:space="preserve">##  6 AUS      IMMIGINFLOW FAM     NBR     A          2008 49870 NA          </w:t>
      </w:r>
      <w:r>
        <w:br/>
      </w:r>
      <w:r>
        <w:rPr>
          <w:rStyle w:val="VerbatimChar"/>
        </w:rPr>
        <w:t xml:space="preserve">##  7 AUS      IMMIGINFLOW FAM     NBR     A          2009 56366 NA          </w:t>
      </w:r>
      <w:r>
        <w:br/>
      </w:r>
      <w:r>
        <w:rPr>
          <w:rStyle w:val="VerbatimChar"/>
        </w:rPr>
        <w:t xml:space="preserve">##  8 AUS      IMMIGINFLOW FAM     NBR     A          2010 60254 NA          </w:t>
      </w:r>
      <w:r>
        <w:br/>
      </w:r>
      <w:r>
        <w:rPr>
          <w:rStyle w:val="VerbatimChar"/>
        </w:rPr>
        <w:t xml:space="preserve">##  9 AUS      IMMIGINFLOW FAM     NBR     A          2011 54543 NA          </w:t>
      </w:r>
      <w:r>
        <w:br/>
      </w:r>
      <w:r>
        <w:rPr>
          <w:rStyle w:val="VerbatimChar"/>
        </w:rPr>
        <w:t xml:space="preserve">## 10 AUS      IMMIGINFLOW FAM     NBR     A          2012 58604 NA</w:t>
      </w:r>
    </w:p>
    <w:p>
      <w:r>
        <w:pict>
          <v:rect style="width:0;height:1.5pt" o:hralign="center" o:hrstd="t" o:hr="t"/>
        </w:pict>
      </w:r>
    </w:p>
    <w:bookmarkEnd w:id="27"/>
    <w:bookmarkEnd w:id="28"/>
    <w:bookmarkStart w:id="44" w:name="categorial-variables"/>
    <w:p>
      <w:pPr>
        <w:pStyle w:val="Heading3"/>
      </w:pPr>
      <w:r>
        <w:t xml:space="preserve">Categorial Variables</w:t>
      </w:r>
    </w:p>
    <w:p>
      <w:pPr>
        <w:pStyle w:val="SourceCode"/>
      </w:pPr>
      <w:r>
        <w:rPr>
          <w:rStyle w:val="NormalTok"/>
        </w:rPr>
        <w:t xml:space="preserve">df_inflows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Value, </w:t>
      </w:r>
      <w:r>
        <w:rPr>
          <w:rStyle w:val="SpecialCharTok"/>
        </w:rPr>
        <w:t xml:space="preserve">-</w:t>
      </w:r>
      <w:r>
        <w:rPr>
          <w:rStyle w:val="NormalTok"/>
        </w:rPr>
        <w:t xml:space="preserve">LOCATION, </w:t>
      </w:r>
      <w:r>
        <w:rPr>
          <w:rStyle w:val="SpecialCharTok"/>
        </w:rPr>
        <w:t xml:space="preserve">-</w:t>
      </w:r>
      <w:r>
        <w:rPr>
          <w:rStyle w:val="NormalTok"/>
        </w:rPr>
        <w:t xml:space="preserve">TIME) </w:t>
      </w:r>
      <w:r>
        <w:rPr>
          <w:rStyle w:val="SpecialCharTok"/>
        </w:rPr>
        <w:t xml:space="preserve">|&gt;</w:t>
      </w:r>
      <w:r>
        <w:rPr>
          <w:rStyle w:val="NormalTok"/>
        </w:rPr>
        <w:t xml:space="preserve"> </w:t>
      </w:r>
      <w:r>
        <w:rPr>
          <w:rStyle w:val="FunctionTok"/>
        </w:rPr>
        <w:t xml:space="preserve">lapply</w:t>
      </w:r>
      <w:r>
        <w:rPr>
          <w:rStyle w:val="NormalTok"/>
        </w:rPr>
        <w:t xml:space="preserve">(unique)</w:t>
      </w:r>
    </w:p>
    <w:p>
      <w:pPr>
        <w:pStyle w:val="SourceCode"/>
      </w:pPr>
      <w:r>
        <w:rPr>
          <w:rStyle w:val="VerbatimChar"/>
        </w:rPr>
        <w:t xml:space="preserve">## $INDICATOR</w:t>
      </w:r>
      <w:r>
        <w:br/>
      </w:r>
      <w:r>
        <w:rPr>
          <w:rStyle w:val="VerbatimChar"/>
        </w:rPr>
        <w:t xml:space="preserve">## [1] "IMMIGINFLOW"</w:t>
      </w:r>
      <w:r>
        <w:br/>
      </w:r>
      <w:r>
        <w:rPr>
          <w:rStyle w:val="VerbatimChar"/>
        </w:rPr>
        <w:t xml:space="preserve">## </w:t>
      </w:r>
      <w:r>
        <w:br/>
      </w:r>
      <w:r>
        <w:rPr>
          <w:rStyle w:val="VerbatimChar"/>
        </w:rPr>
        <w:t xml:space="preserve">## $SUBJECT</w:t>
      </w:r>
      <w:r>
        <w:br/>
      </w:r>
      <w:r>
        <w:rPr>
          <w:rStyle w:val="VerbatimChar"/>
        </w:rPr>
        <w:t xml:space="preserve">## [1] "FAM"      "FAMWORKR" "FREEMOVS" "HUMNTRN"  "OTH"      "WORK"     "TOT"     </w:t>
      </w:r>
      <w:r>
        <w:br/>
      </w:r>
      <w:r>
        <w:rPr>
          <w:rStyle w:val="VerbatimChar"/>
        </w:rPr>
        <w:t xml:space="preserve">## </w:t>
      </w:r>
      <w:r>
        <w:br/>
      </w:r>
      <w:r>
        <w:rPr>
          <w:rStyle w:val="VerbatimChar"/>
        </w:rPr>
        <w:t xml:space="preserve">## $MEASURE</w:t>
      </w:r>
      <w:r>
        <w:br/>
      </w:r>
      <w:r>
        <w:rPr>
          <w:rStyle w:val="VerbatimChar"/>
        </w:rPr>
        <w:t xml:space="preserve">## [1] "NBR"</w:t>
      </w:r>
      <w:r>
        <w:br/>
      </w:r>
      <w:r>
        <w:rPr>
          <w:rStyle w:val="VerbatimChar"/>
        </w:rPr>
        <w:t xml:space="preserve">## </w:t>
      </w:r>
      <w:r>
        <w:br/>
      </w:r>
      <w:r>
        <w:rPr>
          <w:rStyle w:val="VerbatimChar"/>
        </w:rPr>
        <w:t xml:space="preserve">## $FREQUENCY</w:t>
      </w:r>
      <w:r>
        <w:br/>
      </w:r>
      <w:r>
        <w:rPr>
          <w:rStyle w:val="VerbatimChar"/>
        </w:rPr>
        <w:t xml:space="preserve">## [1] "A"</w:t>
      </w:r>
      <w:r>
        <w:br/>
      </w:r>
      <w:r>
        <w:rPr>
          <w:rStyle w:val="VerbatimChar"/>
        </w:rPr>
        <w:t xml:space="preserve">## </w:t>
      </w:r>
      <w:r>
        <w:br/>
      </w:r>
      <w:r>
        <w:rPr>
          <w:rStyle w:val="VerbatimChar"/>
        </w:rPr>
        <w:t xml:space="preserve">## $`Flag Codes`</w:t>
      </w:r>
      <w:r>
        <w:br/>
      </w:r>
      <w:r>
        <w:rPr>
          <w:rStyle w:val="VerbatimChar"/>
        </w:rPr>
        <w:t xml:space="preserve">## [1] NA</w:t>
      </w:r>
    </w:p>
    <w:p>
      <w:r>
        <w:pict>
          <v:rect style="width:0;height:1.5pt" o:hralign="center" o:hrstd="t" o:hr="t"/>
        </w:pict>
      </w:r>
    </w:p>
    <w:p>
      <w:pPr>
        <w:pStyle w:val="FirstParagraph"/>
      </w:pPr>
      <w:r>
        <w:t xml:space="preserve">Add country names using the</w:t>
      </w:r>
      <w:r>
        <w:t xml:space="preserve"> </w:t>
      </w:r>
      <w:r>
        <w:rPr>
          <w:rStyle w:val="VerbatimChar"/>
        </w:rPr>
        <w:t xml:space="preserve">countrycode</w:t>
      </w:r>
      <w:r>
        <w:t xml:space="preserve"> </w:t>
      </w:r>
      <w:r>
        <w:t xml:space="preserve">package and delete INDICATOR, MEASURE, FREQUENCY, Flag Codes.</w:t>
      </w:r>
    </w:p>
    <w:p>
      <w:pPr>
        <w:pStyle w:val="SourceCode"/>
      </w:pPr>
      <w:r>
        <w:rPr>
          <w:rStyle w:val="NormalTok"/>
        </w:rPr>
        <w:t xml:space="preserve">df_in </w:t>
      </w:r>
      <w:r>
        <w:rPr>
          <w:rStyle w:val="OtherTok"/>
        </w:rPr>
        <w:t xml:space="preserve">&lt;-</w:t>
      </w:r>
      <w:r>
        <w:rPr>
          <w:rStyle w:val="NormalTok"/>
        </w:rPr>
        <w:t xml:space="preserve"> df_inflows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countrycode</w:t>
      </w:r>
      <w:r>
        <w:rPr>
          <w:rStyle w:val="NormalTok"/>
        </w:rPr>
        <w:t xml:space="preserve">(LOCATION, </w:t>
      </w:r>
      <w:r>
        <w:rPr>
          <w:rStyle w:val="StringTok"/>
        </w:rPr>
        <w:t xml:space="preserve">"iso3c"</w:t>
      </w:r>
      <w:r>
        <w:rPr>
          <w:rStyle w:val="NormalTok"/>
        </w:rPr>
        <w:t xml:space="preserve">, </w:t>
      </w:r>
      <w:r>
        <w:rPr>
          <w:rStyle w:val="StringTok"/>
        </w:rPr>
        <w:t xml:space="preserve">"country.name"</w:t>
      </w:r>
      <w:r>
        <w:rPr>
          <w:rStyle w:val="NormalTok"/>
        </w:rPr>
        <w:t xml:space="preserve">), </w:t>
      </w:r>
      <w:r>
        <w:br/>
      </w:r>
      <w:r>
        <w:rPr>
          <w:rStyle w:val="NormalTok"/>
        </w:rPr>
        <w:t xml:space="preserve">         </w:t>
      </w:r>
      <w:r>
        <w:rPr>
          <w:rStyle w:val="AttributeTok"/>
        </w:rPr>
        <w:t xml:space="preserve">.before =</w:t>
      </w:r>
      <w:r>
        <w:rPr>
          <w:rStyle w:val="NormalTok"/>
        </w:rPr>
        <w:t xml:space="preserve"> LOCATION)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t>
      </w:r>
      <w:r>
        <w:rPr>
          <w:rStyle w:val="AttributeTok"/>
        </w:rPr>
        <w:t xml:space="preserve">iso3c =</w:t>
      </w:r>
      <w:r>
        <w:rPr>
          <w:rStyle w:val="NormalTok"/>
        </w:rPr>
        <w:t xml:space="preserve"> LOCATION, </w:t>
      </w:r>
      <w:r>
        <w:rPr>
          <w:rStyle w:val="AttributeTok"/>
        </w:rPr>
        <w:t xml:space="preserve">category =</w:t>
      </w:r>
      <w:r>
        <w:rPr>
          <w:rStyle w:val="NormalTok"/>
        </w:rPr>
        <w:t xml:space="preserve"> SUBJECT, </w:t>
      </w:r>
      <w:r>
        <w:br/>
      </w:r>
      <w:r>
        <w:rPr>
          <w:rStyle w:val="NormalTok"/>
        </w:rPr>
        <w:t xml:space="preserve">         </w:t>
      </w:r>
      <w:r>
        <w:rPr>
          <w:rStyle w:val="AttributeTok"/>
        </w:rPr>
        <w:t xml:space="preserve">year =</w:t>
      </w:r>
      <w:r>
        <w:rPr>
          <w:rStyle w:val="NormalTok"/>
        </w:rPr>
        <w:t xml:space="preserve"> TIME, </w:t>
      </w:r>
      <w:r>
        <w:rPr>
          <w:rStyle w:val="AttributeTok"/>
        </w:rPr>
        <w:t xml:space="preserve">value =</w:t>
      </w:r>
      <w:r>
        <w:rPr>
          <w:rStyle w:val="NormalTok"/>
        </w:rPr>
        <w:t xml:space="preserve"> Value)</w:t>
      </w:r>
      <w:r>
        <w:br/>
      </w:r>
      <w:r>
        <w:rPr>
          <w:rStyle w:val="NormalTok"/>
        </w:rPr>
        <w:t xml:space="preserve">df_in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5</w:t>
      </w:r>
      <w:r>
        <w:br/>
      </w:r>
      <w:r>
        <w:rPr>
          <w:rStyle w:val="VerbatimChar"/>
        </w:rPr>
        <w:t xml:space="preserve">##   country   iso3c category  year value</w:t>
      </w:r>
      <w:r>
        <w:br/>
      </w:r>
      <w:r>
        <w:rPr>
          <w:rStyle w:val="VerbatimChar"/>
        </w:rPr>
        <w:t xml:space="preserve">##   &lt;chr&gt;     &lt;chr&gt; &lt;chr&gt;    &lt;dbl&gt; &lt;dbl&gt;</w:t>
      </w:r>
      <w:r>
        <w:br/>
      </w:r>
      <w:r>
        <w:rPr>
          <w:rStyle w:val="VerbatimChar"/>
        </w:rPr>
        <w:t xml:space="preserve">## 1 Australia AUS   FAM       2003 40105</w:t>
      </w:r>
      <w:r>
        <w:br/>
      </w:r>
      <w:r>
        <w:rPr>
          <w:rStyle w:val="VerbatimChar"/>
        </w:rPr>
        <w:t xml:space="preserve">## 2 Australia AUS   FAM       2004 42187</w:t>
      </w:r>
      <w:r>
        <w:br/>
      </w:r>
      <w:r>
        <w:rPr>
          <w:rStyle w:val="VerbatimChar"/>
        </w:rPr>
        <w:t xml:space="preserve">## 3 Australia AUS   FAM       2005 43747</w:t>
      </w:r>
      <w:r>
        <w:br/>
      </w:r>
      <w:r>
        <w:rPr>
          <w:rStyle w:val="VerbatimChar"/>
        </w:rPr>
        <w:t xml:space="preserve">## 4 Australia AUS   FAM       2006 45943</w:t>
      </w:r>
      <w:r>
        <w:br/>
      </w:r>
      <w:r>
        <w:rPr>
          <w:rStyle w:val="VerbatimChar"/>
        </w:rPr>
        <w:t xml:space="preserve">## 5 Australia AUS   FAM       2007 48769</w:t>
      </w:r>
      <w:r>
        <w:br/>
      </w:r>
      <w:r>
        <w:rPr>
          <w:rStyle w:val="VerbatimChar"/>
        </w:rPr>
        <w:t xml:space="preserve">## 6 Australia AUS   FAM       2008 49870</w:t>
      </w:r>
    </w:p>
    <w:p>
      <w:r>
        <w:pict>
          <v:rect style="width:0;height:1.5pt" o:hralign="center" o:hrstd="t" o:hr="t"/>
        </w:pict>
      </w:r>
    </w:p>
    <w:p>
      <w:pPr>
        <w:pStyle w:val="FirstParagraph"/>
      </w:pPr>
      <w:r>
        <w:drawing>
          <wp:inline>
            <wp:extent cx="5334000" cy="4267200"/>
            <wp:effectExtent b="0" l="0" r="0" t="0"/>
            <wp:docPr descr="" title="" id="30" name="Picture"/>
            <a:graphic>
              <a:graphicData uri="http://schemas.openxmlformats.org/drawingml/2006/picture">
                <pic:pic>
                  <pic:nvPicPr>
                    <pic:cNvPr descr="migrants_note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33" name="Picture"/>
            <a:graphic>
              <a:graphicData uri="http://schemas.openxmlformats.org/drawingml/2006/picture">
                <pic:pic>
                  <pic:nvPicPr>
                    <pic:cNvPr descr="migrants_note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3810000"/>
            <wp:effectExtent b="0" l="0" r="0" t="0"/>
            <wp:docPr descr="" title="" id="36" name="Picture"/>
            <a:graphic>
              <a:graphicData uri="http://schemas.openxmlformats.org/drawingml/2006/picture">
                <pic:pic>
                  <pic:nvPicPr>
                    <pic:cNvPr descr="migrants_note_files/figure-docx/unnamed-chunk-10-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39" name="Picture"/>
            <a:graphic>
              <a:graphicData uri="http://schemas.openxmlformats.org/drawingml/2006/picture">
                <pic:pic>
                  <pic:nvPicPr>
                    <pic:cNvPr descr="migrants_note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3810000"/>
            <wp:effectExtent b="0" l="0" r="0" t="0"/>
            <wp:docPr descr="" title="" id="42" name="Picture"/>
            <a:graphic>
              <a:graphicData uri="http://schemas.openxmlformats.org/drawingml/2006/picture">
                <pic:pic>
                  <pic:nvPicPr>
                    <pic:cNvPr descr="migrants_note_files/figure-docx/unnamed-chunk-12-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2" Target="https://data.oecd.org/" TargetMode="External" /><Relationship Type="http://schemas.openxmlformats.org/officeDocument/2006/relationships/hyperlink" Id="rId25" Target="https://data.oecd.org/migration/permanent-immigrant-inflows.htm" TargetMode="External" /></Relationships>
</file>

<file path=word/_rels/footnotes.xml.rels><?xml version="1.0" encoding="UTF-8"?><Relationships xmlns="http://schemas.openxmlformats.org/package/2006/relationships"><Relationship Type="http://schemas.openxmlformats.org/officeDocument/2006/relationships/hyperlink" Id="rId22" Target="https://data.oecd.org/" TargetMode="External" /><Relationship Type="http://schemas.openxmlformats.org/officeDocument/2006/relationships/hyperlink" Id="rId25" Target="https://data.oecd.org/migration/permanent-immigrant-inflow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Foreigners, Migrants - OECD and UN data</dc:title>
  <dc:creator>ID, Last Name, First Name</dc:creator>
  <cp:keywords/>
  <dcterms:created xsi:type="dcterms:W3CDTF">2024-01-28T12:12:56Z</dcterms:created>
  <dcterms:modified xsi:type="dcterms:W3CDTF">2024-01-28T12:12:56Z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y fmtid="{D5CDD505-2E9C-101B-9397-08002B2CF9AE}" pid="3" name="output">
    <vt:lpwstr/>
  </property>
</Properties>
</file>