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df.pca</w:t>
      </w:r>
    </w:p>
    <w:p>
      <w:pPr>
        <w:pStyle w:val="FirstParagraph"/>
      </w:pPr>
      <w:r>
        <w:t xml:space="preserve">This dataset contains 42 individuals and 19 variables, 1 qualitative variable is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2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Cs/>
          <w:b/>
        </w:rPr>
        <w:t xml:space="preserve">40.01%</w:t>
      </w:r>
      <w:r>
        <w:t xml:space="preserve"> </w:t>
      </w:r>
      <w:r>
        <w:t xml:space="preserve">of the total dataset inertia ; that means that 40.01% of the individuals (or variables) cloud total variability is explained by the plane.</w:t>
      </w:r>
      <w:r>
        <w:t xml:space="preserve"> </w:t>
      </w:r>
      <w:r>
        <w:t xml:space="preserve">This is an intermediate percentage and the first plane represents a part of the data variability.</w:t>
      </w:r>
      <w:r>
        <w:t xml:space="preserve"> </w:t>
      </w:r>
      <w:r>
        <w:t xml:space="preserve">This value is greater than the reference value that equals</w:t>
      </w:r>
      <w:r>
        <w:t xml:space="preserve"> </w:t>
      </w:r>
      <w:r>
        <w:rPr>
          <w:bCs/>
          <w:b/>
        </w:rPr>
        <w:t xml:space="preserve">26.72%</w:t>
      </w:r>
      <w:r>
        <w:t xml:space="preserve">, the variability explained by this plane is thus significant</w:t>
      </w:r>
      <w:r>
        <w:t xml:space="preserve"> </w:t>
      </w:r>
      <w:r>
        <w:t xml:space="preserve">(the reference value is the 0.95-quantile of the inertia percentages distribution obtained by simulating 1403 data tables of equivalent size on the basis of a normal distribution).</w:t>
      </w:r>
    </w:p>
    <w:p>
      <w:pPr>
        <w:pStyle w:val="BodyText"/>
      </w:pPr>
      <w:r>
        <w:t xml:space="preserve">From these observations, it may be interesting to consider the next dimensions which also express a high percentage of the total inertia.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6-0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(40.01% against 26.72%).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2"/>
    <w:bookmarkStart w:id="2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6-0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Individuals factor map (PCA)</w:t>
      </w:r>
      <w:r>
        <w:t xml:space="preserve"> </w:t>
      </w:r>
      <w:r>
        <w:rPr>
          <w:iCs/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as.factor(df.na$Sample) </w:t>
      </w:r>
      <w:r>
        <w:br/>
      </w:r>
      <w:r>
        <w:rPr>
          <w:rStyle w:val="VerbatimChar"/>
        </w:rPr>
        <w:t xml:space="preserve">##            0.0007002746</w:t>
      </w:r>
    </w:p>
    <w:p>
      <w:pPr>
        <w:pStyle w:val="FirstParagraph"/>
      </w:pPr>
      <w:r>
        <w:t xml:space="preserve">There only is one possible qualitative variable to illustrate the distance between individuals :</w:t>
      </w:r>
      <w:r>
        <w:t xml:space="preserve"> </w:t>
      </w:r>
      <w:r>
        <w:rPr>
          <w:iCs/>
          <w:i/>
        </w:rPr>
        <w:t xml:space="preserve">as.factor(df.na$Sample)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6-0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3.2 - Individuals factor map (PCA)</w:t>
      </w:r>
      <w:r>
        <w:t xml:space="preserve"> </w:t>
      </w:r>
      <w:r>
        <w:rPr>
          <w:iCs/>
          <w:i/>
        </w:rPr>
        <w:t xml:space="preserve">The labeled individuals are those with the higher contribution to the plane construction.</w:t>
      </w:r>
      <w:r>
        <w:t xml:space="preserve"> </w:t>
      </w:r>
      <w:r>
        <w:rPr>
          <w:iCs/>
          <w:i/>
        </w:rPr>
        <w:t xml:space="preserve">The individuals are coloured after their category for the variable</w:t>
      </w:r>
      <w:r>
        <w:t xml:space="preserve"> </w:t>
      </w:r>
      <w:r>
        <w:t xml:space="preserve">as.factor(df.na$Sample).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6-0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3.3 - Variables factor map (PCA)</w:t>
      </w:r>
      <w:r>
        <w:t xml:space="preserve"> </w:t>
      </w:r>
      <w:r>
        <w:rPr>
          <w:iCs/>
          <w:i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6-0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3.4 - Qualitative factor map (PCA)</w:t>
      </w:r>
      <w:r>
        <w:t xml:space="preserve"> </w:t>
      </w:r>
      <w:r>
        <w:rPr>
          <w:iCs/>
          <w:i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Cs/>
          <w:i/>
        </w:rPr>
        <w:t xml:space="preserve">11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Cs/>
          <w:i/>
        </w:rPr>
        <w:t xml:space="preserve">37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,</w:t>
      </w:r>
      <w:r>
        <w:t xml:space="preserve"> </w:t>
      </w:r>
      <w:r>
        <w:rPr>
          <w:iCs/>
          <w:i/>
        </w:rPr>
        <w:t xml:space="preserve">39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41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Cs/>
          <w:i/>
        </w:rPr>
        <w:t xml:space="preserve">14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stand (characterized by a positive coordinate on the axis) is sharing :</w:t>
      </w:r>
    </w:p>
    <w:p>
      <w:pPr>
        <w:numPr>
          <w:ilvl w:val="0"/>
          <w:numId w:val="1001"/>
        </w:numPr>
        <w:pStyle w:val="Compact"/>
      </w:pPr>
      <w:r>
        <w:t xml:space="preserve">high values for the variables</w:t>
      </w:r>
      <w:r>
        <w:t xml:space="preserve"> </w:t>
      </w:r>
      <w:r>
        <w:rPr>
          <w:iCs/>
          <w:i/>
        </w:rPr>
        <w:t xml:space="preserve">DO</w:t>
      </w:r>
      <w:r>
        <w:t xml:space="preserve">,</w:t>
      </w:r>
      <w:r>
        <w:t xml:space="preserve"> </w:t>
      </w:r>
      <w:r>
        <w:rPr>
          <w:iCs/>
          <w:i/>
        </w:rPr>
        <w:t xml:space="preserve">Fluoride</w:t>
      </w:r>
      <w:r>
        <w:t xml:space="preserve">,</w:t>
      </w:r>
      <w:r>
        <w:t xml:space="preserve"> </w:t>
      </w:r>
      <w:r>
        <w:rPr>
          <w:iCs/>
          <w:i/>
        </w:rPr>
        <w:t xml:space="preserve">TOC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DOC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1"/>
        </w:numPr>
        <w:pStyle w:val="Compact"/>
      </w:pPr>
      <w:r>
        <w:t xml:space="preserve">low values for the variables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Chloride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Cs/>
          <w:i/>
        </w:rPr>
        <w:t xml:space="preserve">11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stand (characterized by a positive coordinate on the axis) is sharing :</w:t>
      </w:r>
    </w:p>
    <w:p>
      <w:pPr>
        <w:numPr>
          <w:ilvl w:val="0"/>
          <w:numId w:val="1002"/>
        </w:numPr>
        <w:pStyle w:val="Compact"/>
      </w:pPr>
      <w:r>
        <w:t xml:space="preserve">high values for the variables</w:t>
      </w:r>
      <w:r>
        <w:t xml:space="preserve"> </w:t>
      </w:r>
      <w:r>
        <w:rPr>
          <w:iCs/>
          <w:i/>
        </w:rPr>
        <w:t xml:space="preserve">Transparency</w:t>
      </w:r>
      <w:r>
        <w:t xml:space="preserve">,</w:t>
      </w:r>
      <w:r>
        <w:t xml:space="preserve"> </w:t>
      </w:r>
      <w:r>
        <w:rPr>
          <w:iCs/>
          <w:i/>
        </w:rPr>
        <w:t xml:space="preserve">Percentual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Orthophosphate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2"/>
        </w:numPr>
        <w:pStyle w:val="Compact"/>
      </w:pPr>
      <w:r>
        <w:t xml:space="preserve">low values for the variables</w:t>
      </w:r>
      <w:r>
        <w:t xml:space="preserve"> </w:t>
      </w:r>
      <w:r>
        <w:rPr>
          <w:iCs/>
          <w:i/>
        </w:rPr>
        <w:t xml:space="preserve">Turbidity</w:t>
      </w:r>
      <w:r>
        <w:t xml:space="preserve">,</w:t>
      </w:r>
      <w:r>
        <w:t xml:space="preserve"> </w:t>
      </w:r>
      <w:r>
        <w:rPr>
          <w:iCs/>
          <w:i/>
        </w:rPr>
        <w:t xml:space="preserve">Nitrate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Cs/>
          <w:i/>
        </w:rPr>
        <w:t xml:space="preserve">37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,</w:t>
      </w:r>
      <w:r>
        <w:t xml:space="preserve"> </w:t>
      </w:r>
      <w:r>
        <w:rPr>
          <w:iCs/>
          <w:i/>
        </w:rPr>
        <w:t xml:space="preserve">39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41</w:t>
      </w:r>
      <w:r>
        <w:t xml:space="preserve"> </w:t>
      </w:r>
      <w:r>
        <w:t xml:space="preserve">stand (characterized by a negative coordinate on the axis) is sharing :</w:t>
      </w:r>
    </w:p>
    <w:p>
      <w:pPr>
        <w:numPr>
          <w:ilvl w:val="0"/>
          <w:numId w:val="1003"/>
        </w:numPr>
        <w:pStyle w:val="Compact"/>
      </w:pPr>
      <w:r>
        <w:t xml:space="preserve">high values for the variables</w:t>
      </w:r>
      <w:r>
        <w:t xml:space="preserve"> </w:t>
      </w:r>
      <w:r>
        <w:rPr>
          <w:iCs/>
          <w:i/>
        </w:rPr>
        <w:t xml:space="preserve">Time</w:t>
      </w:r>
      <w:r>
        <w:t xml:space="preserve">,</w:t>
      </w:r>
      <w:r>
        <w:t xml:space="preserve"> </w:t>
      </w:r>
      <w:r>
        <w:rPr>
          <w:iCs/>
          <w:i/>
        </w:rPr>
        <w:t xml:space="preserve">Chloride</w:t>
      </w:r>
      <w:r>
        <w:t xml:space="preserve">,</w:t>
      </w:r>
      <w:r>
        <w:t xml:space="preserve"> </w:t>
      </w:r>
      <w:r>
        <w:rPr>
          <w:iCs/>
          <w:i/>
        </w:rPr>
        <w:t xml:space="preserve">Nitrite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Turbidity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3"/>
        </w:numPr>
        <w:pStyle w:val="Compact"/>
      </w:pPr>
      <w:r>
        <w:t xml:space="preserve">low values for the variables</w:t>
      </w:r>
      <w:r>
        <w:t xml:space="preserve"> </w:t>
      </w:r>
      <w:r>
        <w:rPr>
          <w:iCs/>
          <w:i/>
        </w:rPr>
        <w:t xml:space="preserve">DOC</w:t>
      </w:r>
      <w:r>
        <w:t xml:space="preserve">,</w:t>
      </w:r>
      <w:r>
        <w:t xml:space="preserve"> </w:t>
      </w:r>
      <w:r>
        <w:rPr>
          <w:iCs/>
          <w:i/>
        </w:rPr>
        <w:t xml:space="preserve">TOC</w:t>
      </w:r>
      <w:r>
        <w:t xml:space="preserve">,</w:t>
      </w:r>
      <w:r>
        <w:t xml:space="preserve"> </w:t>
      </w:r>
      <w:r>
        <w:rPr>
          <w:iCs/>
          <w:i/>
        </w:rPr>
        <w:t xml:space="preserve">Orthophosphate</w:t>
      </w:r>
      <w:r>
        <w:t xml:space="preserve">,</w:t>
      </w:r>
      <w:r>
        <w:t xml:space="preserve"> </w:t>
      </w:r>
      <w:r>
        <w:rPr>
          <w:iCs/>
          <w:i/>
        </w:rPr>
        <w:t xml:space="preserve">Conductivity</w:t>
      </w:r>
      <w:r>
        <w:t xml:space="preserve">,</w:t>
      </w:r>
      <w:r>
        <w:t xml:space="preserve"> </w:t>
      </w:r>
      <w:r>
        <w:rPr>
          <w:iCs/>
          <w:i/>
        </w:rPr>
        <w:t xml:space="preserve">Fluoride</w:t>
      </w:r>
      <w:r>
        <w:t xml:space="preserve">,</w:t>
      </w:r>
      <w:r>
        <w:t xml:space="preserve"> </w:t>
      </w:r>
      <w:r>
        <w:rPr>
          <w:iCs/>
          <w:i/>
        </w:rPr>
        <w:t xml:space="preserve">Percentual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Transparency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Cs/>
          <w:i/>
        </w:rPr>
        <w:t xml:space="preserve">14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Cs/>
          <w:i/>
        </w:rPr>
        <w:t xml:space="preserve">11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Cs/>
          <w:i/>
        </w:rPr>
        <w:t xml:space="preserve">14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stand (characterized by a positive coordinate on the axis) is sharing :</w:t>
      </w:r>
    </w:p>
    <w:p>
      <w:pPr>
        <w:numPr>
          <w:ilvl w:val="0"/>
          <w:numId w:val="1004"/>
        </w:numPr>
        <w:pStyle w:val="Compact"/>
      </w:pPr>
      <w:r>
        <w:t xml:space="preserve">high values for the variables</w:t>
      </w:r>
      <w:r>
        <w:t xml:space="preserve"> </w:t>
      </w:r>
      <w:r>
        <w:rPr>
          <w:iCs/>
          <w:i/>
        </w:rPr>
        <w:t xml:space="preserve">DO</w:t>
      </w:r>
      <w:r>
        <w:t xml:space="preserve">,</w:t>
      </w:r>
      <w:r>
        <w:t xml:space="preserve"> </w:t>
      </w:r>
      <w:r>
        <w:rPr>
          <w:iCs/>
          <w:i/>
        </w:rPr>
        <w:t xml:space="preserve">Fluoride</w:t>
      </w:r>
      <w:r>
        <w:t xml:space="preserve">,</w:t>
      </w:r>
      <w:r>
        <w:t xml:space="preserve"> </w:t>
      </w:r>
      <w:r>
        <w:rPr>
          <w:iCs/>
          <w:i/>
        </w:rPr>
        <w:t xml:space="preserve">TOC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DOC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4"/>
        </w:numPr>
        <w:pStyle w:val="Compact"/>
      </w:pPr>
      <w:r>
        <w:t xml:space="preserve">low values for the variables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Chloride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Cs/>
          <w:i/>
        </w:rPr>
        <w:t xml:space="preserve">11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stand (characterized by a negative coordinate on the axis) is sharing :</w:t>
      </w:r>
    </w:p>
    <w:p>
      <w:pPr>
        <w:numPr>
          <w:ilvl w:val="0"/>
          <w:numId w:val="1005"/>
        </w:numPr>
        <w:pStyle w:val="Compact"/>
      </w:pPr>
      <w:r>
        <w:t xml:space="preserve">high values for the variables</w:t>
      </w:r>
      <w:r>
        <w:t xml:space="preserve"> </w:t>
      </w:r>
      <w:r>
        <w:rPr>
          <w:iCs/>
          <w:i/>
        </w:rPr>
        <w:t xml:space="preserve">Transparency</w:t>
      </w:r>
      <w:r>
        <w:t xml:space="preserve">,</w:t>
      </w:r>
      <w:r>
        <w:t xml:space="preserve"> </w:t>
      </w:r>
      <w:r>
        <w:rPr>
          <w:iCs/>
          <w:i/>
        </w:rPr>
        <w:t xml:space="preserve">Percentual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Orthophosphate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5"/>
        </w:numPr>
        <w:pStyle w:val="Compact"/>
      </w:pPr>
      <w:r>
        <w:t xml:space="preserve">low values for the variables</w:t>
      </w:r>
      <w:r>
        <w:t xml:space="preserve"> </w:t>
      </w:r>
      <w:r>
        <w:rPr>
          <w:iCs/>
          <w:i/>
        </w:rPr>
        <w:t xml:space="preserve">Turbidity</w:t>
      </w:r>
      <w:r>
        <w:t xml:space="preserve">,</w:t>
      </w:r>
      <w:r>
        <w:t xml:space="preserve"> </w:t>
      </w:r>
      <w:r>
        <w:rPr>
          <w:iCs/>
          <w:i/>
        </w:rPr>
        <w:t xml:space="preserve">Nitrate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7"/>
    <w:bookmarkStart w:id="28" w:name="annexes"/>
    <w:p>
      <w:pPr>
        <w:pStyle w:val="Heading2"/>
      </w:pPr>
      <w:r>
        <w:t xml:space="preserve">Annexes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df.pca</dc:creator>
  <cp:keywords/>
  <dcterms:created xsi:type="dcterms:W3CDTF">2021-06-04T13:54:26Z</dcterms:created>
  <dcterms:modified xsi:type="dcterms:W3CDTF">2021-06-04T13:54:26Z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