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Модель</w:t>
          </w:r>
          <w:r>
            <w:t xml:space="preserve"> </w:t>
          </w:r>
          <w:r>
            <w:t xml:space="preserve">гармонических</w:t>
          </w:r>
          <w:r>
            <w:t xml:space="preserve"> </w:t>
          </w:r>
          <w:r>
            <w:t xml:space="preserve">колебаний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40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f</w:t>
      </w:r>
      <w:r>
        <w:br/>
      </w:r>
      <w:r>
        <w:rPr>
          <w:rStyle w:val="VerbatimChar"/>
        </w:rPr>
        <w:t xml:space="preserve">  parameter Real w=7.5;</w:t>
      </w:r>
      <w:r>
        <w:br/>
      </w:r>
      <w:r>
        <w:rPr>
          <w:rStyle w:val="VerbatimChar"/>
        </w:rPr>
        <w:t xml:space="preserve">  Real x(start=0);</w:t>
      </w:r>
      <w:r>
        <w:br/>
      </w:r>
      <w:r>
        <w:rPr>
          <w:rStyle w:val="VerbatimChar"/>
        </w:rPr>
        <w:t xml:space="preserve">  Real y(start=-1);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rPr>
          <w:rStyle w:val="VerbatimChar"/>
        </w:rPr>
        <w:t xml:space="preserve">end f;</w:t>
      </w:r>
    </w:p>
    <w:p>
      <w:pPr>
        <w:pStyle w:val="CaptionedFigure"/>
      </w:pPr>
      <w:bookmarkStart w:id="26" w:name="fig:001"/>
      <w:r>
        <w:drawing>
          <wp:inline>
            <wp:extent cx="5334000" cy="4519083"/>
            <wp:effectExtent b="0" l="0" r="0" t="0"/>
            <wp:docPr descr="Figure 1: График решения для случая 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4519083"/>
            <wp:effectExtent b="0" l="0" r="0" t="0"/>
            <wp:docPr descr="Figure 2: Фазовый портрет для случая 1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s</w:t>
      </w:r>
      <w:r>
        <w:br/>
      </w:r>
      <w:r>
        <w:rPr>
          <w:rStyle w:val="VerbatimChar"/>
        </w:rPr>
        <w:t xml:space="preserve">  parameter Real w=7;</w:t>
      </w:r>
      <w:r>
        <w:br/>
      </w:r>
      <w:r>
        <w:rPr>
          <w:rStyle w:val="VerbatimChar"/>
        </w:rPr>
        <w:t xml:space="preserve">  parameter Real g=5;</w:t>
      </w:r>
      <w:r>
        <w:br/>
      </w:r>
      <w:r>
        <w:rPr>
          <w:rStyle w:val="VerbatimChar"/>
        </w:rPr>
        <w:t xml:space="preserve">  Real x(start=0);</w:t>
      </w:r>
      <w:r>
        <w:br/>
      </w:r>
      <w:r>
        <w:rPr>
          <w:rStyle w:val="VerbatimChar"/>
        </w:rPr>
        <w:t xml:space="preserve">  Real y(start=-1);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rPr>
          <w:rStyle w:val="VerbatimChar"/>
        </w:rPr>
        <w:t xml:space="preserve">end s;</w:t>
      </w:r>
    </w:p>
    <w:p>
      <w:pPr>
        <w:pStyle w:val="CaptionedFigure"/>
      </w:pPr>
      <w:bookmarkStart w:id="34" w:name="fig:003"/>
      <w:r>
        <w:drawing>
          <wp:inline>
            <wp:extent cx="5334000" cy="4519083"/>
            <wp:effectExtent b="0" l="0" r="0" t="0"/>
            <wp:docPr descr="Figure 3: График решения для случая 2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8" w:name="fig:004"/>
      <w:r>
        <w:drawing>
          <wp:inline>
            <wp:extent cx="5334000" cy="4519083"/>
            <wp:effectExtent b="0" l="0" r="0" t="0"/>
            <wp:docPr descr="Figure 4: Фазовый портрет для случая 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t</w:t>
      </w:r>
      <w:r>
        <w:br/>
      </w:r>
      <w:r>
        <w:rPr>
          <w:rStyle w:val="VerbatimChar"/>
        </w:rPr>
        <w:t xml:space="preserve">  parameter Real w=2;</w:t>
      </w:r>
      <w:r>
        <w:br/>
      </w:r>
      <w:r>
        <w:rPr>
          <w:rStyle w:val="VerbatimChar"/>
        </w:rPr>
        <w:t xml:space="preserve">  parameter Real g=4;</w:t>
      </w:r>
      <w:r>
        <w:br/>
      </w:r>
      <w:r>
        <w:rPr>
          <w:rStyle w:val="VerbatimChar"/>
        </w:rPr>
        <w:t xml:space="preserve">  Real x(start=0);</w:t>
      </w:r>
      <w:r>
        <w:br/>
      </w:r>
      <w:r>
        <w:rPr>
          <w:rStyle w:val="VerbatimChar"/>
        </w:rPr>
        <w:t xml:space="preserve">  Real y(start=-1);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-g*y-w*x+5*sin(time);</w:t>
      </w:r>
      <w:r>
        <w:br/>
      </w:r>
      <w:r>
        <w:rPr>
          <w:rStyle w:val="VerbatimChar"/>
        </w:rPr>
        <w:t xml:space="preserve">end t;</w:t>
      </w:r>
    </w:p>
    <w:p>
      <w:pPr>
        <w:pStyle w:val="CaptionedFigure"/>
      </w:pPr>
      <w:bookmarkStart w:id="42" w:name="fig:005"/>
      <w:r>
        <w:drawing>
          <wp:inline>
            <wp:extent cx="5334000" cy="4519083"/>
            <wp:effectExtent b="0" l="0" r="0" t="0"/>
            <wp:docPr descr="Figure 5: График решения для случая 3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46" w:name="fig:006"/>
      <w:r>
        <w:drawing>
          <wp:inline>
            <wp:extent cx="5334000" cy="4519083"/>
            <wp:effectExtent b="0" l="0" r="0" t="0"/>
            <wp:docPr descr="Figure 6: Фазовый портрет для случая 3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решены уравнения гармонического осциллятора, построены фазовые портреты гармонических колебаний без затухания, с затуханием и при действии внешней силы.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Ласурия Данил Рустанбеевич</dc:creator>
  <dc:language>ru-RU</dc:language>
  <cp:keywords/>
  <dcterms:created xsi:type="dcterms:W3CDTF">2022-03-05T14:06:34Z</dcterms:created>
  <dcterms:modified xsi:type="dcterms:W3CDTF">2022-03-05T14:06:34Z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 - вариант 15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Модель гармонических колебаний</vt:lpwstr>
  </property>
  <property fmtid="{D5CDD505-2E9C-101B-9397-08002B2CF9AE}" pid="78" name="toc_depth">
    <vt:lpwstr>2</vt:lpwstr>
  </property>
</Properties>
</file>