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Overview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Tidyverse</w:t>
      </w:r>
    </w:p>
    <w:p>
      <w:pPr>
        <w:pStyle w:val="FirstParagraph"/>
      </w:pPr>
      <w:r>
        <w:t xml:space="preserve">This document is based on the Michael Levy’s presentation at the Davis R-Users’ Group.</w:t>
      </w:r>
    </w:p>
    <w:p>
      <w:pPr>
        <w:pStyle w:val="Compact"/>
        <w:numPr>
          <w:numId w:val="1001"/>
          <w:ilvl w:val="0"/>
        </w:numPr>
      </w:pPr>
      <w:r>
        <w:t xml:space="preserve">The youtube video of the presentation is available</w:t>
      </w:r>
      <w:r>
        <w:t xml:space="preserve"> </w:t>
      </w:r>
      <w:hyperlink r:id="rId21">
        <w:r>
          <w:rPr>
            <w:rStyle w:val="Hyperlink"/>
          </w:rPr>
          <w:t xml:space="preserve">here.</w:t>
        </w:r>
      </w:hyperlink>
    </w:p>
    <w:p>
      <w:pPr>
        <w:pStyle w:val="Compact"/>
        <w:numPr>
          <w:numId w:val="1001"/>
          <w:ilvl w:val="0"/>
        </w:numPr>
      </w:pPr>
      <w:r>
        <w:t xml:space="preserve">The original github repository of the presentation is</w:t>
      </w:r>
      <w:r>
        <w:t xml:space="preserve"> </w:t>
      </w:r>
      <w:hyperlink r:id="rId22">
        <w:r>
          <w:rPr>
            <w:rStyle w:val="Hyperlink"/>
          </w:rPr>
          <w:t xml:space="preserve">here.</w:t>
        </w:r>
      </w:hyperlink>
    </w:p>
    <w:p>
      <w:pPr>
        <w:pStyle w:val="Heading2"/>
      </w:pPr>
      <w:bookmarkStart w:id="23" w:name="what-is-the-tidyverse"/>
      <w:bookmarkEnd w:id="23"/>
      <w:r>
        <w:t xml:space="preserve">What is the tidyverse?</w:t>
      </w:r>
    </w:p>
    <w:p>
      <w:pPr>
        <w:pStyle w:val="FirstParagraph"/>
      </w:pPr>
      <w:r>
        <w:t xml:space="preserve">A a suite of R tools that follow a tidy philosophy:</w:t>
      </w:r>
    </w:p>
    <w:p>
      <w:pPr>
        <w:pStyle w:val="Heading3"/>
      </w:pPr>
      <w:bookmarkStart w:id="24" w:name="tidy-philosophy"/>
      <w:bookmarkEnd w:id="24"/>
      <w:r>
        <w:t xml:space="preserve">Tidy Philosophy</w:t>
      </w:r>
    </w:p>
    <w:p>
      <w:pPr>
        <w:pStyle w:val="FirstParagraph"/>
      </w:pPr>
      <w:r>
        <w:t xml:space="preserve">Put data in data frames</w:t>
      </w:r>
    </w:p>
    <w:p>
      <w:pPr>
        <w:pStyle w:val="Compact"/>
        <w:numPr>
          <w:numId w:val="1002"/>
          <w:ilvl w:val="0"/>
        </w:numPr>
      </w:pPr>
      <w:r>
        <w:t xml:space="preserve">Each variable gets a column</w:t>
      </w:r>
    </w:p>
    <w:p>
      <w:pPr>
        <w:pStyle w:val="Compact"/>
        <w:numPr>
          <w:numId w:val="1002"/>
          <w:ilvl w:val="0"/>
        </w:numPr>
      </w:pPr>
      <w:r>
        <w:t xml:space="preserve">Each observation gets a row</w:t>
      </w:r>
    </w:p>
    <w:p>
      <w:pPr>
        <w:pStyle w:val="Compact"/>
        <w:numPr>
          <w:numId w:val="1002"/>
          <w:ilvl w:val="0"/>
        </w:numPr>
      </w:pPr>
      <w:r>
        <w:t xml:space="preserve">Each unit of analysis gets a data frame</w:t>
      </w:r>
    </w:p>
    <w:p>
      <w:pPr>
        <w:pStyle w:val="Heading3"/>
      </w:pPr>
      <w:bookmarkStart w:id="25" w:name="tidy-apis"/>
      <w:bookmarkEnd w:id="25"/>
      <w:r>
        <w:t xml:space="preserve">Tidy APIs</w:t>
      </w:r>
    </w:p>
    <w:p>
      <w:pPr>
        <w:pStyle w:val="FirstParagraph"/>
      </w:pPr>
      <w:r>
        <w:t xml:space="preserve">Functions should be consistent and easily (human) readable</w:t>
      </w:r>
    </w:p>
    <w:p>
      <w:pPr>
        <w:pStyle w:val="Compact"/>
        <w:numPr>
          <w:numId w:val="1003"/>
          <w:ilvl w:val="0"/>
        </w:numPr>
      </w:pPr>
      <w:r>
        <w:t xml:space="preserve">Take one step at a time</w:t>
      </w:r>
    </w:p>
    <w:p>
      <w:pPr>
        <w:pStyle w:val="Compact"/>
        <w:numPr>
          <w:numId w:val="1003"/>
          <w:ilvl w:val="0"/>
        </w:numPr>
      </w:pPr>
      <w:r>
        <w:t xml:space="preserve">Connect simple steps with the pipe</w:t>
      </w:r>
    </w:p>
    <w:p>
      <w:pPr>
        <w:pStyle w:val="Compact"/>
        <w:numPr>
          <w:numId w:val="1003"/>
          <w:ilvl w:val="0"/>
        </w:numPr>
      </w:pPr>
      <w:r>
        <w:t xml:space="preserve">Referential transparency</w:t>
      </w:r>
    </w:p>
    <w:p>
      <w:pPr>
        <w:pStyle w:val="Heading3"/>
      </w:pPr>
      <w:bookmarkStart w:id="26" w:name="okay-but-really-what-is-it"/>
      <w:bookmarkEnd w:id="26"/>
      <w:r>
        <w:t xml:space="preserve">Okay but really, what is it?</w:t>
      </w:r>
    </w:p>
    <w:p>
      <w:pPr>
        <w:pStyle w:val="FirstParagraph"/>
      </w:pPr>
      <w:r>
        <w:t xml:space="preserve">Suite of ~20 packages that provide consistent, user-friendly, smart-default tools to do most of what most people do in R.</w:t>
      </w:r>
    </w:p>
    <w:p>
      <w:pPr>
        <w:pStyle w:val="Compact"/>
        <w:numPr>
          <w:numId w:val="1004"/>
          <w:ilvl w:val="0"/>
        </w:numPr>
      </w:pPr>
      <w:r>
        <w:t xml:space="preserve">Core packages: ggplot2, dplyr, tidyr, readr, purrr, tibble</w:t>
      </w:r>
    </w:p>
    <w:p>
      <w:pPr>
        <w:pStyle w:val="Compact"/>
        <w:numPr>
          <w:numId w:val="1004"/>
          <w:ilvl w:val="0"/>
        </w:numPr>
      </w:pPr>
      <w:r>
        <w:t xml:space="preserve">Data import: DBI, haven, httr, jsonlite, readxl, rvest, xml2</w:t>
      </w:r>
    </w:p>
    <w:p>
      <w:pPr>
        <w:pStyle w:val="Compact"/>
        <w:numPr>
          <w:numId w:val="1004"/>
          <w:ilvl w:val="0"/>
        </w:numPr>
      </w:pPr>
      <w:r>
        <w:t xml:space="preserve">Specialized data manipulation: hms, stringr, lubridate, forcats</w:t>
      </w:r>
    </w:p>
    <w:p>
      <w:pPr>
        <w:pStyle w:val="Compact"/>
        <w:numPr>
          <w:numId w:val="1004"/>
          <w:ilvl w:val="0"/>
        </w:numPr>
      </w:pPr>
      <w:r>
        <w:t xml:space="preserve">Modeling: modelr, broom</w:t>
      </w:r>
    </w:p>
    <w:p>
      <w:pPr>
        <w:pStyle w:val="FirstParagraph"/>
      </w:pPr>
      <w:r>
        <w:rPr>
          <w:rStyle w:val="VerbatimChar"/>
        </w:rPr>
        <w:t xml:space="preserve">install.packages(tidyverse)</w:t>
      </w:r>
      <w:r>
        <w:t xml:space="preserve"> </w:t>
      </w:r>
      <w:r>
        <w:t xml:space="preserve">installs all of the above packages.</w:t>
      </w:r>
    </w:p>
    <w:p>
      <w:pPr>
        <w:pStyle w:val="BodyText"/>
      </w:pPr>
      <w:r>
        <w:rPr>
          <w:rStyle w:val="VerbatimChar"/>
        </w:rPr>
        <w:t xml:space="preserve">library(tidyverse)</w:t>
      </w:r>
      <w:r>
        <w:t xml:space="preserve"> </w:t>
      </w:r>
      <w:r>
        <w:t xml:space="preserve">attaches only the core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2.2.1.9000     ✔ purrr   0.2.4     </w:t>
      </w:r>
      <w:r>
        <w:br w:type="textWrapping"/>
      </w:r>
      <w:r>
        <w:rPr>
          <w:rStyle w:val="VerbatimChar"/>
        </w:rPr>
        <w:t xml:space="preserve">## ✔ tibble  1.4.2          ✔ dplyr   0.7.4     </w:t>
      </w:r>
      <w:r>
        <w:br w:type="textWrapping"/>
      </w:r>
      <w:r>
        <w:rPr>
          <w:rStyle w:val="VerbatimChar"/>
        </w:rPr>
        <w:t xml:space="preserve">## ✔ tidyr   0.7.2          ✔ stringr 1.2.0     </w:t>
      </w:r>
      <w:r>
        <w:br w:type="textWrapping"/>
      </w:r>
      <w:r>
        <w:rPr>
          <w:rStyle w:val="VerbatimChar"/>
        </w:rPr>
        <w:t xml:space="preserve">## ✔ readr   1.1.1          ✔ forcats 0.2.0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Heading2"/>
      </w:pPr>
      <w:bookmarkStart w:id="27" w:name="tibble"/>
      <w:bookmarkEnd w:id="27"/>
      <w:r>
        <w:t xml:space="preserve">tibble</w:t>
      </w:r>
    </w:p>
    <w:p>
      <w:pPr>
        <w:pStyle w:val="FirstParagraph"/>
      </w:pPr>
      <w:r>
        <w:t xml:space="preserve">A modern reimagining of a data frame.</w:t>
      </w:r>
    </w:p>
    <w:p>
      <w:pPr>
        <w:pStyle w:val="SourceCode"/>
      </w:pPr>
      <w:r>
        <w:rPr>
          <w:rStyle w:val="NormalTok"/>
        </w:rPr>
        <w:t xml:space="preserve">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(tdf)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FirstParagraph"/>
      </w:pPr>
      <w:r>
        <w:t xml:space="preserve">Tibbles print politely.</w:t>
      </w:r>
    </w:p>
    <w:p>
      <w:pPr>
        <w:pStyle w:val="SourceCode"/>
      </w:pPr>
      <w:r>
        <w:rPr>
          <w:rStyle w:val="NormalTok"/>
        </w:rPr>
        <w:t xml:space="preserve">tdf</w:t>
      </w:r>
    </w:p>
    <w:p>
      <w:pPr>
        <w:pStyle w:val="SourceCode"/>
      </w:pPr>
      <w:r>
        <w:rPr>
          <w:rStyle w:val="VerbatimChar"/>
        </w:rPr>
        <w:t xml:space="preserve">## # A tibble: 10,000 x 2</w:t>
      </w:r>
      <w:r>
        <w:br w:type="textWrapping"/>
      </w:r>
      <w:r>
        <w:rPr>
          <w:rStyle w:val="VerbatimChar"/>
        </w:rPr>
        <w:t xml:space="preserve">##        x      y</w:t>
      </w:r>
      <w:r>
        <w:br w:type="textWrapping"/>
      </w:r>
      <w:r>
        <w:rPr>
          <w:rStyle w:val="VerbatimChar"/>
        </w:rPr>
        <w:t xml:space="preserve">##    &lt;int&gt;  &lt;dbl&gt;</w:t>
      </w:r>
      <w:r>
        <w:br w:type="textWrapping"/>
      </w:r>
      <w:r>
        <w:rPr>
          <w:rStyle w:val="VerbatimChar"/>
        </w:rPr>
        <w:t xml:space="preserve">##  1     1 -0.253</w:t>
      </w:r>
      <w:r>
        <w:br w:type="textWrapping"/>
      </w:r>
      <w:r>
        <w:rPr>
          <w:rStyle w:val="VerbatimChar"/>
        </w:rPr>
        <w:t xml:space="preserve">##  2     2 -0.618</w:t>
      </w:r>
      <w:r>
        <w:br w:type="textWrapping"/>
      </w:r>
      <w:r>
        <w:rPr>
          <w:rStyle w:val="VerbatimChar"/>
        </w:rPr>
        <w:t xml:space="preserve">##  3     3  0.541</w:t>
      </w:r>
      <w:r>
        <w:br w:type="textWrapping"/>
      </w:r>
      <w:r>
        <w:rPr>
          <w:rStyle w:val="VerbatimChar"/>
        </w:rPr>
        <w:t xml:space="preserve">##  4     4  0.270</w:t>
      </w:r>
      <w:r>
        <w:br w:type="textWrapping"/>
      </w:r>
      <w:r>
        <w:rPr>
          <w:rStyle w:val="VerbatimChar"/>
        </w:rPr>
        <w:t xml:space="preserve">##  5     5 -1.69 </w:t>
      </w:r>
      <w:r>
        <w:br w:type="textWrapping"/>
      </w:r>
      <w:r>
        <w:rPr>
          <w:rStyle w:val="VerbatimChar"/>
        </w:rPr>
        <w:t xml:space="preserve">##  6     6 -1.16 </w:t>
      </w:r>
      <w:r>
        <w:br w:type="textWrapping"/>
      </w:r>
      <w:r>
        <w:rPr>
          <w:rStyle w:val="VerbatimChar"/>
        </w:rPr>
        <w:t xml:space="preserve">##  7     7 -0.526</w:t>
      </w:r>
      <w:r>
        <w:br w:type="textWrapping"/>
      </w:r>
      <w:r>
        <w:rPr>
          <w:rStyle w:val="VerbatimChar"/>
        </w:rPr>
        <w:t xml:space="preserve">##  8     8  0.288</w:t>
      </w:r>
      <w:r>
        <w:br w:type="textWrapping"/>
      </w:r>
      <w:r>
        <w:rPr>
          <w:rStyle w:val="VerbatimChar"/>
        </w:rPr>
        <w:t xml:space="preserve">##  9     9 -1.71 </w:t>
      </w:r>
      <w:r>
        <w:br w:type="textWrapping"/>
      </w:r>
      <w:r>
        <w:rPr>
          <w:rStyle w:val="VerbatimChar"/>
        </w:rPr>
        <w:t xml:space="preserve">## 10    10  0.119</w:t>
      </w:r>
      <w:r>
        <w:br w:type="textWrapping"/>
      </w:r>
      <w:r>
        <w:rPr>
          <w:rStyle w:val="VerbatimChar"/>
        </w:rPr>
        <w:t xml:space="preserve">## # ... with 9,990 more rows</w:t>
      </w:r>
    </w:p>
    <w:p>
      <w:pPr>
        <w:numPr>
          <w:numId w:val="1005"/>
          <w:ilvl w:val="0"/>
        </w:numPr>
      </w:pPr>
      <w:r>
        <w:t xml:space="preserve">Can customize print methods with</w:t>
      </w:r>
      <w:r>
        <w:t xml:space="preserve"> </w:t>
      </w:r>
      <w:r>
        <w:rPr>
          <w:rStyle w:val="VerbatimChar"/>
        </w:rPr>
        <w:t xml:space="preserve">print(tdf, n = rows, width = cols)</w:t>
      </w:r>
    </w:p>
    <w:p>
      <w:pPr>
        <w:numPr>
          <w:numId w:val="1005"/>
          <w:ilvl w:val="0"/>
        </w:numPr>
      </w:pPr>
      <w:r>
        <w:t xml:space="preserve">Set default with</w:t>
      </w:r>
      <w:r>
        <w:t xml:space="preserve"> </w:t>
      </w:r>
      <w:r>
        <w:rPr>
          <w:rStyle w:val="VerbatimChar"/>
        </w:rPr>
        <w:t xml:space="preserve">options(tibble.print_max = rows, tibble.width = cols)</w:t>
      </w:r>
    </w:p>
    <w:p>
      <w:pPr>
        <w:pStyle w:val="FirstParagraph"/>
      </w:pPr>
      <w:r>
        <w:t xml:space="preserve">Tibbles have some convenient and consistent defaults that are different from base R data.frames.</w:t>
      </w:r>
    </w:p>
    <w:p>
      <w:pPr>
        <w:pStyle w:val="Compact"/>
        <w:numPr>
          <w:numId w:val="1006"/>
          <w:ilvl w:val="0"/>
        </w:numPr>
      </w:pPr>
      <w:r>
        <w:t xml:space="preserve">In tibbles strings are NOT automatically reconized as factors</w:t>
      </w:r>
    </w:p>
    <w:p>
      <w:pPr>
        <w:pStyle w:val="FirstParagraph"/>
      </w:pPr>
      <w:r>
        <w:t xml:space="preserve">Also note that tidyverse import functions, such as</w:t>
      </w:r>
      <w:r>
        <w:t xml:space="preserve"> </w:t>
      </w:r>
      <w:r>
        <w:rPr>
          <w:rStyle w:val="VerbatimChar"/>
        </w:rPr>
        <w:t xml:space="preserve">readr::read_csv</w:t>
      </w:r>
      <w:r>
        <w:t xml:space="preserve">, default to tibbles and that</w:t>
      </w:r>
      <w:r>
        <w:t xml:space="preserve"> </w:t>
      </w:r>
      <w:r>
        <w:rPr>
          <w:i/>
        </w:rPr>
        <w:t xml:space="preserve">this can break existing code</w:t>
      </w:r>
      <w:r>
        <w:t xml:space="preserve">.</w:t>
      </w:r>
    </w:p>
    <w:p>
      <w:pPr>
        <w:pStyle w:val="Heading2"/>
      </w:pPr>
      <w:bookmarkStart w:id="28" w:name="the-pipe-functional-composition"/>
      <w:bookmarkEnd w:id="28"/>
      <w:r>
        <w:t xml:space="preserve">The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: Functional composition</w:t>
      </w:r>
    </w:p>
    <w:p>
      <w:pPr>
        <w:pStyle w:val="FirstParagraph"/>
      </w:pPr>
      <w:r>
        <w:t xml:space="preserve">Sends the output of the LHS function to the first argument of the RHS function.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Note that keyboard shortcut for the pipe is</w:t>
      </w:r>
      <w:r>
        <w:t xml:space="preserve"> </w:t>
      </w:r>
      <w:r>
        <w:rPr>
          <w:rStyle w:val="VerbatimChar"/>
        </w:rPr>
        <w:t xml:space="preserve">cmd + shift + M</w:t>
      </w:r>
    </w:p>
    <w:p>
      <w:pPr>
        <w:pStyle w:val="Heading2"/>
      </w:pPr>
      <w:bookmarkStart w:id="29" w:name="dplyr"/>
      <w:bookmarkEnd w:id="29"/>
      <w:r>
        <w:t xml:space="preserve">dplyr</w:t>
      </w:r>
    </w:p>
    <w:p>
      <w:pPr>
        <w:pStyle w:val="FirstParagraph"/>
      </w:pPr>
      <w:r>
        <w:t xml:space="preserve">A package for data manipulation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2143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60a1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ichaellevy/tidyverse_talk" TargetMode="External" /><Relationship Type="http://schemas.openxmlformats.org/officeDocument/2006/relationships/hyperlink" Id="rId21" Target="https://www.youtube.com/watch?v=_rPhSAVhs1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ichaellevy/tidyverse_talk" TargetMode="External" /><Relationship Type="http://schemas.openxmlformats.org/officeDocument/2006/relationships/hyperlink" Id="rId21" Target="https://www.youtube.com/watch?v=_rPhSAVhs1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Overview of the Tidyverse</dc:title>
  <dc:creator/>
  <dcterms:created xsi:type="dcterms:W3CDTF">2018-02-09T08:13:18Z</dcterms:created>
  <dcterms:modified xsi:type="dcterms:W3CDTF">2018-02-09T08:13:18Z</dcterms:modified>
</cp:coreProperties>
</file>