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b/>
          <w:sz w:val="30"/>
        </w:rPr>
        <w:t>PUBLIC COMMENT</w:t>
      </w:r>
    </w:p>
    <w:p>
      <w:pPr>
        <w:spacing w:after="80" w:line="252" w:lineRule="auto"/>
        <w:jc w:val="center"/>
      </w:pPr>
      <w:r>
        <w:rPr>
          <w:b/>
          <w:sz w:val="26"/>
        </w:rPr>
        <w:t>Massachusetts Energy Efficiency Advisory Council (EEAC)</w:t>
      </w:r>
    </w:p>
    <w:p>
      <w:pPr>
        <w:spacing w:after="80" w:line="252" w:lineRule="auto"/>
        <w:jc w:val="center"/>
      </w:pPr>
      <w:r>
        <w:rPr>
          <w:i/>
          <w:sz w:val="20"/>
        </w:rPr>
        <w:t>Draft for 2028-2030 Three-Year Energy Efficiency Plan Guiding Principles | Revised engineering version</w:t>
      </w:r>
    </w:p>
    <w:p>
      <w:pPr>
        <w:spacing w:after="80" w:line="252" w:lineRule="auto"/>
        <w:jc w:val="center"/>
      </w:pPr>
      <w:r>
        <w:rPr>
          <w:b/>
          <w:color w:val="1F4E79"/>
          <w:sz w:val="32"/>
        </w:rPr>
        <w:t>Realigning Mass Save Incentives with Measured Customer Outcomes, Winter Peak Impact, and CO2 Reduction</w:t>
      </w:r>
    </w:p>
    <w:p>
      <w:pPr>
        <w:spacing w:after="80" w:line="252" w:lineRule="auto"/>
        <w:jc w:val="center"/>
      </w:pPr>
      <w:r>
        <w:rPr>
          <w:sz w:val="20"/>
        </w:rPr>
        <w:t>Submitted by: Dmitry Kuravskiy — Founder, GeoStellar Engineering LLC / Co-Founder &amp; CTO, GeoPioneer LLC</w:t>
        <w:br/>
        <w:t>dkuravskiy@geostellar.io | geostellar.io | Stoughton, Massachusetts</w:t>
      </w:r>
    </w:p>
    <w:p>
      <w:pPr>
        <w:spacing w:after="80" w:line="252" w:lineRule="auto"/>
      </w:pPr>
    </w:p>
    <w:p>
      <w:pPr>
        <w:pStyle w:val="Heading2"/>
        <w:spacing w:before="120" w:after="80" w:line="252" w:lineRule="auto"/>
      </w:pPr>
      <w:r>
        <w:t>Co-signatories</w:t>
      </w:r>
    </w:p>
    <w:p>
      <w:pPr>
        <w:spacing w:after="80" w:line="252" w:lineRule="auto"/>
      </w:pPr>
      <w:r>
        <w:rPr>
          <w:sz w:val="21"/>
        </w:rPr>
        <w:t>[Name, Title, Organization] ______________________________ Signature __________________ Date ________</w:t>
      </w:r>
    </w:p>
    <w:p>
      <w:pPr>
        <w:spacing w:after="80" w:line="252" w:lineRule="auto"/>
      </w:pPr>
      <w:r>
        <w:rPr>
          <w:sz w:val="21"/>
        </w:rPr>
        <w:t>[Name, Title, Organization] ______________________________ Signature __________________ Date ________</w:t>
      </w:r>
    </w:p>
    <w:p>
      <w:pPr>
        <w:spacing w:after="80" w:line="252" w:lineRule="auto"/>
      </w:pPr>
      <w:r>
        <w:rPr>
          <w:sz w:val="21"/>
        </w:rPr>
        <w:t>[Name, Title, Organization] ______________________________ Signature __________________ Date ________</w:t>
      </w:r>
    </w:p>
    <w:p>
      <w:pPr>
        <w:spacing w:after="80" w:line="252" w:lineRule="auto"/>
      </w:pPr>
      <w:r>
        <w:rPr>
          <w:sz w:val="21"/>
        </w:rPr>
        <w:t>[Additional co-signatories may be added on the signature page.]</w:t>
      </w:r>
    </w:p>
    <w:p>
      <w:pPr/>
      <w:r>
        <w:t>Massachusetts plans to install 500,000 heat pumps by 2030 and electrify 2 million homes by 2050. While this scale of deployment is necessary for decarbonization, the current incentive structure heavily favors Air Source Heat Pumps (ASHP) without adequately accounting for their winter peak demand impacts or long-term grid infrastructure costs. A critical technical review of the Mass Save data and industry standards reveals that a more balanced approach—incorporating Ground Source Heat Pumps (GSHP) and thermal networks—is essential to protect ratepayers.</w:t>
      </w:r>
    </w:p>
    <w:p>
      <w:pPr/>
      <w:r>
        <w:t>The grid impact of ASHP deployment at scale is severe. According to AHRI 1600 standard calculations presented by WaterFurnace at the 2025 NY-GEO Conference, a standard 4-ton ASHP draws approximately 6.04 kW of total peak demand at 5°F (the Massachusetts design temperature), compared to just 2.70 kW for a comparable GSHP. At extreme cold conditions (-15°F), the ASHP peak jumps to 14.4 kW due to reliance on electric resistance backup, while the GSHP remains at 4.01 kW. Extrapolating the 5°F design condition to the 2050 goal of 2 million homes (assuming a 60% coincidence factor), an ASHP-only pathway would add ~7.2 GW of winter peak demand. A GSHP-focused pathway would add only ~3.2 GW. This ~4.0 GW avoidable difference represents billions in future distribution grid upgrades that ratepayers will ultimately fund.</w:t>
      </w:r>
    </w:p>
    <w:p>
      <w:pPr/>
      <w:r>
        <w:t>Even in the near term, the impacts are tangible. Installing just 30,000 ASHPs (roughly one year of the current Mass Save deployment rate) adds approximately 180 MW of new winter peak demand to the grid. This is equivalent to adding a mid-sized power plant's worth of demand every single year, driving up capacity costs and accelerating the need for substation upgrades.</w:t>
      </w:r>
    </w:p>
    <w:p>
      <w:pPr/>
      <w:r>
        <w:t>Furthermore, the narrative that ASHPs will save customers money is frequently inaccurate under current utility rates. The April 2026 EEAC EM&amp;V Presentation (Slide 45) confirms that electricity in Massachusetts costs 4.55 times more than natural gas per MMBTU. To simply break even on operating costs against a standard 95% efficient gas furnace, a heat pump must maintain a Coefficient of Performance (COP) of roughly 4.3. While GSHPs operate in the 3.8 to 4.8 COP range during winter, standard ASHPs drop to a COP of 1.5 to 2.3 at 5°F. Consequently, many customers switching from gas to ASHP experience significant bill increases during the coldest months.</w:t>
      </w:r>
    </w:p>
    <w:p>
      <w:pPr>
        <w:pStyle w:val="Heading1"/>
        <w:spacing w:before="200" w:after="80" w:line="252" w:lineRule="auto"/>
      </w:pPr>
      <w:r>
        <w:t>Why This Comment</w:t>
      </w:r>
    </w:p>
    <w:p>
      <w:pPr>
        <w:spacing w:after="80" w:line="252" w:lineRule="auto"/>
      </w:pPr>
      <w:r>
        <w:rPr>
          <w:sz w:val="21"/>
        </w:rPr>
        <w:t>The 2028–2030 Mass Save Plan will be built under unprecedented budget pressure. The DPU approved $4.5 billion for 2025–2027, but H.5151 proposes to cut approximately $1 billion from the remaining term. Even without legislative cuts, the real purchasing power of the program budget is shrinking: the refrigerant transition from R-410A to A2L alternatives is raising equipment costs, material and labor inflation continues, and contractor pricing trends documented by the EEAC Consultant Team show retail installed costs outpacing CPI. The 2030 greenhouse gas reduction mandate has not been reduced.</w:t>
      </w:r>
    </w:p>
    <w:p>
      <w:pPr>
        <w:spacing w:after="80" w:line="252" w:lineRule="auto"/>
      </w:pPr>
      <w:r>
        <w:rPr>
          <w:sz w:val="21"/>
        </w:rPr>
        <w:t>This creates a simple arithmetic problem: the program must deliver the same or greater climate and customer outcomes with fewer real dollars per measure. The only way to close that gap is to direct every dollar toward the measures and pathways that produce the most CO2 reduction, the most durable customer savings, and the least collateral cost to the grid—per dollar spent. That is the purpose of this comment.</w:t>
      </w:r>
    </w:p>
    <w:p>
      <w:pPr>
        <w:spacing w:after="80" w:line="252" w:lineRule="auto"/>
      </w:pPr>
      <w:r>
        <w:rPr>
          <w:sz w:val="21"/>
        </w:rPr>
        <w:t>There is also a second-order fiscal question the 2028–2030 Plan should address. Every dollar spent on a heating electrification pathway that increases winter coincident peak creates downstream distribution and capacity costs recovered through delivery rates paid by all ratepayers. If those costs could be avoided by directing the same incentive dollar toward a lower-peak pathway, the avoided grid investment represents real savings that could be redirected—either to reduce ratepayer burden or to expand Mass Save support for low-income and environmental justice communities that most need affordable clean energy access. This comment identifies where those savings exist and recommends how the next Plan can capture them.</w:t>
      </w:r>
    </w:p>
    <w:p>
      <w:pPr>
        <w:pStyle w:val="Heading1"/>
        <w:spacing w:before="200" w:after="80" w:line="252" w:lineRule="auto"/>
      </w:pPr>
      <w:r>
        <w:t>1. Executive Summary</w:t>
      </w:r>
    </w:p>
    <w:p>
      <w:pPr>
        <w:spacing w:after="80" w:line="252" w:lineRule="auto"/>
      </w:pPr>
      <w:r>
        <w:rPr>
          <w:sz w:val="21"/>
        </w:rPr>
        <w:t>The 2028-2030 Mass Save Plan should move from installation-count incentives toward measured outcomes: verified CO2 reduction, durable customer bill savings, winter coincident peak impact, avoided distribution cost, customer satisfaction, and equitable access. This requires a technology- and segment-specific framework rather than a generic “heat pump” framework.</w:t>
      </w:r>
    </w:p>
    <w:p>
      <w:pPr>
        <w:spacing w:after="80" w:line="252" w:lineRule="auto"/>
      </w:pPr>
      <w:r>
        <w:rPr>
          <w:sz w:val="21"/>
        </w:rPr>
        <w:t>The most important correction is engineering-based. At Massachusetts winter design conditions, many ASHP systems experience both lower COP and reduced delivered capacity. The missing heating capacity is commonly supplied by electric resistance strips at COP 1.0. Therefore, the customer bill impact and grid impact of ASHP electrification must be calculated as compressor input plus resistance backup, not compressor COP alone.</w:t>
      </w:r>
    </w:p>
    <w:p>
      <w:pPr>
        <w:spacing w:after="80" w:line="252" w:lineRule="auto"/>
      </w:pPr>
      <w:r>
        <w:rPr>
          <w:sz w:val="21"/>
        </w:rPr>
        <w:t>This comment does not argue that ASHPs should be removed from Mass Save. ASHPs are appropriate in many applications, especially small, tight, low-load buildings, delivered-fuel displacements, partial-load applications, and high-performing cold-climate systems that can maintain design capacity without resistance backup. The recommendation is that Mass Save allocate incentives based on measured outcomes and building segment, with GSHPs, shared loops, and TENs receiving higher priority where they deliver superior lifecycle value and lower winter peak.</w:t>
      </w:r>
    </w:p>
    <w:p>
      <w:pPr>
        <w:pStyle w:val="Heading1"/>
        <w:spacing w:before="200" w:after="80" w:line="252" w:lineRule="auto"/>
      </w:pPr>
      <w:r>
        <w:t>2. The Core Engineering Issue: Cold-Weather Capacity and Backup Heat</w:t>
      </w:r>
    </w:p>
    <w:p>
      <w:pPr>
        <w:spacing w:after="80" w:line="252" w:lineRule="auto"/>
      </w:pPr>
      <w:r>
        <w:rPr>
          <w:sz w:val="21"/>
        </w:rPr>
        <w:t>A Mass Save incentive framework based only on nominal heat-pump capacity or seasonal efficiency can miss the most important customer and grid outcome: the electric demand required to keep the building warm at 5°F. The correct design-day calculation is:</w:t>
      </w:r>
    </w:p>
    <w:p>
      <w:pPr>
        <w:spacing w:after="80" w:line="252" w:lineRule="auto"/>
      </w:pPr>
      <w:r>
        <w:rPr>
          <w:rFonts w:ascii="Aptos" w:hAnsi="Aptos"/>
          <w:sz w:val="20"/>
        </w:rPr>
        <w:t>ASHP design-day kW = compressor input at 5°F + resistance-strip makeup kW + fan power + net defrost-cycle impact + controls load.</w:t>
      </w:r>
    </w:p>
    <w:p>
      <w:pPr>
        <w:spacing w:after="80" w:line="252" w:lineRule="auto"/>
      </w:pPr>
      <w:r>
        <w:rPr>
          <w:sz w:val="21"/>
        </w:rPr>
        <w:t>This matters because an ASHP can have a published COP around 1.5-2.0 at 5°F while simultaneously delivering only 50-70% of the required building load. The remaining load is then served by resistance heat at COP 1.0. For customers, this creates bill risk. For the grid, it creates coincident winter peak risk.</w:t>
      </w:r>
    </w:p>
    <w:p>
      <w:pPr>
        <w:spacing w:after="80" w:line="252" w:lineRule="auto"/>
      </w:pPr>
      <w:r>
        <w:rPr>
          <w:rFonts w:ascii="Aptos" w:hAnsi="Aptos"/>
          <w:b/>
          <w:sz w:val="20"/>
        </w:rPr>
        <w:t>Defrost-cycle correction:</w:t>
      </w:r>
      <w:r>
        <w:rPr>
          <w:rFonts w:ascii="Aptos" w:hAnsi="Aptos"/>
          <w:sz w:val="20"/>
        </w:rPr>
        <w:t xml:space="preserve"> The screening example below remains conservative because it includes low-temperature capacity loss and resistance makeup but does not assign an additional numerical penalty for defrost cycles. In cold, damp weather, defrost operation can temporarily reduce net heating output and increase auxiliary heat use. Mass Save screening should therefore request low-temperature capacity, COP at maximum capacity, auxiliary heat configuration, defrost-control type, and measured winter kW where available.</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015"/>
            <w:shd w:fill="D9EAF7"/>
            <w:vAlign w:val="center"/>
          </w:tcPr>
          <w:p>
            <w:pPr>
              <w:spacing w:after="0"/>
            </w:pPr>
            <w:r>
              <w:rPr>
                <w:rFonts w:ascii="Aptos" w:hAnsi="Aptos"/>
                <w:sz w:val="17"/>
              </w:rPr>
            </w:r>
            <w:r>
              <w:rPr>
                <w:rFonts w:ascii="Aptos" w:hAnsi="Aptos"/>
                <w:b/>
                <w:sz w:val="16"/>
              </w:rPr>
              <w:t>Illustrative 5°F case</w:t>
            </w:r>
          </w:p>
        </w:tc>
        <w:tc>
          <w:tcPr>
            <w:tcW w:type="dxa" w:w="2592"/>
            <w:shd w:fill="D9EAF7"/>
            <w:vAlign w:val="center"/>
          </w:tcPr>
          <w:p>
            <w:pPr>
              <w:spacing w:after="0"/>
            </w:pPr>
            <w:r>
              <w:rPr>
                <w:rFonts w:ascii="Aptos" w:hAnsi="Aptos"/>
                <w:sz w:val="17"/>
              </w:rPr>
            </w:r>
            <w:r>
              <w:rPr>
                <w:rFonts w:ascii="Aptos" w:hAnsi="Aptos"/>
                <w:b/>
                <w:sz w:val="16"/>
              </w:rPr>
              <w:t>ASHP with capacity degradation</w:t>
            </w:r>
          </w:p>
        </w:tc>
        <w:tc>
          <w:tcPr>
            <w:tcW w:type="dxa" w:w="2232"/>
            <w:shd w:fill="D9EAF7"/>
            <w:vAlign w:val="center"/>
          </w:tcPr>
          <w:p>
            <w:pPr>
              <w:spacing w:after="0"/>
            </w:pPr>
            <w:r>
              <w:rPr>
                <w:rFonts w:ascii="Aptos" w:hAnsi="Aptos"/>
                <w:sz w:val="17"/>
              </w:rPr>
            </w:r>
            <w:r>
              <w:rPr>
                <w:rFonts w:ascii="Aptos" w:hAnsi="Aptos"/>
                <w:b/>
                <w:sz w:val="16"/>
              </w:rPr>
              <w:t>Properly sized GSHP</w:t>
            </w:r>
          </w:p>
        </w:tc>
        <w:tc>
          <w:tcPr>
            <w:tcW w:type="dxa" w:w="3240"/>
            <w:shd w:fill="D9EAF7"/>
            <w:vAlign w:val="center"/>
          </w:tcPr>
          <w:p>
            <w:pPr>
              <w:spacing w:after="0"/>
            </w:pPr>
            <w:r>
              <w:rPr>
                <w:rFonts w:ascii="Aptos" w:hAnsi="Aptos"/>
                <w:sz w:val="17"/>
              </w:rPr>
            </w:r>
            <w:r>
              <w:rPr>
                <w:rFonts w:ascii="Aptos" w:hAnsi="Aptos"/>
                <w:b/>
                <w:sz w:val="16"/>
              </w:rPr>
              <w:t>Mass Save implication</w:t>
            </w:r>
          </w:p>
        </w:tc>
      </w:tr>
      <w:tr>
        <w:tc>
          <w:tcPr>
            <w:tcW w:type="dxa" w:w="2015"/>
            <w:vAlign w:val="top"/>
          </w:tcPr>
          <w:p>
            <w:pPr>
              <w:spacing w:after="0"/>
            </w:pPr>
            <w:r>
              <w:rPr>
                <w:rFonts w:ascii="Aptos" w:hAnsi="Aptos"/>
                <w:sz w:val="17"/>
              </w:rPr>
            </w:r>
            <w:r>
              <w:rPr>
                <w:rFonts w:ascii="Aptos" w:hAnsi="Aptos"/>
                <w:b w:val="0"/>
                <w:sz w:val="16"/>
              </w:rPr>
              <w:t>Building design load</w:t>
            </w:r>
          </w:p>
        </w:tc>
        <w:tc>
          <w:tcPr>
            <w:tcW w:type="dxa" w:w="2592"/>
            <w:vAlign w:val="top"/>
          </w:tcPr>
          <w:p>
            <w:pPr>
              <w:spacing w:after="0"/>
            </w:pPr>
            <w:r>
              <w:rPr>
                <w:rFonts w:ascii="Aptos" w:hAnsi="Aptos"/>
                <w:sz w:val="17"/>
              </w:rPr>
            </w:r>
            <w:r>
              <w:rPr>
                <w:rFonts w:ascii="Aptos" w:hAnsi="Aptos"/>
                <w:b w:val="0"/>
                <w:sz w:val="16"/>
              </w:rPr>
              <w:t>60,000 Btu/h</w:t>
            </w:r>
          </w:p>
        </w:tc>
        <w:tc>
          <w:tcPr>
            <w:tcW w:type="dxa" w:w="2232"/>
            <w:vAlign w:val="top"/>
          </w:tcPr>
          <w:p>
            <w:pPr>
              <w:spacing w:after="0"/>
            </w:pPr>
            <w:r>
              <w:rPr>
                <w:rFonts w:ascii="Aptos" w:hAnsi="Aptos"/>
                <w:sz w:val="17"/>
              </w:rPr>
            </w:r>
            <w:r>
              <w:rPr>
                <w:rFonts w:ascii="Aptos" w:hAnsi="Aptos"/>
                <w:b w:val="0"/>
                <w:sz w:val="16"/>
              </w:rPr>
              <w:t>60,000 Btu/h</w:t>
            </w:r>
          </w:p>
        </w:tc>
        <w:tc>
          <w:tcPr>
            <w:tcW w:type="dxa" w:w="3240"/>
            <w:vAlign w:val="top"/>
          </w:tcPr>
          <w:p>
            <w:pPr>
              <w:spacing w:after="0"/>
            </w:pPr>
            <w:r>
              <w:rPr>
                <w:rFonts w:ascii="Aptos" w:hAnsi="Aptos"/>
                <w:sz w:val="17"/>
              </w:rPr>
            </w:r>
            <w:r>
              <w:rPr>
                <w:rFonts w:ascii="Aptos" w:hAnsi="Aptos"/>
                <w:b w:val="0"/>
                <w:sz w:val="16"/>
              </w:rPr>
              <w:t>Same customer comfort requirement.</w:t>
            </w:r>
          </w:p>
        </w:tc>
      </w:tr>
      <w:tr>
        <w:tc>
          <w:tcPr>
            <w:tcW w:type="dxa" w:w="2015"/>
            <w:vAlign w:val="top"/>
          </w:tcPr>
          <w:p>
            <w:pPr>
              <w:spacing w:after="0"/>
            </w:pPr>
            <w:r>
              <w:rPr>
                <w:rFonts w:ascii="Aptos" w:hAnsi="Aptos"/>
                <w:sz w:val="17"/>
              </w:rPr>
            </w:r>
            <w:r>
              <w:rPr>
                <w:rFonts w:ascii="Aptos" w:hAnsi="Aptos"/>
                <w:b w:val="0"/>
                <w:sz w:val="16"/>
              </w:rPr>
              <w:t>Heat-pump delivered capacity at 5°F</w:t>
            </w:r>
          </w:p>
        </w:tc>
        <w:tc>
          <w:tcPr>
            <w:tcW w:type="dxa" w:w="2592"/>
            <w:vAlign w:val="top"/>
          </w:tcPr>
          <w:p>
            <w:pPr>
              <w:spacing w:after="0"/>
            </w:pPr>
            <w:r>
              <w:rPr>
                <w:rFonts w:ascii="Aptos" w:hAnsi="Aptos"/>
                <w:sz w:val="17"/>
              </w:rPr>
            </w:r>
            <w:r>
              <w:rPr>
                <w:rFonts w:ascii="Aptos" w:hAnsi="Aptos"/>
                <w:b w:val="0"/>
                <w:sz w:val="16"/>
              </w:rPr>
              <w:t>36,000-42,000 Btu/h if 60-70% of load is met by compressor</w:t>
            </w:r>
          </w:p>
        </w:tc>
        <w:tc>
          <w:tcPr>
            <w:tcW w:type="dxa" w:w="2232"/>
            <w:vAlign w:val="top"/>
          </w:tcPr>
          <w:p>
            <w:pPr>
              <w:spacing w:after="0"/>
            </w:pPr>
            <w:r>
              <w:rPr>
                <w:rFonts w:ascii="Aptos" w:hAnsi="Aptos"/>
                <w:sz w:val="17"/>
              </w:rPr>
            </w:r>
            <w:r>
              <w:rPr>
                <w:rFonts w:ascii="Aptos" w:hAnsi="Aptos"/>
                <w:b w:val="0"/>
                <w:sz w:val="16"/>
              </w:rPr>
              <w:t>60,000 Btu/h if designed to load</w:t>
            </w:r>
          </w:p>
        </w:tc>
        <w:tc>
          <w:tcPr>
            <w:tcW w:type="dxa" w:w="3240"/>
            <w:vAlign w:val="top"/>
          </w:tcPr>
          <w:p>
            <w:pPr>
              <w:spacing w:after="0"/>
            </w:pPr>
            <w:r>
              <w:rPr>
                <w:rFonts w:ascii="Aptos" w:hAnsi="Aptos"/>
                <w:sz w:val="17"/>
              </w:rPr>
            </w:r>
            <w:r>
              <w:rPr>
                <w:rFonts w:ascii="Aptos" w:hAnsi="Aptos"/>
                <w:b w:val="0"/>
                <w:sz w:val="16"/>
              </w:rPr>
              <w:t>Capacity must be reported separately from COP.</w:t>
            </w:r>
          </w:p>
        </w:tc>
      </w:tr>
      <w:tr>
        <w:tc>
          <w:tcPr>
            <w:tcW w:type="dxa" w:w="2015"/>
            <w:vAlign w:val="top"/>
          </w:tcPr>
          <w:p>
            <w:pPr>
              <w:spacing w:after="0"/>
            </w:pPr>
            <w:r>
              <w:rPr>
                <w:rFonts w:ascii="Aptos" w:hAnsi="Aptos"/>
                <w:sz w:val="17"/>
              </w:rPr>
            </w:r>
            <w:r>
              <w:rPr>
                <w:rFonts w:ascii="Aptos" w:hAnsi="Aptos"/>
                <w:b w:val="0"/>
                <w:sz w:val="16"/>
              </w:rPr>
              <w:t>Total design-day demand</w:t>
            </w:r>
          </w:p>
        </w:tc>
        <w:tc>
          <w:tcPr>
            <w:tcW w:type="dxa" w:w="2592"/>
            <w:vAlign w:val="top"/>
          </w:tcPr>
          <w:p>
            <w:pPr>
              <w:spacing w:after="0"/>
            </w:pPr>
            <w:r>
              <w:rPr>
                <w:rFonts w:ascii="Aptos" w:hAnsi="Aptos"/>
                <w:sz w:val="17"/>
              </w:rPr>
            </w:r>
            <w:r>
              <w:rPr>
                <w:rFonts w:ascii="Aptos" w:hAnsi="Aptos"/>
                <w:b w:val="0"/>
                <w:sz w:val="16"/>
              </w:rPr>
              <w:t>~11.5-14.2 kW plus fan/defrost effects</w:t>
            </w:r>
          </w:p>
        </w:tc>
        <w:tc>
          <w:tcPr>
            <w:tcW w:type="dxa" w:w="2232"/>
            <w:vAlign w:val="top"/>
          </w:tcPr>
          <w:p>
            <w:pPr>
              <w:spacing w:after="0"/>
            </w:pPr>
            <w:r>
              <w:rPr>
                <w:rFonts w:ascii="Aptos" w:hAnsi="Aptos"/>
                <w:sz w:val="17"/>
              </w:rPr>
            </w:r>
            <w:r>
              <w:rPr>
                <w:rFonts w:ascii="Aptos" w:hAnsi="Aptos"/>
                <w:b w:val="0"/>
                <w:sz w:val="16"/>
              </w:rPr>
              <w:t>~4.2-5.2 kW including pump allowance</w:t>
            </w:r>
          </w:p>
        </w:tc>
        <w:tc>
          <w:tcPr>
            <w:tcW w:type="dxa" w:w="3240"/>
            <w:vAlign w:val="top"/>
          </w:tcPr>
          <w:p>
            <w:pPr>
              <w:spacing w:after="0"/>
            </w:pPr>
            <w:r>
              <w:rPr>
                <w:rFonts w:ascii="Aptos" w:hAnsi="Aptos"/>
                <w:sz w:val="17"/>
              </w:rPr>
            </w:r>
            <w:r>
              <w:rPr>
                <w:rFonts w:ascii="Aptos" w:hAnsi="Aptos"/>
                <w:b w:val="0"/>
                <w:sz w:val="16"/>
              </w:rPr>
              <w:t>Incentives should reflect winter peak, not only installation count.</w:t>
            </w:r>
          </w:p>
        </w:tc>
      </w:tr>
      <w:tr>
        <w:tc>
          <w:tcPr>
            <w:tcW w:type="dxa" w:w="2015"/>
            <w:vAlign w:val="top"/>
          </w:tcPr>
          <w:p>
            <w:pPr>
              <w:spacing w:after="0"/>
            </w:pPr>
            <w:r>
              <w:rPr>
                <w:rFonts w:ascii="Aptos" w:hAnsi="Aptos"/>
                <w:sz w:val="17"/>
              </w:rPr>
            </w:r>
            <w:r>
              <w:rPr>
                <w:rFonts w:ascii="Aptos" w:hAnsi="Aptos"/>
                <w:b w:val="0"/>
                <w:sz w:val="16"/>
              </w:rPr>
              <w:t>Compressor COP</w:t>
            </w:r>
          </w:p>
        </w:tc>
        <w:tc>
          <w:tcPr>
            <w:tcW w:type="dxa" w:w="2592"/>
            <w:vAlign w:val="top"/>
          </w:tcPr>
          <w:p>
            <w:pPr>
              <w:spacing w:after="0"/>
            </w:pPr>
            <w:r>
              <w:rPr>
                <w:rFonts w:ascii="Aptos" w:hAnsi="Aptos"/>
                <w:sz w:val="17"/>
              </w:rPr>
            </w:r>
            <w:r>
              <w:rPr>
                <w:rFonts w:ascii="Aptos" w:hAnsi="Aptos"/>
                <w:b w:val="0"/>
                <w:sz w:val="16"/>
              </w:rPr>
              <w:t>~1.7 at 5°F</w:t>
            </w:r>
          </w:p>
        </w:tc>
        <w:tc>
          <w:tcPr>
            <w:tcW w:type="dxa" w:w="2232"/>
            <w:vAlign w:val="top"/>
          </w:tcPr>
          <w:p>
            <w:pPr>
              <w:spacing w:after="0"/>
            </w:pPr>
            <w:r>
              <w:rPr>
                <w:rFonts w:ascii="Aptos" w:hAnsi="Aptos"/>
                <w:sz w:val="17"/>
              </w:rPr>
            </w:r>
            <w:r>
              <w:rPr>
                <w:rFonts w:ascii="Aptos" w:hAnsi="Aptos"/>
                <w:b w:val="0"/>
                <w:sz w:val="16"/>
              </w:rPr>
              <w:t>~4.0-4.5</w:t>
            </w:r>
          </w:p>
        </w:tc>
        <w:tc>
          <w:tcPr>
            <w:tcW w:type="dxa" w:w="3240"/>
            <w:vAlign w:val="top"/>
          </w:tcPr>
          <w:p>
            <w:pPr>
              <w:spacing w:after="0"/>
            </w:pPr>
            <w:r>
              <w:rPr>
                <w:rFonts w:ascii="Aptos" w:hAnsi="Aptos"/>
                <w:sz w:val="17"/>
              </w:rPr>
            </w:r>
            <w:r>
              <w:rPr>
                <w:rFonts w:ascii="Aptos" w:hAnsi="Aptos"/>
                <w:b w:val="0"/>
                <w:sz w:val="16"/>
              </w:rPr>
              <w:t>Higher COP and stable source temperature reduce customer bill risk.</w:t>
            </w:r>
          </w:p>
        </w:tc>
      </w:tr>
      <w:tr>
        <w:tc>
          <w:tcPr>
            <w:tcW w:type="dxa" w:w="2015"/>
            <w:vAlign w:val="top"/>
          </w:tcPr>
          <w:p>
            <w:r>
              <w:rPr>
                <w:rFonts w:ascii="Aptos" w:hAnsi="Aptos"/>
                <w:sz w:val="17"/>
              </w:rPr>
            </w:r>
            <w:r>
              <w:rPr>
                <w:rFonts w:ascii="Aptos" w:hAnsi="Aptos"/>
                <w:b w:val="0"/>
                <w:sz w:val="18"/>
              </w:rPr>
              <w:t>Defrost/fan/controls effect</w:t>
            </w:r>
          </w:p>
        </w:tc>
        <w:tc>
          <w:tcPr>
            <w:tcW w:type="dxa" w:w="2592"/>
            <w:vAlign w:val="top"/>
          </w:tcPr>
          <w:p>
            <w:r>
              <w:rPr>
                <w:rFonts w:ascii="Aptos" w:hAnsi="Aptos"/>
                <w:sz w:val="17"/>
              </w:rPr>
            </w:r>
            <w:r>
              <w:rPr>
                <w:rFonts w:ascii="Aptos" w:hAnsi="Aptos"/>
                <w:b w:val="0"/>
                <w:sz w:val="18"/>
              </w:rPr>
              <w:t>Not separately quantified in this screening subtotal; can increase net winter kW and auxiliary heat during cold, damp conditions.</w:t>
            </w:r>
          </w:p>
        </w:tc>
        <w:tc>
          <w:tcPr>
            <w:tcW w:type="dxa" w:w="2232"/>
            <w:vAlign w:val="top"/>
          </w:tcPr>
          <w:p>
            <w:r>
              <w:rPr>
                <w:rFonts w:ascii="Aptos" w:hAnsi="Aptos"/>
                <w:sz w:val="17"/>
              </w:rPr>
            </w:r>
            <w:r>
              <w:rPr>
                <w:rFonts w:ascii="Aptos" w:hAnsi="Aptos"/>
                <w:b w:val="0"/>
                <w:sz w:val="18"/>
              </w:rPr>
              <w:t>No outdoor-coil defrost cycle; fan and loop-pump power should be reported explicitly.</w:t>
            </w:r>
          </w:p>
        </w:tc>
        <w:tc>
          <w:tcPr>
            <w:tcW w:type="dxa" w:w="3240"/>
            <w:vAlign w:val="top"/>
          </w:tcPr>
          <w:p>
            <w:r>
              <w:rPr>
                <w:rFonts w:ascii="Aptos" w:hAnsi="Aptos"/>
                <w:sz w:val="17"/>
              </w:rPr>
            </w:r>
            <w:r>
              <w:rPr>
                <w:rFonts w:ascii="Aptos" w:hAnsi="Aptos"/>
                <w:b w:val="0"/>
                <w:sz w:val="18"/>
              </w:rPr>
              <w:t>The ASHP example is conservative if defrost and controls are not separately modeled.</w:t>
            </w:r>
          </w:p>
        </w:tc>
      </w:tr>
      <w:tr>
        <w:tc>
          <w:tcPr>
            <w:tcW w:type="dxa" w:w="2015"/>
            <w:vAlign w:val="top"/>
          </w:tcPr>
          <w:p>
            <w:pPr>
              <w:spacing w:after="0"/>
            </w:pPr>
            <w:r>
              <w:rPr>
                <w:rFonts w:ascii="Aptos" w:hAnsi="Aptos"/>
                <w:sz w:val="17"/>
              </w:rPr>
            </w:r>
            <w:r>
              <w:rPr>
                <w:rFonts w:ascii="Aptos" w:hAnsi="Aptos"/>
                <w:b w:val="0"/>
                <w:sz w:val="16"/>
              </w:rPr>
              <w:t>Total design-day demand</w:t>
            </w:r>
          </w:p>
        </w:tc>
        <w:tc>
          <w:tcPr>
            <w:tcW w:type="dxa" w:w="2592"/>
            <w:vAlign w:val="top"/>
          </w:tcPr>
          <w:p>
            <w:pPr>
              <w:spacing w:after="0"/>
            </w:pPr>
            <w:r>
              <w:rPr>
                <w:rFonts w:ascii="Aptos" w:hAnsi="Aptos"/>
                <w:sz w:val="17"/>
              </w:rPr>
            </w:r>
            <w:r>
              <w:rPr>
                <w:rFonts w:ascii="Aptos" w:hAnsi="Aptos"/>
                <w:b w:val="0"/>
                <w:sz w:val="16"/>
              </w:rPr>
              <w:t>~11.5-14.2 kW plus fan/defrost effects</w:t>
            </w:r>
          </w:p>
        </w:tc>
        <w:tc>
          <w:tcPr>
            <w:tcW w:type="dxa" w:w="2232"/>
            <w:vAlign w:val="top"/>
          </w:tcPr>
          <w:p>
            <w:pPr>
              <w:spacing w:after="0"/>
            </w:pPr>
            <w:r>
              <w:rPr>
                <w:rFonts w:ascii="Aptos" w:hAnsi="Aptos"/>
                <w:sz w:val="17"/>
              </w:rPr>
            </w:r>
            <w:r>
              <w:rPr>
                <w:rFonts w:ascii="Aptos" w:hAnsi="Aptos"/>
                <w:b w:val="0"/>
                <w:sz w:val="16"/>
              </w:rPr>
              <w:t>~4.2-5.2 kW including pump allowance</w:t>
            </w:r>
          </w:p>
        </w:tc>
        <w:tc>
          <w:tcPr>
            <w:tcW w:type="dxa" w:w="3240"/>
            <w:vAlign w:val="top"/>
          </w:tcPr>
          <w:p>
            <w:pPr>
              <w:spacing w:after="0"/>
            </w:pPr>
            <w:r>
              <w:rPr>
                <w:rFonts w:ascii="Aptos" w:hAnsi="Aptos"/>
                <w:sz w:val="17"/>
              </w:rPr>
            </w:r>
            <w:r>
              <w:rPr>
                <w:rFonts w:ascii="Aptos" w:hAnsi="Aptos"/>
                <w:b w:val="0"/>
                <w:sz w:val="16"/>
              </w:rPr>
              <w:t>Incentives should reflect winter peak, not only installation count.</w:t>
            </w:r>
          </w:p>
        </w:tc>
      </w:tr>
    </w:tbl>
    <w:p>
      <w:pPr>
        <w:spacing w:after="80" w:line="252" w:lineRule="auto"/>
      </w:pPr>
    </w:p>
    <w:p>
      <w:pPr>
        <w:spacing w:after="80" w:line="252" w:lineRule="auto"/>
      </w:pPr>
      <w:r>
        <w:rPr>
          <w:sz w:val="21"/>
        </w:rPr>
        <w:t>The exact value will vary by home and system. This is why the 2028-2030 Plan should require reporting of low-temperature delivered capacity, low-temperature COP, backup type, switchover/lockout settings, and measured backup operation where feasible.</w:t>
      </w:r>
    </w:p>
    <w:p>
      <w:pPr>
        <w:spacing w:after="80" w:line="252" w:lineRule="auto"/>
      </w:pPr>
      <w:r>
        <w:rPr>
          <w:sz w:val="21"/>
        </w:rPr>
        <w:t>In practice, contractors replacing fossil heating systems in homes with design loads above 40,000–60,000 BTU/h commonly install electric resistance backup sized at 10–20 kW, depending on system tonnage and climate zone. In Massachusetts at 5°F design temperature, this is standard engineering practice for ducted ASHP installations—not poor workmanship. The U.S. Department of Energy notes that strip heat controls are “one of the most commonly violated installation practices for heat pumps,” meaning backup heat frequently activates at outdoor temperatures well above the intended switchover point. The installed backup capacity and its actual operating patterns should be included in Mass Save peak-demand screening and in EDC distribution planning.</w:t>
      </w:r>
    </w:p>
    <w:p>
      <w:pPr>
        <w:pStyle w:val="Heading2"/>
        <w:spacing w:after="80" w:line="252" w:lineRule="auto"/>
      </w:pPr>
      <w:r>
        <w:t>2.1 Variable-Capacity GSHP and Central Multi-Zone Design Should Be Treated as a Distinct System Class</w:t>
      </w:r>
    </w:p>
    <w:p>
      <w:pPr>
        <w:spacing w:after="80" w:line="252" w:lineRule="auto"/>
      </w:pPr>
      <w:r>
        <w:t>Mass Save screening should not treat all GSHP equipment as single-stage or two-stage technology. Best-available GSHP systems can combine an inverter-driven or variable-capacity compressor, variable-speed indoor fan, and variable-speed loop pump. These components allow the system to match building load across a broad operating range, from the manufacturer-reported minimum stable capacity up to full design capacity, rather than repeatedly cycling fixed stages.</w:t>
      </w:r>
    </w:p>
    <w:p>
      <w:pPr>
        <w:spacing w:after="80" w:line="252" w:lineRule="auto"/>
      </w:pPr>
      <w:r>
        <w:t>This distinction matters because most annual operating hours are not design-day hours. A variable-capacity GSHP can spend much of the year in a high-efficiency part-load operating zone, using stable ground-loop temperatures and reduced fan/pump power. The result is not only lower winter peak, but also improved annual kWh, comfort, humidity control, and customer bill durability.</w:t>
      </w:r>
    </w:p>
    <w:p>
      <w:pPr>
        <w:spacing w:after="80" w:line="252" w:lineRule="auto"/>
      </w:pPr>
      <w:r>
        <w:t>This also affects installed-cost discipline. In larger homes or multi-zone layouts, contractors may propose two or three smaller ASHP systems, multiple outdoor units, multiple compressors, and multiple air handlers. A central variable-capacity GSHP with multi-zone controls can sometimes deliver the same comfort outcome with one optimized plant, fewer compressors, lower lifecycle replacement exposure, and lower peak demand. The program should require enough design reporting to compare these architectures fairly.</w:t>
      </w:r>
    </w:p>
    <w:p>
      <w:pPr>
        <w:spacing w:after="80" w:line="252" w:lineRule="auto"/>
      </w:pPr>
      <w:r>
        <w:t>Therefore, Mass Save should distinguish fixed-speed, staged-capacity, and variable-capacity heat-pump systems in incentive screening, reporting, and EM&amp;V. The relevant question is not only the equipment label; it is the measured outcome: design-day delivered capacity, resistance-backup exposure, part-load efficiency, number of compressors, zoning strategy, and customer bill impact.</w:t>
      </w:r>
    </w:p>
    <w:p>
      <w:pPr/>
      <w:r>
        <w:t>The Mass Save program's own data reflects these technical realities. The April 2026 EEAC EM&amp;V Presentation reveals concerning trends for ASHPs: only 20% of whole-home central ducted ASHP users are 'extremely satisfied' with their heat during extreme cold (Slide 19), and 42% are dissatisfied (moderately or extremely) with their operating costs (Slide 20). In contrast, 62% of GSHP users are extremely satisfied with their heat, and 42% are extremely satisfied with operating costs. Additionally, the same presentation notes that contractor markups on ducted ASHPs in Massachusetts average 77%, compared to a national industry norm of roughly 40% (Slide 30), indicating that incentives are frequently absorbed by installers rather than benefiting ratepayers.</w:t>
      </w:r>
    </w:p>
    <w:p>
      <w:pPr>
        <w:pStyle w:val="Heading1"/>
        <w:spacing w:before="200" w:after="80" w:line="252" w:lineRule="auto"/>
      </w:pPr>
      <w:r>
        <w:t>3. Recommended Outcome Metrics for the 2028-2030 Plan</w:t>
      </w:r>
    </w:p>
    <w:p>
      <w:pPr>
        <w:spacing w:after="80" w:line="252" w:lineRule="auto"/>
      </w:pPr>
      <w:r>
        <w:rPr>
          <w:sz w:val="21"/>
        </w:rPr>
        <w:t>Mass Save should continue to support electrification, but the next plan should assign incentives according to outcome value, not technology label alone. The following metrics should be reported and used in screening:</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2088"/>
            <w:shd w:fill="D9EAF7"/>
            <w:vAlign w:val="center"/>
          </w:tcPr>
          <w:p>
            <w:pPr>
              <w:spacing w:after="0"/>
            </w:pPr>
            <w:r>
              <w:rPr>
                <w:rFonts w:ascii="Aptos" w:hAnsi="Aptos"/>
                <w:sz w:val="17"/>
              </w:rPr>
            </w:r>
            <w:r>
              <w:rPr>
                <w:rFonts w:ascii="Aptos" w:hAnsi="Aptos"/>
                <w:b/>
                <w:sz w:val="16"/>
              </w:rPr>
              <w:t>Metric</w:t>
            </w:r>
          </w:p>
        </w:tc>
        <w:tc>
          <w:tcPr>
            <w:tcW w:type="dxa" w:w="4031"/>
            <w:shd w:fill="D9EAF7"/>
            <w:vAlign w:val="center"/>
          </w:tcPr>
          <w:p>
            <w:pPr>
              <w:spacing w:after="0"/>
            </w:pPr>
            <w:r>
              <w:rPr>
                <w:rFonts w:ascii="Aptos" w:hAnsi="Aptos"/>
                <w:sz w:val="17"/>
              </w:rPr>
            </w:r>
            <w:r>
              <w:rPr>
                <w:rFonts w:ascii="Aptos" w:hAnsi="Aptos"/>
                <w:b/>
                <w:sz w:val="16"/>
              </w:rPr>
              <w:t>Why it matters</w:t>
            </w:r>
          </w:p>
        </w:tc>
        <w:tc>
          <w:tcPr>
            <w:tcW w:type="dxa" w:w="3960"/>
            <w:shd w:fill="D9EAF7"/>
            <w:vAlign w:val="center"/>
          </w:tcPr>
          <w:p>
            <w:pPr>
              <w:spacing w:after="0"/>
            </w:pPr>
            <w:r>
              <w:rPr>
                <w:rFonts w:ascii="Aptos" w:hAnsi="Aptos"/>
                <w:sz w:val="17"/>
              </w:rPr>
            </w:r>
            <w:r>
              <w:rPr>
                <w:rFonts w:ascii="Aptos" w:hAnsi="Aptos"/>
                <w:b/>
                <w:sz w:val="16"/>
              </w:rPr>
              <w:t>Recommended use in Mass Save</w:t>
            </w:r>
          </w:p>
        </w:tc>
      </w:tr>
      <w:tr>
        <w:tc>
          <w:tcPr>
            <w:tcW w:type="dxa" w:w="2088"/>
            <w:vAlign w:val="top"/>
          </w:tcPr>
          <w:p>
            <w:pPr>
              <w:spacing w:after="0"/>
            </w:pPr>
            <w:r>
              <w:rPr>
                <w:rFonts w:ascii="Aptos" w:hAnsi="Aptos"/>
                <w:sz w:val="17"/>
              </w:rPr>
            </w:r>
            <w:r>
              <w:rPr>
                <w:rFonts w:ascii="Aptos" w:hAnsi="Aptos"/>
                <w:b w:val="0"/>
                <w:sz w:val="16"/>
              </w:rPr>
              <w:t>Winter coincident peak kW</w:t>
            </w:r>
          </w:p>
        </w:tc>
        <w:tc>
          <w:tcPr>
            <w:tcW w:type="dxa" w:w="4031"/>
            <w:vAlign w:val="top"/>
          </w:tcPr>
          <w:p>
            <w:pPr>
              <w:spacing w:after="0"/>
            </w:pPr>
            <w:r>
              <w:rPr>
                <w:rFonts w:ascii="Aptos" w:hAnsi="Aptos"/>
                <w:sz w:val="17"/>
              </w:rPr>
            </w:r>
            <w:r>
              <w:rPr>
                <w:rFonts w:ascii="Aptos" w:hAnsi="Aptos"/>
                <w:b w:val="0"/>
                <w:sz w:val="16"/>
              </w:rPr>
              <w:t>Determines distribution capacity, transformer loading, ISO-NE capacity exposure, and delivery-rate pressure.</w:t>
            </w:r>
          </w:p>
        </w:tc>
        <w:tc>
          <w:tcPr>
            <w:tcW w:type="dxa" w:w="3960"/>
            <w:vAlign w:val="top"/>
          </w:tcPr>
          <w:p>
            <w:pPr>
              <w:spacing w:after="0"/>
            </w:pPr>
            <w:r>
              <w:rPr>
                <w:rFonts w:ascii="Aptos" w:hAnsi="Aptos"/>
                <w:sz w:val="17"/>
              </w:rPr>
            </w:r>
            <w:r>
              <w:rPr>
                <w:rFonts w:ascii="Aptos" w:hAnsi="Aptos"/>
                <w:b w:val="0"/>
                <w:sz w:val="16"/>
              </w:rPr>
              <w:t>Primary screening metric for heating electrification incentives.</w:t>
            </w:r>
          </w:p>
        </w:tc>
      </w:tr>
      <w:tr>
        <w:tc>
          <w:tcPr>
            <w:tcW w:type="dxa" w:w="2088"/>
            <w:vAlign w:val="top"/>
          </w:tcPr>
          <w:p>
            <w:pPr>
              <w:spacing w:after="0"/>
            </w:pPr>
            <w:r>
              <w:rPr>
                <w:rFonts w:ascii="Aptos" w:hAnsi="Aptos"/>
                <w:sz w:val="17"/>
              </w:rPr>
            </w:r>
            <w:r>
              <w:rPr>
                <w:rFonts w:ascii="Aptos" w:hAnsi="Aptos"/>
                <w:b w:val="0"/>
                <w:sz w:val="16"/>
              </w:rPr>
              <w:t>Design-day delivered capacity</w:t>
            </w:r>
          </w:p>
        </w:tc>
        <w:tc>
          <w:tcPr>
            <w:tcW w:type="dxa" w:w="4031"/>
            <w:vAlign w:val="top"/>
          </w:tcPr>
          <w:p>
            <w:pPr>
              <w:spacing w:after="0"/>
            </w:pPr>
            <w:r>
              <w:rPr>
                <w:rFonts w:ascii="Aptos" w:hAnsi="Aptos"/>
                <w:sz w:val="17"/>
              </w:rPr>
            </w:r>
            <w:r>
              <w:rPr>
                <w:rFonts w:ascii="Aptos" w:hAnsi="Aptos"/>
                <w:b w:val="0"/>
                <w:sz w:val="16"/>
              </w:rPr>
              <w:t>Determines whether backup heat is required at 5°F.</w:t>
            </w:r>
          </w:p>
        </w:tc>
        <w:tc>
          <w:tcPr>
            <w:tcW w:type="dxa" w:w="3960"/>
            <w:vAlign w:val="top"/>
          </w:tcPr>
          <w:p>
            <w:pPr>
              <w:spacing w:after="0"/>
            </w:pPr>
            <w:r>
              <w:rPr>
                <w:rFonts w:ascii="Aptos" w:hAnsi="Aptos"/>
                <w:sz w:val="17"/>
              </w:rPr>
            </w:r>
            <w:r>
              <w:rPr>
                <w:rFonts w:ascii="Aptos" w:hAnsi="Aptos"/>
                <w:b w:val="0"/>
                <w:sz w:val="16"/>
              </w:rPr>
              <w:t>Require reporting for ASHP and ccASHP systems.</w:t>
            </w:r>
          </w:p>
        </w:tc>
      </w:tr>
      <w:tr>
        <w:tc>
          <w:tcPr>
            <w:tcW w:type="dxa" w:w="2088"/>
            <w:vAlign w:val="top"/>
          </w:tcPr>
          <w:p>
            <w:pPr>
              <w:spacing w:after="0"/>
            </w:pPr>
            <w:r>
              <w:rPr>
                <w:rFonts w:ascii="Aptos" w:hAnsi="Aptos"/>
                <w:sz w:val="17"/>
              </w:rPr>
            </w:r>
            <w:r>
              <w:rPr>
                <w:rFonts w:ascii="Aptos" w:hAnsi="Aptos"/>
                <w:b w:val="0"/>
                <w:sz w:val="16"/>
              </w:rPr>
              <w:t>Backup heat use</w:t>
            </w:r>
          </w:p>
        </w:tc>
        <w:tc>
          <w:tcPr>
            <w:tcW w:type="dxa" w:w="4031"/>
            <w:vAlign w:val="top"/>
          </w:tcPr>
          <w:p>
            <w:pPr>
              <w:spacing w:after="0"/>
            </w:pPr>
            <w:r>
              <w:rPr>
                <w:rFonts w:ascii="Aptos" w:hAnsi="Aptos"/>
                <w:sz w:val="17"/>
              </w:rPr>
            </w:r>
            <w:r>
              <w:rPr>
                <w:rFonts w:ascii="Aptos" w:hAnsi="Aptos"/>
                <w:b w:val="0"/>
                <w:sz w:val="16"/>
              </w:rPr>
              <w:t>Electric strips can dominate peak demand and customer cost.</w:t>
            </w:r>
          </w:p>
        </w:tc>
        <w:tc>
          <w:tcPr>
            <w:tcW w:type="dxa" w:w="3960"/>
            <w:vAlign w:val="top"/>
          </w:tcPr>
          <w:p>
            <w:pPr>
              <w:spacing w:after="0"/>
            </w:pPr>
            <w:r>
              <w:rPr>
                <w:rFonts w:ascii="Aptos" w:hAnsi="Aptos"/>
                <w:sz w:val="17"/>
              </w:rPr>
            </w:r>
            <w:r>
              <w:rPr>
                <w:rFonts w:ascii="Aptos" w:hAnsi="Aptos"/>
                <w:b w:val="0"/>
                <w:sz w:val="16"/>
              </w:rPr>
              <w:t>Track backup type, lockout settings, and estimated or measured runtime.</w:t>
            </w:r>
          </w:p>
        </w:tc>
      </w:tr>
      <w:tr>
        <w:tc>
          <w:tcPr>
            <w:tcW w:type="dxa" w:w="2088"/>
            <w:vAlign w:val="top"/>
          </w:tcPr>
          <w:p>
            <w:pPr>
              <w:spacing w:after="0"/>
            </w:pPr>
            <w:r>
              <w:rPr>
                <w:rFonts w:ascii="Aptos" w:hAnsi="Aptos"/>
                <w:sz w:val="17"/>
              </w:rPr>
            </w:r>
            <w:r>
              <w:rPr>
                <w:rFonts w:ascii="Aptos" w:hAnsi="Aptos"/>
                <w:b w:val="0"/>
                <w:sz w:val="16"/>
              </w:rPr>
              <w:t>Customer bill durability</w:t>
            </w:r>
          </w:p>
        </w:tc>
        <w:tc>
          <w:tcPr>
            <w:tcW w:type="dxa" w:w="4031"/>
            <w:vAlign w:val="top"/>
          </w:tcPr>
          <w:p>
            <w:pPr>
              <w:spacing w:after="0"/>
            </w:pPr>
            <w:r>
              <w:rPr>
                <w:rFonts w:ascii="Aptos" w:hAnsi="Aptos"/>
                <w:sz w:val="17"/>
              </w:rPr>
            </w:r>
            <w:r>
              <w:rPr>
                <w:rFonts w:ascii="Aptos" w:hAnsi="Aptos"/>
                <w:b w:val="0"/>
                <w:sz w:val="16"/>
              </w:rPr>
              <w:t>A measure can reduce site fossil use but still expose customers to high electric delivery costs.</w:t>
            </w:r>
          </w:p>
        </w:tc>
        <w:tc>
          <w:tcPr>
            <w:tcW w:type="dxa" w:w="3960"/>
            <w:vAlign w:val="top"/>
          </w:tcPr>
          <w:p>
            <w:pPr>
              <w:spacing w:after="0"/>
            </w:pPr>
            <w:r>
              <w:rPr>
                <w:rFonts w:ascii="Aptos" w:hAnsi="Aptos"/>
                <w:sz w:val="17"/>
              </w:rPr>
            </w:r>
            <w:r>
              <w:rPr>
                <w:rFonts w:ascii="Aptos" w:hAnsi="Aptos"/>
                <w:b w:val="0"/>
                <w:sz w:val="16"/>
              </w:rPr>
              <w:t>Evaluate bill impact under projected electric and gas rates, not only first-year savings.</w:t>
            </w:r>
          </w:p>
        </w:tc>
      </w:tr>
      <w:tr>
        <w:tc>
          <w:tcPr>
            <w:tcW w:type="dxa" w:w="2088"/>
            <w:vAlign w:val="top"/>
          </w:tcPr>
          <w:p>
            <w:pPr>
              <w:spacing w:after="0"/>
            </w:pPr>
            <w:r>
              <w:rPr>
                <w:rFonts w:ascii="Aptos" w:hAnsi="Aptos"/>
                <w:sz w:val="17"/>
              </w:rPr>
            </w:r>
            <w:r>
              <w:rPr>
                <w:rFonts w:ascii="Aptos" w:hAnsi="Aptos"/>
                <w:b w:val="0"/>
                <w:sz w:val="16"/>
              </w:rPr>
              <w:t>Verified ACH50 reduction</w:t>
            </w:r>
          </w:p>
        </w:tc>
        <w:tc>
          <w:tcPr>
            <w:tcW w:type="dxa" w:w="4031"/>
            <w:vAlign w:val="top"/>
          </w:tcPr>
          <w:p>
            <w:pPr>
              <w:spacing w:after="0"/>
            </w:pPr>
            <w:r>
              <w:rPr>
                <w:rFonts w:ascii="Aptos" w:hAnsi="Aptos"/>
                <w:sz w:val="17"/>
              </w:rPr>
            </w:r>
            <w:r>
              <w:rPr>
                <w:rFonts w:ascii="Aptos" w:hAnsi="Aptos"/>
                <w:b w:val="0"/>
                <w:sz w:val="16"/>
              </w:rPr>
              <w:t>Infiltration can dominate heat loss in older homes and undermine insulation savings.</w:t>
            </w:r>
          </w:p>
        </w:tc>
        <w:tc>
          <w:tcPr>
            <w:tcW w:type="dxa" w:w="3960"/>
            <w:vAlign w:val="top"/>
          </w:tcPr>
          <w:p>
            <w:pPr>
              <w:spacing w:after="0"/>
            </w:pPr>
            <w:r>
              <w:rPr>
                <w:rFonts w:ascii="Aptos" w:hAnsi="Aptos"/>
                <w:sz w:val="17"/>
              </w:rPr>
            </w:r>
            <w:r>
              <w:rPr>
                <w:rFonts w:ascii="Aptos" w:hAnsi="Aptos"/>
                <w:b w:val="0"/>
                <w:sz w:val="16"/>
              </w:rPr>
              <w:t>Use blower-door outcomes as the primary weatherization quality metric.</w:t>
            </w:r>
          </w:p>
        </w:tc>
      </w:tr>
      <w:tr>
        <w:tc>
          <w:tcPr>
            <w:tcW w:type="dxa" w:w="2088"/>
            <w:vAlign w:val="top"/>
          </w:tcPr>
          <w:p>
            <w:pPr>
              <w:spacing w:after="0"/>
            </w:pPr>
            <w:r>
              <w:rPr>
                <w:rFonts w:ascii="Aptos" w:hAnsi="Aptos"/>
                <w:sz w:val="17"/>
              </w:rPr>
            </w:r>
            <w:r>
              <w:rPr>
                <w:rFonts w:ascii="Aptos" w:hAnsi="Aptos"/>
                <w:b w:val="0"/>
                <w:sz w:val="16"/>
              </w:rPr>
              <w:t>Lifecycle CO2 reduction</w:t>
            </w:r>
          </w:p>
        </w:tc>
        <w:tc>
          <w:tcPr>
            <w:tcW w:type="dxa" w:w="4031"/>
            <w:vAlign w:val="top"/>
          </w:tcPr>
          <w:p>
            <w:pPr>
              <w:spacing w:after="0"/>
            </w:pPr>
            <w:r>
              <w:rPr>
                <w:rFonts w:ascii="Aptos" w:hAnsi="Aptos"/>
                <w:sz w:val="17"/>
              </w:rPr>
            </w:r>
            <w:r>
              <w:rPr>
                <w:rFonts w:ascii="Aptos" w:hAnsi="Aptos"/>
                <w:b w:val="0"/>
                <w:sz w:val="16"/>
              </w:rPr>
              <w:t>Massachusetts needs durable emissions reductions through 2050.</w:t>
            </w:r>
          </w:p>
        </w:tc>
        <w:tc>
          <w:tcPr>
            <w:tcW w:type="dxa" w:w="3960"/>
            <w:vAlign w:val="top"/>
          </w:tcPr>
          <w:p>
            <w:pPr>
              <w:spacing w:after="0"/>
            </w:pPr>
            <w:r>
              <w:rPr>
                <w:rFonts w:ascii="Aptos" w:hAnsi="Aptos"/>
                <w:sz w:val="17"/>
              </w:rPr>
            </w:r>
            <w:r>
              <w:rPr>
                <w:rFonts w:ascii="Aptos" w:hAnsi="Aptos"/>
                <w:b w:val="0"/>
                <w:sz w:val="16"/>
              </w:rPr>
              <w:t>Rank measures by lifecycle cost per avoided ton of CO2e.</w:t>
            </w:r>
          </w:p>
        </w:tc>
      </w:tr>
      <w:tr>
        <w:tc>
          <w:tcPr>
            <w:tcW w:type="dxa" w:w="2088"/>
            <w:vAlign w:val="top"/>
          </w:tcPr>
          <w:p>
            <w:pPr>
              <w:spacing w:after="0"/>
            </w:pPr>
            <w:r>
              <w:rPr>
                <w:rFonts w:ascii="Aptos" w:hAnsi="Aptos"/>
                <w:sz w:val="17"/>
              </w:rPr>
            </w:r>
            <w:r>
              <w:rPr>
                <w:rFonts w:ascii="Aptos" w:hAnsi="Aptos"/>
                <w:b w:val="0"/>
                <w:sz w:val="16"/>
              </w:rPr>
              <w:t>Customer satisfaction and comfort</w:t>
            </w:r>
          </w:p>
        </w:tc>
        <w:tc>
          <w:tcPr>
            <w:tcW w:type="dxa" w:w="4031"/>
            <w:vAlign w:val="top"/>
          </w:tcPr>
          <w:p>
            <w:pPr>
              <w:spacing w:after="0"/>
            </w:pPr>
            <w:r>
              <w:rPr>
                <w:rFonts w:ascii="Aptos" w:hAnsi="Aptos"/>
                <w:sz w:val="17"/>
              </w:rPr>
            </w:r>
            <w:r>
              <w:rPr>
                <w:rFonts w:ascii="Aptos" w:hAnsi="Aptos"/>
                <w:b w:val="0"/>
                <w:sz w:val="16"/>
              </w:rPr>
              <w:t>Adoption depends on trust, comfort, and long-term operating cost.</w:t>
            </w:r>
          </w:p>
        </w:tc>
        <w:tc>
          <w:tcPr>
            <w:tcW w:type="dxa" w:w="3960"/>
            <w:vAlign w:val="top"/>
          </w:tcPr>
          <w:p>
            <w:pPr>
              <w:spacing w:after="0"/>
            </w:pPr>
            <w:r>
              <w:rPr>
                <w:rFonts w:ascii="Aptos" w:hAnsi="Aptos"/>
                <w:sz w:val="17"/>
              </w:rPr>
            </w:r>
            <w:r>
              <w:rPr>
                <w:rFonts w:ascii="Aptos" w:hAnsi="Aptos"/>
                <w:b w:val="0"/>
                <w:sz w:val="16"/>
              </w:rPr>
              <w:t>Track by technology pathway and building segment.</w:t>
            </w:r>
          </w:p>
        </w:tc>
      </w:tr>
    </w:tbl>
    <w:p>
      <w:pPr>
        <w:spacing w:after="80" w:line="252" w:lineRule="auto"/>
      </w:pPr>
    </w:p>
    <w:p>
      <w:pPr>
        <w:spacing w:after="80" w:line="252" w:lineRule="auto"/>
      </w:pPr>
      <w:r>
        <w:t>Additional system-design metric for 2028-2030: variable-capacity and zoning architecture. Incentive applications for larger or multi-zone homes should report compressor type, modulation/staging, fan control, pump control, number of outdoor units or compressors, number of air handlers, zoning approach, and backup heat controls. This will allow the program to identify when a central variable-capacity GSHP or other optimized central solution produces a better lifecycle outcome than multiple small systems installed to chase zones.</w:t>
      </w:r>
    </w:p>
    <w:p>
      <w:pPr/>
      <w:r>
        <w:t>With the DPU-approved 2025-2027 energy efficiency budget capped at $4.5 billion and legislative proposals like H.5151 threatening a $1 billion cut, Mass Save cannot afford to subsidize pathways that increase long-term grid costs and customer energy burdens. The planning process must differentiate technologies based on their actual grid and ratepayer impacts.</w:t>
      </w:r>
    </w:p>
    <w:p>
      <w:pPr>
        <w:pStyle w:val="Heading1"/>
        <w:spacing w:before="200" w:after="80" w:line="252" w:lineRule="auto"/>
      </w:pPr>
      <w:r>
        <w:t>4. Delivery-Rate Feedback Loop</w:t>
      </w:r>
    </w:p>
    <w:p>
      <w:pPr>
        <w:spacing w:after="80" w:line="252" w:lineRule="auto"/>
      </w:pPr>
      <w:r>
        <w:rPr>
          <w:sz w:val="21"/>
        </w:rPr>
        <w:t>A building-electrification pathway can reduce fossil fuel use while also increasing winter coincident electric peak. If that peak requires feeder upgrades, transformer replacements, service upgrades, or additional capacity costs, the resulting investment is recovered through delivery rates paid by all customers. This can erode the customer savings that justified electrification and can shift cost to non-participants.</w:t>
      </w:r>
    </w:p>
    <w:p>
      <w:pPr>
        <w:spacing w:after="80" w:line="252" w:lineRule="auto"/>
      </w:pPr>
      <w:r>
        <w:rPr>
          <w:sz w:val="21"/>
        </w:rPr>
        <w:t>The 2028-2030 Plan should therefore evaluate not only site-energy savings and equipment rebates, but also the marginal distribution cost of each electrification pathway. A pathway that reduces fossil fuel consumption and avoids winter peak growth should receive higher program value than a pathway that reduces fossil fuel use while creating new peak-driven grid costs.</w:t>
      </w:r>
    </w:p>
    <w:p>
      <w:pPr>
        <w:pStyle w:val="Heading1"/>
        <w:spacing w:before="200" w:after="80" w:line="252" w:lineRule="auto"/>
      </w:pPr>
      <w:r>
        <w:t>5. Contractor Markup Capture and Cost Transparency</w:t>
      </w:r>
    </w:p>
    <w:p>
      <w:pPr>
        <w:spacing w:after="80" w:line="252" w:lineRule="auto"/>
      </w:pPr>
      <w:r>
        <w:rPr>
          <w:sz w:val="21"/>
        </w:rPr>
        <w:t>Mass Save should address installed-cost inflation without blaming all contractors. The issue is structural: when rebates are increased but installed-cost transparency is weak, some portion of the rebate can be captured through higher labor, ancillary charges, or markup rather than lowering customer net cost. This weakens adoption and reduces ratepayer value.</w:t>
      </w:r>
    </w:p>
    <w:p>
      <w:pPr>
        <w:spacing w:after="80" w:line="252" w:lineRule="auto"/>
      </w:pPr>
      <w:r>
        <w:rPr>
          <w:sz w:val="21"/>
        </w:rPr>
        <w:t>The 2028-2030 Plan should require standardized cost reporting for all major HVAC and envelope measures: equipment cost, labor cost, electrical work, ductwork or distribution work, drilling or ground-loop cost, design/engineering, permits, overhead, and margin. The goal is not price control. The goal is to understand whether incentive dollars are reducing customer barriers or being absorbed into installed cost.</w:t>
      </w:r>
    </w:p>
    <w:p>
      <w:pPr>
        <w:pStyle w:val="Heading1"/>
        <w:spacing w:before="200" w:after="80" w:line="252" w:lineRule="auto"/>
      </w:pPr>
      <w:r>
        <w:t>6. Weatherization Should Be Measured by Airtightness Outcomes, Not Only R-Value Installed</w:t>
      </w:r>
    </w:p>
    <w:p>
      <w:pPr>
        <w:spacing w:after="80" w:line="252" w:lineRule="auto"/>
      </w:pPr>
      <w:r>
        <w:rPr>
          <w:sz w:val="21"/>
        </w:rPr>
        <w:t>For older Massachusetts housing stock, infiltration can dominate heat loss and comfort problems. Adding insulation without first addressing major air leakage can produce disappointing savings because warm air bypasses the insulation layer through penetrations, rim joists, attic bypasses, and envelope discontinuities.</w:t>
      </w:r>
    </w:p>
    <w:p>
      <w:pPr>
        <w:spacing w:after="80" w:line="252" w:lineRule="auto"/>
      </w:pPr>
      <w:r>
        <w:rPr>
          <w:sz w:val="21"/>
        </w:rPr>
        <w:t>The next plan should make blower-door-verified ACH50 reduction a primary quality metric. The preferred sequence should be: diagnose leakage, perform air sealing to a target ACH50 or verified reduction, address ventilation where required, then insulate to a level appropriate for the tightened envelope. Contractor reimbursement should include performance-based components tied to measured infiltration reduction and quality verification.</w:t>
      </w:r>
    </w:p>
    <w:p>
      <w:pPr>
        <w:spacing w:after="80" w:line="252" w:lineRule="auto"/>
      </w:pPr>
      <w:r>
        <w:rPr>
          <w:rFonts w:ascii="Aptos" w:hAnsi="Aptos"/>
          <w:b/>
          <w:sz w:val="20"/>
        </w:rPr>
        <w:t>Author field example:</w:t>
      </w:r>
      <w:r>
        <w:rPr>
          <w:rFonts w:ascii="Aptos" w:hAnsi="Aptos"/>
          <w:sz w:val="20"/>
        </w:rPr>
        <w:t xml:space="preserve"> In the author’s own Stoughton home, a Mass Save-supported retrofit appeared to allocate the large majority of project cost to attic insulation and a much smaller share to air sealing, while blower-door improvement was modest relative to the starting leakage. This example should be treated as a field observation, not as proof of statewide budget allocation. The policy recommendation is that EEAC require measure-level reporting of weatherization dollars and verified CFM50/ACH50 reduction so the statewide program can be judged by measured load reduction, not only installed R-value.</w:t>
      </w:r>
    </w:p>
    <w:p>
      <w:pPr>
        <w:pStyle w:val="Heading1"/>
        <w:spacing w:before="200" w:after="80" w:line="252" w:lineRule="auto"/>
      </w:pPr>
      <w:r>
        <w:t>7. Correct the Cost-Effectiveness Baseline for GSHP</w:t>
      </w:r>
    </w:p>
    <w:p>
      <w:pPr>
        <w:spacing w:after="80" w:line="252" w:lineRule="auto"/>
      </w:pPr>
      <w:r>
        <w:rPr>
          <w:sz w:val="21"/>
        </w:rPr>
        <w:t>GSHP cost-effectiveness is understated when the baseline comparison is framed as GSHP versus ASHP only. A GSHP commonly replaces both the heating system and the cooling system. In many residential and commercial cases, the relevant baseline is furnace or boiler plus central AC or chiller, including replacement cycles over the analysis period.</w:t>
      </w:r>
    </w:p>
    <w:p>
      <w:pPr>
        <w:spacing w:after="80" w:line="252" w:lineRule="auto"/>
      </w:pPr>
      <w:r>
        <w:rPr>
          <w:sz w:val="21"/>
        </w:rPr>
        <w:t>The 2028-2030 Plan should require a dual-system avoided-cost baseline for GSHP and water-to-water systems. Avoided costs should include fossil heating equipment, cooling equipment, flues or combustion-safety work where applicable, service upgrades where avoided, and lifecycle replacement costs. This correction is necessary for a fair comparison of technologies that serve both heating and cooling loads.</w:t>
      </w:r>
    </w:p>
    <w:p>
      <w:pPr>
        <w:spacing w:after="80" w:line="252" w:lineRule="auto"/>
      </w:pPr>
      <w:r>
        <w:rPr>
          <w:sz w:val="21"/>
        </w:rPr>
        <w:t>Lifecycle cost comparisons should also reflect the materially different asset lives of GSHP versus ASHP components. A GSHP system has three distinct lifecycle tiers. The ground loop (HDPE piping in bedrock) has a useful life of 50–100+ years with no moving parts, no weather exposure, and no maintenance requirement. The indoor heat pump equipment has a useful life of 25+ years because it operates in a conditioned space with no exposure to freeze-thaw cycling, UV degradation, salt air, outdoor coil corrosion, or outdoor fan motor wear, and because the compressor operates against a stable 35–45°F source rather than fighting 5°F ambient air. By contrast, an ASHP outdoor unit typically lasts 12–15 years due to full exposure to New England weather and maximum mechanical stress during design-day conditions. Over a 50-year building lifecycle, a GSHP system requires one indoor equipment replacement at approximately year 25, while an ASHP pathway requires three to four outdoor unit replacements. This lifecycle cost difference is substantial and should be included in program cost-effectiveness screening.</w:t>
      </w:r>
    </w:p>
    <w:p>
      <w:pPr>
        <w:pStyle w:val="Heading1"/>
        <w:spacing w:before="200" w:after="80" w:line="252" w:lineRule="auto"/>
      </w:pPr>
      <w:r>
        <w:t>8. Segment-Specific Pathway Prioritization</w:t>
      </w:r>
    </w:p>
    <w:p>
      <w:pPr>
        <w:spacing w:after="80" w:line="252" w:lineRule="auto"/>
      </w:pPr>
      <w:r>
        <w:rPr>
          <w:sz w:val="21"/>
        </w:rPr>
        <w:t>The next Mass Save plan should not rank technologies in the abstract. It should match technologies to building segments where they provide the best outcome per ratepayer dollar.</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2592"/>
            <w:shd w:fill="D9EAF7"/>
            <w:vAlign w:val="center"/>
          </w:tcPr>
          <w:p>
            <w:pPr>
              <w:spacing w:after="0"/>
            </w:pPr>
            <w:r>
              <w:rPr>
                <w:rFonts w:ascii="Aptos" w:hAnsi="Aptos"/>
                <w:sz w:val="17"/>
              </w:rPr>
            </w:r>
            <w:r>
              <w:rPr>
                <w:rFonts w:ascii="Aptos" w:hAnsi="Aptos"/>
                <w:b/>
                <w:sz w:val="16"/>
              </w:rPr>
              <w:t>Building segment</w:t>
            </w:r>
          </w:p>
        </w:tc>
        <w:tc>
          <w:tcPr>
            <w:tcW w:type="dxa" w:w="2951"/>
            <w:shd w:fill="D9EAF7"/>
            <w:vAlign w:val="center"/>
          </w:tcPr>
          <w:p>
            <w:pPr>
              <w:spacing w:after="0"/>
            </w:pPr>
            <w:r>
              <w:rPr>
                <w:rFonts w:ascii="Aptos" w:hAnsi="Aptos"/>
                <w:sz w:val="17"/>
              </w:rPr>
            </w:r>
            <w:r>
              <w:rPr>
                <w:rFonts w:ascii="Aptos" w:hAnsi="Aptos"/>
                <w:b/>
                <w:sz w:val="16"/>
              </w:rPr>
              <w:t>Preferred planning pathway</w:t>
            </w:r>
          </w:p>
        </w:tc>
        <w:tc>
          <w:tcPr>
            <w:tcW w:type="dxa" w:w="4536"/>
            <w:shd w:fill="D9EAF7"/>
            <w:vAlign w:val="center"/>
          </w:tcPr>
          <w:p>
            <w:pPr>
              <w:spacing w:after="0"/>
            </w:pPr>
            <w:r>
              <w:rPr>
                <w:rFonts w:ascii="Aptos" w:hAnsi="Aptos"/>
                <w:sz w:val="17"/>
              </w:rPr>
            </w:r>
            <w:r>
              <w:rPr>
                <w:rFonts w:ascii="Aptos" w:hAnsi="Aptos"/>
                <w:b/>
                <w:sz w:val="16"/>
              </w:rPr>
              <w:t>Reason</w:t>
            </w:r>
          </w:p>
        </w:tc>
      </w:tr>
      <w:tr>
        <w:tc>
          <w:tcPr>
            <w:tcW w:type="dxa" w:w="2592"/>
            <w:vAlign w:val="top"/>
          </w:tcPr>
          <w:p>
            <w:pPr>
              <w:spacing w:after="0"/>
            </w:pPr>
            <w:r>
              <w:rPr>
                <w:rFonts w:ascii="Aptos" w:hAnsi="Aptos"/>
                <w:sz w:val="17"/>
              </w:rPr>
            </w:r>
            <w:r>
              <w:rPr>
                <w:rFonts w:ascii="Aptos" w:hAnsi="Aptos"/>
                <w:b w:val="0"/>
                <w:sz w:val="16"/>
              </w:rPr>
              <w:t>Small, tight, low-load homes</w:t>
            </w:r>
          </w:p>
        </w:tc>
        <w:tc>
          <w:tcPr>
            <w:tcW w:type="dxa" w:w="2951"/>
            <w:vAlign w:val="top"/>
          </w:tcPr>
          <w:p>
            <w:pPr>
              <w:spacing w:after="0"/>
            </w:pPr>
            <w:r>
              <w:rPr>
                <w:rFonts w:ascii="Aptos" w:hAnsi="Aptos"/>
                <w:sz w:val="17"/>
              </w:rPr>
            </w:r>
            <w:r>
              <w:rPr>
                <w:rFonts w:ascii="Aptos" w:hAnsi="Aptos"/>
                <w:b w:val="0"/>
                <w:sz w:val="16"/>
              </w:rPr>
              <w:t>High-performing ccASHP</w:t>
            </w:r>
          </w:p>
        </w:tc>
        <w:tc>
          <w:tcPr>
            <w:tcW w:type="dxa" w:w="4536"/>
            <w:vAlign w:val="top"/>
          </w:tcPr>
          <w:p>
            <w:pPr>
              <w:spacing w:after="0"/>
            </w:pPr>
            <w:r>
              <w:rPr>
                <w:rFonts w:ascii="Aptos" w:hAnsi="Aptos"/>
                <w:sz w:val="17"/>
              </w:rPr>
            </w:r>
            <w:r>
              <w:rPr>
                <w:rFonts w:ascii="Aptos" w:hAnsi="Aptos"/>
                <w:b w:val="0"/>
                <w:sz w:val="16"/>
              </w:rPr>
              <w:t>Low design load reduces backup and grid-risk exposure.</w:t>
            </w:r>
          </w:p>
        </w:tc>
      </w:tr>
      <w:tr>
        <w:tc>
          <w:tcPr>
            <w:tcW w:type="dxa" w:w="2592"/>
            <w:vAlign w:val="top"/>
          </w:tcPr>
          <w:p>
            <w:pPr>
              <w:spacing w:after="0"/>
            </w:pPr>
            <w:r>
              <w:rPr>
                <w:rFonts w:ascii="Aptos" w:hAnsi="Aptos"/>
                <w:sz w:val="17"/>
              </w:rPr>
            </w:r>
            <w:r>
              <w:rPr>
                <w:rFonts w:ascii="Aptos" w:hAnsi="Aptos"/>
                <w:b w:val="0"/>
                <w:sz w:val="16"/>
              </w:rPr>
              <w:t>Large pre-2005 homes over ~2,000 sq ft</w:t>
            </w:r>
          </w:p>
        </w:tc>
        <w:tc>
          <w:tcPr>
            <w:tcW w:type="dxa" w:w="2951"/>
            <w:vAlign w:val="top"/>
          </w:tcPr>
          <w:p>
            <w:pPr>
              <w:spacing w:after="0"/>
            </w:pPr>
            <w:r>
              <w:rPr>
                <w:rFonts w:ascii="Aptos" w:hAnsi="Aptos"/>
                <w:sz w:val="17"/>
              </w:rPr>
            </w:r>
            <w:r>
              <w:rPr>
                <w:rFonts w:ascii="Aptos" w:hAnsi="Aptos"/>
                <w:b w:val="0"/>
                <w:sz w:val="16"/>
              </w:rPr>
              <w:t>GSHP priority or hybrid pathway with strict backup controls</w:t>
            </w:r>
          </w:p>
        </w:tc>
        <w:tc>
          <w:tcPr>
            <w:tcW w:type="dxa" w:w="4536"/>
            <w:vAlign w:val="top"/>
          </w:tcPr>
          <w:p>
            <w:pPr>
              <w:spacing w:after="0"/>
            </w:pPr>
            <w:r>
              <w:rPr>
                <w:rFonts w:ascii="Aptos" w:hAnsi="Aptos"/>
                <w:sz w:val="17"/>
              </w:rPr>
            </w:r>
            <w:r>
              <w:rPr>
                <w:rFonts w:ascii="Aptos" w:hAnsi="Aptos"/>
                <w:b w:val="0"/>
                <w:sz w:val="16"/>
              </w:rPr>
              <w:t>High winter load makes peak impact and bill durability more important.</w:t>
            </w:r>
          </w:p>
        </w:tc>
      </w:tr>
      <w:tr>
        <w:tc>
          <w:tcPr>
            <w:tcW w:type="dxa" w:w="2592"/>
            <w:vAlign w:val="top"/>
          </w:tcPr>
          <w:p>
            <w:pPr>
              <w:spacing w:after="0"/>
            </w:pPr>
            <w:r>
              <w:rPr>
                <w:rFonts w:ascii="Aptos" w:hAnsi="Aptos"/>
                <w:sz w:val="17"/>
              </w:rPr>
            </w:r>
            <w:r>
              <w:rPr>
                <w:rFonts w:ascii="Aptos" w:hAnsi="Aptos"/>
                <w:b w:val="0"/>
                <w:sz w:val="16"/>
              </w:rPr>
              <w:t>Leaky homes with high ACH50</w:t>
            </w:r>
          </w:p>
        </w:tc>
        <w:tc>
          <w:tcPr>
            <w:tcW w:type="dxa" w:w="2951"/>
            <w:vAlign w:val="top"/>
          </w:tcPr>
          <w:p>
            <w:pPr>
              <w:spacing w:after="0"/>
            </w:pPr>
            <w:r>
              <w:rPr>
                <w:rFonts w:ascii="Aptos" w:hAnsi="Aptos"/>
                <w:sz w:val="17"/>
              </w:rPr>
            </w:r>
            <w:r>
              <w:rPr>
                <w:rFonts w:ascii="Aptos" w:hAnsi="Aptos"/>
                <w:b w:val="0"/>
                <w:sz w:val="16"/>
              </w:rPr>
              <w:t>Air sealing first, then heat-pump sizing</w:t>
            </w:r>
          </w:p>
        </w:tc>
        <w:tc>
          <w:tcPr>
            <w:tcW w:type="dxa" w:w="4536"/>
            <w:vAlign w:val="top"/>
          </w:tcPr>
          <w:p>
            <w:pPr>
              <w:spacing w:after="0"/>
            </w:pPr>
            <w:r>
              <w:rPr>
                <w:rFonts w:ascii="Aptos" w:hAnsi="Aptos"/>
                <w:sz w:val="17"/>
              </w:rPr>
            </w:r>
            <w:r>
              <w:rPr>
                <w:rFonts w:ascii="Aptos" w:hAnsi="Aptos"/>
                <w:b w:val="0"/>
                <w:sz w:val="16"/>
              </w:rPr>
              <w:t>Envelope leakage can make electrification expensive and uncomfortable.</w:t>
            </w:r>
          </w:p>
        </w:tc>
      </w:tr>
      <w:tr>
        <w:tc>
          <w:tcPr>
            <w:tcW w:type="dxa" w:w="2592"/>
            <w:vAlign w:val="top"/>
          </w:tcPr>
          <w:p>
            <w:pPr>
              <w:spacing w:after="0"/>
            </w:pPr>
            <w:r>
              <w:rPr>
                <w:rFonts w:ascii="Aptos" w:hAnsi="Aptos"/>
                <w:sz w:val="17"/>
              </w:rPr>
            </w:r>
            <w:r>
              <w:rPr>
                <w:rFonts w:ascii="Aptos" w:hAnsi="Aptos"/>
                <w:b w:val="0"/>
                <w:sz w:val="16"/>
              </w:rPr>
              <w:t>Multifamily 4+ units</w:t>
            </w:r>
          </w:p>
        </w:tc>
        <w:tc>
          <w:tcPr>
            <w:tcW w:type="dxa" w:w="2951"/>
            <w:vAlign w:val="top"/>
          </w:tcPr>
          <w:p>
            <w:pPr>
              <w:spacing w:after="0"/>
            </w:pPr>
            <w:r>
              <w:rPr>
                <w:rFonts w:ascii="Aptos" w:hAnsi="Aptos"/>
                <w:sz w:val="17"/>
              </w:rPr>
            </w:r>
            <w:r>
              <w:rPr>
                <w:rFonts w:ascii="Aptos" w:hAnsi="Aptos"/>
                <w:b w:val="0"/>
                <w:sz w:val="16"/>
              </w:rPr>
              <w:t>Shared loop, GSHP, or TEN screening</w:t>
            </w:r>
          </w:p>
        </w:tc>
        <w:tc>
          <w:tcPr>
            <w:tcW w:type="dxa" w:w="4536"/>
            <w:vAlign w:val="top"/>
          </w:tcPr>
          <w:p>
            <w:pPr>
              <w:spacing w:after="0"/>
            </w:pPr>
            <w:r>
              <w:rPr>
                <w:rFonts w:ascii="Aptos" w:hAnsi="Aptos"/>
                <w:sz w:val="17"/>
              </w:rPr>
            </w:r>
            <w:r>
              <w:rPr>
                <w:rFonts w:ascii="Aptos" w:hAnsi="Aptos"/>
                <w:b w:val="0"/>
                <w:sz w:val="16"/>
              </w:rPr>
              <w:t>Load diversity and shared infrastructure can lower per-unit cost.</w:t>
            </w:r>
          </w:p>
        </w:tc>
      </w:tr>
      <w:tr>
        <w:tc>
          <w:tcPr>
            <w:tcW w:type="dxa" w:w="2592"/>
            <w:vAlign w:val="top"/>
          </w:tcPr>
          <w:p>
            <w:pPr>
              <w:spacing w:after="0"/>
            </w:pPr>
            <w:r>
              <w:rPr>
                <w:rFonts w:ascii="Aptos" w:hAnsi="Aptos"/>
                <w:sz w:val="17"/>
              </w:rPr>
            </w:r>
            <w:r>
              <w:rPr>
                <w:rFonts w:ascii="Aptos" w:hAnsi="Aptos"/>
                <w:b w:val="0"/>
                <w:sz w:val="16"/>
              </w:rPr>
              <w:t>Commercial buildings with hydronic distribution</w:t>
            </w:r>
          </w:p>
        </w:tc>
        <w:tc>
          <w:tcPr>
            <w:tcW w:type="dxa" w:w="2951"/>
            <w:vAlign w:val="top"/>
          </w:tcPr>
          <w:p>
            <w:pPr>
              <w:spacing w:after="0"/>
            </w:pPr>
            <w:r>
              <w:rPr>
                <w:rFonts w:ascii="Aptos" w:hAnsi="Aptos"/>
                <w:sz w:val="17"/>
              </w:rPr>
            </w:r>
            <w:r>
              <w:rPr>
                <w:rFonts w:ascii="Aptos" w:hAnsi="Aptos"/>
                <w:b w:val="0"/>
                <w:sz w:val="16"/>
              </w:rPr>
              <w:t>Water-to-water GSHP or TEN</w:t>
            </w:r>
          </w:p>
        </w:tc>
        <w:tc>
          <w:tcPr>
            <w:tcW w:type="dxa" w:w="4536"/>
            <w:vAlign w:val="top"/>
          </w:tcPr>
          <w:p>
            <w:pPr>
              <w:spacing w:after="0"/>
            </w:pPr>
            <w:r>
              <w:rPr>
                <w:rFonts w:ascii="Aptos" w:hAnsi="Aptos"/>
                <w:sz w:val="17"/>
              </w:rPr>
            </w:r>
            <w:r>
              <w:rPr>
                <w:rFonts w:ascii="Aptos" w:hAnsi="Aptos"/>
                <w:b w:val="0"/>
                <w:sz w:val="16"/>
              </w:rPr>
              <w:t>Existing distribution is compatible with ground-coupled systems.</w:t>
            </w:r>
          </w:p>
        </w:tc>
      </w:tr>
      <w:tr>
        <w:tc>
          <w:tcPr>
            <w:tcW w:type="dxa" w:w="2592"/>
            <w:vAlign w:val="top"/>
          </w:tcPr>
          <w:p>
            <w:pPr>
              <w:spacing w:after="0"/>
            </w:pPr>
            <w:r>
              <w:rPr>
                <w:rFonts w:ascii="Aptos" w:hAnsi="Aptos"/>
                <w:sz w:val="17"/>
              </w:rPr>
            </w:r>
            <w:r>
              <w:rPr>
                <w:rFonts w:ascii="Aptos" w:hAnsi="Aptos"/>
                <w:b w:val="0"/>
                <w:sz w:val="16"/>
              </w:rPr>
              <w:t>Campuses, hospitals, universities</w:t>
            </w:r>
          </w:p>
        </w:tc>
        <w:tc>
          <w:tcPr>
            <w:tcW w:type="dxa" w:w="2951"/>
            <w:vAlign w:val="top"/>
          </w:tcPr>
          <w:p>
            <w:pPr>
              <w:spacing w:after="0"/>
            </w:pPr>
            <w:r>
              <w:rPr>
                <w:rFonts w:ascii="Aptos" w:hAnsi="Aptos"/>
                <w:sz w:val="17"/>
              </w:rPr>
            </w:r>
            <w:r>
              <w:rPr>
                <w:rFonts w:ascii="Aptos" w:hAnsi="Aptos"/>
                <w:b w:val="0"/>
                <w:sz w:val="16"/>
              </w:rPr>
              <w:t>Thermal energy network</w:t>
            </w:r>
          </w:p>
        </w:tc>
        <w:tc>
          <w:tcPr>
            <w:tcW w:type="dxa" w:w="4536"/>
            <w:vAlign w:val="top"/>
          </w:tcPr>
          <w:p>
            <w:pPr>
              <w:spacing w:after="0"/>
            </w:pPr>
            <w:r>
              <w:rPr>
                <w:rFonts w:ascii="Aptos" w:hAnsi="Aptos"/>
                <w:sz w:val="17"/>
              </w:rPr>
            </w:r>
            <w:r>
              <w:rPr>
                <w:rFonts w:ascii="Aptos" w:hAnsi="Aptos"/>
                <w:b w:val="0"/>
                <w:sz w:val="16"/>
              </w:rPr>
              <w:t>Simultaneous heating/cooling and long asset lives support district solutions.</w:t>
            </w:r>
          </w:p>
        </w:tc>
      </w:tr>
      <w:tr>
        <w:tc>
          <w:tcPr>
            <w:tcW w:type="dxa" w:w="2592"/>
            <w:vAlign w:val="top"/>
          </w:tcPr>
          <w:p>
            <w:pPr>
              <w:spacing w:after="0"/>
            </w:pPr>
            <w:r>
              <w:rPr>
                <w:rFonts w:ascii="Aptos" w:hAnsi="Aptos"/>
                <w:sz w:val="17"/>
              </w:rPr>
            </w:r>
            <w:r>
              <w:rPr>
                <w:rFonts w:ascii="Aptos" w:hAnsi="Aptos"/>
                <w:b w:val="0"/>
                <w:sz w:val="16"/>
              </w:rPr>
              <w:t>Data centers near thermal loads</w:t>
            </w:r>
          </w:p>
        </w:tc>
        <w:tc>
          <w:tcPr>
            <w:tcW w:type="dxa" w:w="2951"/>
            <w:vAlign w:val="top"/>
          </w:tcPr>
          <w:p>
            <w:pPr>
              <w:spacing w:after="0"/>
            </w:pPr>
            <w:r>
              <w:rPr>
                <w:rFonts w:ascii="Aptos" w:hAnsi="Aptos"/>
                <w:sz w:val="17"/>
              </w:rPr>
            </w:r>
            <w:r>
              <w:rPr>
                <w:rFonts w:ascii="Aptos" w:hAnsi="Aptos"/>
                <w:b w:val="0"/>
                <w:sz w:val="16"/>
              </w:rPr>
              <w:t>Waste heat recovery + TEN + possible BTES</w:t>
            </w:r>
          </w:p>
        </w:tc>
        <w:tc>
          <w:tcPr>
            <w:tcW w:type="dxa" w:w="4536"/>
            <w:vAlign w:val="top"/>
          </w:tcPr>
          <w:p>
            <w:pPr>
              <w:spacing w:after="0"/>
            </w:pPr>
            <w:r>
              <w:rPr>
                <w:rFonts w:ascii="Aptos" w:hAnsi="Aptos"/>
                <w:sz w:val="17"/>
              </w:rPr>
            </w:r>
            <w:r>
              <w:rPr>
                <w:rFonts w:ascii="Aptos" w:hAnsi="Aptos"/>
                <w:b w:val="0"/>
                <w:sz w:val="16"/>
              </w:rPr>
              <w:t>Rejected heat can become useful community thermal supply.</w:t>
            </w:r>
          </w:p>
        </w:tc>
      </w:tr>
      <w:tr>
        <w:tc>
          <w:tcPr>
            <w:tcW w:type="dxa" w:w="2592"/>
            <w:vAlign w:val="top"/>
          </w:tcPr>
          <w:p>
            <w:pPr>
              <w:spacing w:after="0"/>
            </w:pPr>
            <w:r>
              <w:rPr>
                <w:rFonts w:ascii="Aptos" w:hAnsi="Aptos"/>
                <w:sz w:val="17"/>
              </w:rPr>
            </w:r>
            <w:r>
              <w:rPr>
                <w:rFonts w:ascii="Aptos" w:hAnsi="Aptos"/>
                <w:b w:val="0"/>
                <w:sz w:val="16"/>
              </w:rPr>
              <w:t>Passive House / net-zero developments</w:t>
            </w:r>
          </w:p>
        </w:tc>
        <w:tc>
          <w:tcPr>
            <w:tcW w:type="dxa" w:w="2951"/>
            <w:vAlign w:val="top"/>
          </w:tcPr>
          <w:p>
            <w:pPr>
              <w:spacing w:after="0"/>
            </w:pPr>
            <w:r>
              <w:rPr>
                <w:rFonts w:ascii="Aptos" w:hAnsi="Aptos"/>
                <w:sz w:val="17"/>
              </w:rPr>
            </w:r>
            <w:r>
              <w:rPr>
                <w:rFonts w:ascii="Aptos" w:hAnsi="Aptos"/>
                <w:b w:val="0"/>
                <w:sz w:val="16"/>
              </w:rPr>
              <w:t>Separate incentive and load class</w:t>
            </w:r>
          </w:p>
        </w:tc>
        <w:tc>
          <w:tcPr>
            <w:tcW w:type="dxa" w:w="4536"/>
            <w:vAlign w:val="top"/>
          </w:tcPr>
          <w:p>
            <w:pPr>
              <w:spacing w:after="0"/>
            </w:pPr>
            <w:r>
              <w:rPr>
                <w:rFonts w:ascii="Aptos" w:hAnsi="Aptos"/>
                <w:sz w:val="17"/>
              </w:rPr>
            </w:r>
            <w:r>
              <w:rPr>
                <w:rFonts w:ascii="Aptos" w:hAnsi="Aptos"/>
                <w:b w:val="0"/>
                <w:sz w:val="16"/>
              </w:rPr>
              <w:t>Peak load is materially below code-minimum assumptions.</w:t>
            </w:r>
          </w:p>
        </w:tc>
      </w:tr>
    </w:tbl>
    <w:p>
      <w:pPr>
        <w:spacing w:after="80" w:line="252" w:lineRule="auto"/>
      </w:pPr>
    </w:p>
    <w:p>
      <w:pPr>
        <w:pStyle w:val="Heading1"/>
        <w:spacing w:before="200" w:after="80" w:line="252" w:lineRule="auto"/>
      </w:pPr>
      <w:r>
        <w:t>9. Ten Recommendations for the 2028-2030 Plan</w:t>
      </w:r>
    </w:p>
    <w:p>
      <w:pPr>
        <w:pStyle w:val="ListNumber"/>
        <w:spacing w:after="80" w:line="252" w:lineRule="auto"/>
      </w:pPr>
      <w:r>
        <w:rPr>
          <w:sz w:val="21"/>
        </w:rPr>
        <w:t>Commission a comparative cost-effectiveness study of ASHP, full-capacity ccASHP, fixed-speed GSHP, staged GSHP, variable-capacity GSHP, and TEN pathways that internalizes customer bill impact, winter coincident peak, avoided distribution capacity, ISO-NE capacity exposure, marginal winter emissions, lifecycle replacement cost, part-load performance, number of compressors/air handlers, zoning strategy, and customer satisfaction.</w:t>
      </w:r>
    </w:p>
    <w:p>
      <w:pPr>
        <w:pStyle w:val="ListNumber"/>
        <w:spacing w:after="80" w:line="252" w:lineRule="auto"/>
      </w:pPr>
      <w:r>
        <w:rPr>
          <w:sz w:val="21"/>
        </w:rPr>
        <w:t>Require all heat-pump incentive applications to report 5°F delivered heating capacity, COP at maximum capacity, backup heat type, strip-heat staging, lockout/switchover settings, compressor staging or modulation range, fan and pump controls, number of compressors/outdoor units, number of air handlers, and zoning strategy. These variables should be included in savings and peak-demand calculations.</w:t>
      </w:r>
    </w:p>
    <w:p>
      <w:pPr>
        <w:pStyle w:val="ListNumber"/>
        <w:spacing w:after="80" w:line="252" w:lineRule="auto"/>
      </w:pPr>
      <w:r>
        <w:rPr>
          <w:sz w:val="21"/>
        </w:rPr>
        <w:t>Rebalance incentives by building segment and measured outcome rather than technology name alone. Prioritize GSHP, shared loops, and TENs in high-load homes, multifamily buildings, hydronic commercial buildings, and campuses where they provide superior lifecycle value.</w:t>
      </w:r>
    </w:p>
    <w:p>
      <w:pPr>
        <w:pStyle w:val="ListNumber"/>
        <w:spacing w:after="80" w:line="252" w:lineRule="auto"/>
      </w:pPr>
      <w:r>
        <w:rPr>
          <w:sz w:val="21"/>
        </w:rPr>
        <w:t>Use territory-differentiated incentive values where marginal distribution costs, delivery rates, and peak constraints are materially different across PA territories.</w:t>
      </w:r>
    </w:p>
    <w:p>
      <w:pPr>
        <w:pStyle w:val="ListNumber"/>
        <w:spacing w:after="80" w:line="252" w:lineRule="auto"/>
      </w:pPr>
      <w:r>
        <w:t>For large homes, multi-zone homes, multifamily buildings, and small commercial sites, require a system-architecture comparison where practical: multiple ASHP units versus a right-sized central variable-capacity GSHP, shared loop, or other optimized central solution. Incentives should not reward unnecessary system fragmentation when a lower-peak, lower-lifecycle-cost architecture is feasible.</w:t>
      </w:r>
    </w:p>
    <w:p>
      <w:pPr>
        <w:pStyle w:val="ListNumber"/>
        <w:spacing w:after="80" w:line="252" w:lineRule="auto"/>
      </w:pPr>
      <w:r>
        <w:rPr>
          <w:sz w:val="21"/>
        </w:rPr>
        <w:t>Create a Massachusetts heat-pump performance registry with anonymized data on installed cost, system type, building type, winter peak demand where available, annual kWh, backup heat operation, customer bill impact, and customer satisfaction.</w:t>
      </w:r>
    </w:p>
    <w:p>
      <w:pPr>
        <w:pStyle w:val="ListNumber"/>
        <w:spacing w:after="80" w:line="252" w:lineRule="auto"/>
      </w:pPr>
      <w:r>
        <w:rPr>
          <w:sz w:val="21"/>
        </w:rPr>
        <w:t>Realign weatherization incentives around measured ACH50 reduction. Require air sealing diagnostics and verification before or alongside insulation, and tie part of contractor compensation to measured infiltration improvement.</w:t>
      </w:r>
    </w:p>
    <w:p>
      <w:pPr>
        <w:pStyle w:val="ListNumber"/>
        <w:spacing w:after="80" w:line="252" w:lineRule="auto"/>
      </w:pPr>
      <w:r>
        <w:rPr>
          <w:sz w:val="21"/>
        </w:rPr>
        <w:t>Require transparent cost breakdowns for major HVAC, GSHP, TEN, and envelope projects. Report equipment, labor, electrical, distribution, drilling, design, permits, overhead, and margin separately where practical.</w:t>
      </w:r>
    </w:p>
    <w:p>
      <w:pPr>
        <w:pStyle w:val="ListNumber"/>
        <w:spacing w:after="80" w:line="252" w:lineRule="auto"/>
      </w:pPr>
      <w:r>
        <w:rPr>
          <w:sz w:val="21"/>
        </w:rPr>
        <w:t>Commission a GSHP- and TEN-specific commercial analysis for buildings with hydronic distribution, simultaneous heating and cooling loads, chiller plants, campuses, hospitals, universities, and multifamily developments.</w:t>
      </w:r>
    </w:p>
    <w:p>
      <w:pPr>
        <w:pStyle w:val="ListNumber"/>
        <w:spacing w:after="80" w:line="252" w:lineRule="auto"/>
      </w:pPr>
      <w:r>
        <w:rPr>
          <w:sz w:val="21"/>
        </w:rPr>
        <w:t>Correct GSHP cost-effectiveness screening by using a dual-system avoided-cost baseline: heating equipment plus cooling equipment, including lifecycle replacement and avoided service or distribution upgrades where applicable.</w:t>
      </w:r>
    </w:p>
    <w:p>
      <w:pPr>
        <w:pStyle w:val="ListNumber"/>
        <w:spacing w:after="80" w:line="252" w:lineRule="auto"/>
      </w:pPr>
      <w:r>
        <w:rPr>
          <w:sz w:val="21"/>
        </w:rPr>
        <w:t>Develop consumer-protection rules for third-party ownership, energy-as-a-service, and shared-loop models so customers can access GSHP/TEN benefits without high upfront cost while preserving transparency, savings guarantees, and transferability at resale.</w:t>
      </w:r>
    </w:p>
    <w:p>
      <w:pPr>
        <w:pStyle w:val="Heading1"/>
        <w:spacing w:before="200" w:after="80" w:line="252" w:lineRule="auto"/>
      </w:pPr>
      <w:r>
        <w:t>10. Proposed EEAC Resolution Language</w:t>
      </w:r>
    </w:p>
    <w:p>
      <w:pPr>
        <w:spacing w:after="80" w:line="252" w:lineRule="auto"/>
      </w:pPr>
      <w:r>
        <w:rPr>
          <w:sz w:val="21"/>
        </w:rPr>
        <w:t>The undersigned respectfully suggest that the EEAC consider language along the following lines for the 2028-2030 planning process:</w:t>
      </w:r>
    </w:p>
    <w:p>
      <w:pPr>
        <w:spacing w:after="80" w:line="252" w:lineRule="auto"/>
      </w:pPr>
      <w:r>
        <w:rPr>
          <w:sz w:val="21"/>
        </w:rPr>
        <w:t>“The EEAC recommends that the 2028-2030 Mass Save Plan allocate incentives according to measured customer outcomes, lifecycle CO2 reduction, winter coincident peak impact, avoided distribution cost, and customer bill durability. The Plan should distinguish ASHP, full-capacity cold-climate ASHP, GSHP, shared-loop, thermal energy network, and net-zero building pathways. Program screening shall include low-temperature delivered capacity, backup heat configuration, verified weatherization outcomes, and lifecycle avoided-cost baselines.”</w:t>
      </w:r>
    </w:p>
    <w:p>
      <w:pPr>
        <w:pStyle w:val="Heading1"/>
        <w:spacing w:before="200" w:after="80" w:line="252" w:lineRule="auto"/>
      </w:pPr>
      <w:r>
        <w:t>11. Closing</w:t>
      </w:r>
    </w:p>
    <w:p>
      <w:pPr>
        <w:spacing w:after="80" w:line="252" w:lineRule="auto"/>
      </w:pPr>
      <w:r>
        <w:rPr>
          <w:sz w:val="21"/>
        </w:rPr>
        <w:t>Mass Save can remain a national leader only if the next plan connects energy efficiency, decarbonization, affordability, and grid planning in one framework. The core recommendation is simple: pay for measured outcomes, not installations alone. Technologies that reduce CO2 while also reducing winter peak, stabilizing customer bills, improving comfort, and avoiding distribution investment should receive higher program value.</w:t>
      </w:r>
    </w:p>
    <w:p>
      <w:pPr>
        <w:pStyle w:val="Heading1"/>
        <w:spacing w:before="200" w:after="80" w:line="252" w:lineRule="auto"/>
      </w:pPr>
      <w:r>
        <w:t>Appendix A: Calculation Notes</w:t>
      </w:r>
    </w:p>
    <w:p>
      <w:pPr>
        <w:pStyle w:val="ListBullet"/>
        <w:spacing w:after="80" w:line="252" w:lineRule="auto"/>
      </w:pPr>
      <w:r>
        <w:rPr>
          <w:sz w:val="21"/>
        </w:rPr>
        <w:t>1 ton of heating/cooling capacity = 12,000 Btu/h. 1 kW = approximately 3,412 Btu/h.</w:t>
      </w:r>
    </w:p>
    <w:p>
      <w:pPr>
        <w:pStyle w:val="ListBullet"/>
        <w:spacing w:after="80" w:line="252" w:lineRule="auto"/>
      </w:pPr>
      <w:r>
        <w:rPr>
          <w:sz w:val="21"/>
        </w:rPr>
        <w:t>ASHP compressor input at 5°F = delivered compressor Btu/h divided by 3,412 and divided by COP at 5°F.</w:t>
      </w:r>
    </w:p>
    <w:p>
      <w:pPr>
        <w:pStyle w:val="ListBullet"/>
        <w:spacing w:after="80" w:line="252" w:lineRule="auto"/>
      </w:pPr>
      <w:r>
        <w:rPr>
          <w:sz w:val="21"/>
        </w:rPr>
        <w:t>Resistance makeup kW = building load not delivered by the compressor divided by 3,412. Resistance heat should not be hidden inside seasonal averages when screening winter peak impact.</w:t>
      </w:r>
    </w:p>
    <w:p>
      <w:pPr>
        <w:spacing w:after="80" w:line="252" w:lineRule="auto"/>
      </w:pPr>
      <w:r>
        <w:rPr>
          <w:rFonts w:ascii="Aptos" w:hAnsi="Aptos"/>
          <w:b/>
          <w:sz w:val="20"/>
        </w:rPr>
        <w:t>Defrost-cycle effects</w:t>
      </w:r>
      <w:r>
        <w:rPr>
          <w:rFonts w:ascii="Aptos" w:hAnsi="Aptos"/>
          <w:sz w:val="20"/>
        </w:rPr>
        <w:t xml:space="preserve"> should be treated as a separate ASHP/ccASHP screening input. The illustrative calculation includes capacity degradation and resistance makeup, but it does not add a numerical defrost penalty. For Mass Save and EM&amp;V, measured winter kW and auxiliary heat runtime are preferable to seasonal averages alone.</w:t>
      </w:r>
    </w:p>
    <w:p>
      <w:pPr>
        <w:pStyle w:val="ListBullet"/>
        <w:spacing w:after="80" w:line="252" w:lineRule="auto"/>
      </w:pPr>
      <w:r>
        <w:rPr>
          <w:sz w:val="21"/>
        </w:rPr>
        <w:t>GSHP input = delivered building load divided by 3,412 and divided by operating COP, plus loop-pump power. Loop design and pumping power should be reported explicitly.</w:t>
      </w:r>
    </w:p>
    <w:p>
      <w:pPr>
        <w:pStyle w:val="ListBullet"/>
        <w:spacing w:after="80" w:line="252" w:lineRule="auto"/>
      </w:pPr>
      <w:r>
        <w:rPr>
          <w:sz w:val="21"/>
        </w:rPr>
        <w:t>Final incentive values should be based on Massachusetts-specific EM&amp;V data, measured field performance, customer bill analysis, and avoided-cost studies.</w:t>
      </w:r>
    </w:p>
    <w:p>
      <w:pPr>
        <w:pStyle w:val="Heading1"/>
        <w:spacing w:before="200" w:after="80" w:line="252" w:lineRule="auto"/>
      </w:pPr>
      <w:r>
        <w:t>Appendix B: Source Notes for Final Filing</w:t>
      </w:r>
    </w:p>
    <w:p>
      <w:pPr>
        <w:spacing w:after="80" w:line="252" w:lineRule="auto"/>
      </w:pPr>
      <w:r>
        <w:t>Recommended public source references for the final filed version include: Massachusetts Clean Energy and Climate Plan for 2050; Massachusetts 2025-2027 Energy Efficiency and Decarbonization Plan; EEAC Consultant Team and PA materials; NEEP cold-climate ASHP specification and product-list reporting fields for low-temperature capacity, input power, and COP; DOE/NREL materials on defrost and auxiliary heat operation; AHRI/manufacturer submittals for variable-capacity GSHP performance; AESC avoided-cost studies; and Mass Save EM&amp;V data where available.</w:t>
      </w:r>
    </w:p>
    <w:p>
      <w:pPr>
        <w:spacing w:after="80" w:line="252" w:lineRule="auto"/>
      </w:pPr>
      <w:r>
        <w:br w:type="page"/>
      </w:r>
    </w:p>
    <w:p>
      <w:pPr>
        <w:pStyle w:val="Heading1"/>
        <w:spacing w:before="200" w:after="80" w:line="252" w:lineRule="auto"/>
      </w:pPr>
      <w:r>
        <w:t>Signature Page</w:t>
      </w:r>
    </w:p>
    <w:p>
      <w:pPr>
        <w:spacing w:after="80" w:line="252" w:lineRule="auto"/>
      </w:pPr>
      <w:r>
        <w:rPr>
          <w:sz w:val="21"/>
        </w:rPr>
        <w:t>Respectfully submitted,</w:t>
      </w:r>
    </w:p>
    <w:p>
      <w:pPr>
        <w:spacing w:after="80" w:line="252" w:lineRule="auto"/>
      </w:pPr>
      <w:r>
        <w:rPr>
          <w:sz w:val="21"/>
        </w:rPr>
        <w:t>Dmitry Kuravskiy</w:t>
      </w:r>
    </w:p>
    <w:p>
      <w:pPr>
        <w:spacing w:after="80" w:line="252" w:lineRule="auto"/>
      </w:pPr>
      <w:r>
        <w:rPr>
          <w:sz w:val="21"/>
        </w:rPr>
        <w:t>Founder, GeoStellar Engineering LLC | Co-Founder &amp; CTO, GeoPioneer LLC</w:t>
      </w:r>
    </w:p>
    <w:p>
      <w:pPr>
        <w:spacing w:after="80" w:line="252" w:lineRule="auto"/>
      </w:pPr>
      <w:r>
        <w:rPr>
          <w:sz w:val="21"/>
        </w:rPr>
        <w:t>GSD (AEE) | IGSHPA Accredited Installer | Licensed Driller: MA, CT, ME, RI, NJ, NY</w:t>
      </w:r>
    </w:p>
    <w:p>
      <w:pPr>
        <w:spacing w:after="80" w:line="252" w:lineRule="auto"/>
      </w:pPr>
      <w:r>
        <w:rPr>
          <w:sz w:val="21"/>
        </w:rPr>
        <w:t>dkuravskiy@geostellar.io | geostellar.io</w:t>
      </w:r>
    </w:p>
    <w:p>
      <w:pPr>
        <w:pStyle w:val="Heading2"/>
        <w:spacing w:before="120" w:after="80" w:line="252" w:lineRule="auto"/>
      </w:pPr>
      <w:r>
        <w:t>Co-signatories</w:t>
      </w:r>
    </w:p>
    <w:p>
      <w:pPr>
        <w:spacing w:after="80" w:line="252" w:lineRule="auto"/>
      </w:pPr>
      <w:r>
        <w:rPr>
          <w:sz w:val="21"/>
        </w:rPr>
        <w:t>1. Name/Signature: ______________________________   Org/Title: ______________________   Date: __________</w:t>
      </w:r>
    </w:p>
    <w:p>
      <w:pPr>
        <w:spacing w:after="80" w:line="252" w:lineRule="auto"/>
      </w:pPr>
      <w:r>
        <w:rPr>
          <w:sz w:val="21"/>
        </w:rPr>
        <w:t>2. Name/Signature: ______________________________   Org/Title: ______________________   Date: __________</w:t>
      </w:r>
    </w:p>
    <w:p>
      <w:pPr>
        <w:spacing w:after="80" w:line="252" w:lineRule="auto"/>
      </w:pPr>
      <w:r>
        <w:rPr>
          <w:sz w:val="21"/>
        </w:rPr>
        <w:t>3. Name/Signature: ______________________________   Org/Title: ______________________   Date: __________</w:t>
      </w:r>
    </w:p>
    <w:p>
      <w:pPr>
        <w:spacing w:after="80" w:line="252" w:lineRule="auto"/>
      </w:pPr>
      <w:r>
        <w:rPr>
          <w:sz w:val="21"/>
        </w:rPr>
        <w:t>4. Name/Signature: ______________________________   Org/Title: ______________________   Date: __________</w:t>
      </w:r>
    </w:p>
    <w:p>
      <w:pPr>
        <w:spacing w:after="80" w:line="252" w:lineRule="auto"/>
      </w:pPr>
      <w:r>
        <w:rPr>
          <w:sz w:val="21"/>
        </w:rPr>
        <w:t>5. Name/Signature: ______________________________   Org/Title: ______________________   Date: __________</w:t>
      </w:r>
    </w:p>
    <w:p>
      <w:pPr>
        <w:spacing w:after="80" w:line="252" w:lineRule="auto"/>
      </w:pPr>
      <w:r>
        <w:rPr>
          <w:sz w:val="21"/>
        </w:rPr>
        <w:t>6. Name/Signature: ______________________________   Org/Title: ______________________   Date: __________</w:t>
      </w:r>
    </w:p>
    <w:p>
      <w:pPr>
        <w:spacing w:after="80" w:line="252" w:lineRule="auto"/>
      </w:pPr>
      <w:r>
        <w:rPr>
          <w:sz w:val="21"/>
        </w:rPr>
        <w:t>7. Name/Signature: ______________________________   Org/Title: ______________________   Date: __________</w:t>
      </w:r>
    </w:p>
    <w:p>
      <w:pPr>
        <w:spacing w:after="80" w:line="252" w:lineRule="auto"/>
      </w:pPr>
      <w:r>
        <w:rPr>
          <w:sz w:val="21"/>
        </w:rPr>
        <w:t>8. Name/Signature: ______________________________   Org/Title: ______________________   Date: __________</w:t>
      </w:r>
    </w:p>
    <w:p>
      <w:pPr>
        <w:spacing w:after="80" w:line="252" w:lineRule="auto"/>
      </w:pPr>
      <w:r>
        <w:rPr>
          <w:sz w:val="21"/>
        </w:rPr>
        <w:t>9. Name/Signature: ______________________________   Org/Title: ______________________   Date: __________</w:t>
      </w:r>
    </w:p>
    <w:p>
      <w:pPr>
        <w:spacing w:after="80" w:line="252" w:lineRule="auto"/>
      </w:pPr>
      <w:r>
        <w:rPr>
          <w:sz w:val="21"/>
        </w:rPr>
        <w:t>10. Name/Signature: ______________________________   Org/Title: ______________________   Date: __________</w:t>
      </w:r>
    </w:p>
    <w:p>
      <w:pPr>
        <w:spacing w:after="80" w:line="252" w:lineRule="auto"/>
      </w:pPr>
      <w:r>
        <w:rPr>
          <w:sz w:val="21"/>
        </w:rPr>
        <w:t>11. Name/Signature: ______________________________   Org/Title: ______________________   Date: __________</w:t>
      </w:r>
    </w:p>
    <w:p>
      <w:pPr>
        <w:spacing w:after="80" w:line="252" w:lineRule="auto"/>
      </w:pPr>
      <w:r>
        <w:rPr>
          <w:sz w:val="21"/>
        </w:rPr>
        <w:t>12. Name/Signature: ______________________________   Org/Title: ______________________   Date: __________</w:t>
      </w:r>
    </w:p>
    <w:p>
      <w:pPr>
        <w:spacing w:after="80" w:line="252" w:lineRule="auto"/>
      </w:pPr>
      <w:r>
        <w:rPr>
          <w:sz w:val="21"/>
        </w:rPr>
        <w:t>Additional co-signatories may be attached on a separate page.</w:t>
      </w:r>
    </w:p>
    <w:p>
      <w:pPr>
        <w:spacing w:after="80" w:line="252" w:lineRule="auto"/>
      </w:pPr>
    </w:p>
    <w:p>
      <w:pPr>
        <w:spacing w:after="80" w:line="252" w:lineRule="auto"/>
      </w:pPr>
    </w:p>
    <w:p>
      <w:pPr>
        <w:spacing w:after="80" w:line="252" w:lineRule="auto"/>
      </w:pPr>
    </w:p>
    <w:sectPr w:rsidR="00FC693F" w:rsidRPr="0006063C" w:rsidSect="00034616">
      <w:pgSz w:w="12240" w:h="15840"/>
      <w:pgMar w:top="936" w:right="893" w:bottom="936"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