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0"/>
        </w:rPr>
        <w:t>PUBLIC COMMENT</w:t>
      </w:r>
    </w:p>
    <w:p>
      <w:pPr>
        <w:spacing w:after="80" w:line="252" w:lineRule="auto"/>
        <w:jc w:val="center"/>
      </w:pPr>
      <w:r>
        <w:rPr>
          <w:b/>
          <w:sz w:val="26"/>
        </w:rPr>
        <w:t>Grid Modernization Advisory Council (GMAC)</w:t>
      </w:r>
    </w:p>
    <w:p>
      <w:pPr>
        <w:spacing w:after="80" w:line="252" w:lineRule="auto"/>
        <w:jc w:val="center"/>
      </w:pPr>
      <w:r>
        <w:rPr>
          <w:i/>
          <w:sz w:val="20"/>
        </w:rPr>
        <w:t>Draft for the April 30, 2026 Council Meeting | Revised engineering version</w:t>
      </w:r>
    </w:p>
    <w:p>
      <w:pPr>
        <w:spacing w:after="80" w:line="252" w:lineRule="auto"/>
        <w:jc w:val="center"/>
      </w:pPr>
      <w:r>
        <w:rPr>
          <w:b/>
          <w:color w:val="1F4E79"/>
          <w:sz w:val="32"/>
        </w:rPr>
        <w:t>Differentiating Heating Electrification Pathways in Grid Planning:</w:t>
        <w:br/>
        <w:t>Why ASHP, GSHP, Thermal Energy Networks, and Net-Zero Buildings Must Be Forecasted Separately</w:t>
      </w:r>
    </w:p>
    <w:p>
      <w:pPr>
        <w:spacing w:after="80" w:line="252" w:lineRule="auto"/>
        <w:jc w:val="center"/>
      </w:pPr>
      <w:r>
        <w:rPr>
          <w:sz w:val="20"/>
        </w:rPr>
        <w:t>Submitted by: Dmitry Kuravskiy — Founder, GeoStellar Engineering LLC / Co-Founder &amp; CTO, GeoPioneer LLC</w:t>
        <w:br/>
        <w:t>dkuravskiy@geostellar.io | geostellar.io | Stoughton, Massachusetts</w:t>
      </w:r>
    </w:p>
    <w:p>
      <w:pPr>
        <w:spacing w:after="80" w:line="252" w:lineRule="auto"/>
      </w:pPr>
    </w:p>
    <w:p>
      <w:pPr>
        <w:pStyle w:val="Heading2"/>
        <w:spacing w:before="120" w:after="80" w:line="252" w:lineRule="auto"/>
      </w:pPr>
      <w:r>
        <w:t>Co-signatories</w:t>
      </w:r>
    </w:p>
    <w:p>
      <w:pPr>
        <w:spacing w:after="80" w:line="252" w:lineRule="auto"/>
      </w:pPr>
      <w:r>
        <w:rPr>
          <w:sz w:val="21"/>
        </w:rPr>
        <w:t>[Name, Title, Organization] ______________________________ Signature __________________ Date ________</w:t>
      </w:r>
    </w:p>
    <w:p>
      <w:pPr>
        <w:spacing w:after="80" w:line="252" w:lineRule="auto"/>
      </w:pPr>
      <w:r>
        <w:rPr>
          <w:sz w:val="21"/>
        </w:rPr>
        <w:t>[Name, Title, Organization] ______________________________ Signature __________________ Date ________</w:t>
      </w:r>
    </w:p>
    <w:p>
      <w:pPr>
        <w:spacing w:after="80" w:line="252" w:lineRule="auto"/>
      </w:pPr>
      <w:r>
        <w:rPr>
          <w:sz w:val="21"/>
        </w:rPr>
        <w:t>[Name, Title, Organization] ______________________________ Signature __________________ Date ________</w:t>
      </w:r>
    </w:p>
    <w:p>
      <w:pPr>
        <w:spacing w:after="80" w:line="252" w:lineRule="auto"/>
      </w:pPr>
      <w:r>
        <w:rPr>
          <w:sz w:val="21"/>
        </w:rPr>
        <w:t>[Additional co-signatories may be added on the signature page.]</w:t>
      </w:r>
    </w:p>
    <w:p>
      <w:pPr/>
      <w:r>
        <w:t>Massachusetts plans to install 500,000 heat pumps by 2030 and electrify 2 million homes by 2050. While this scale of deployment is necessary for decarbonization, the current incentive structure heavily favors Air Source Heat Pumps (ASHP) without adequately accounting for their winter peak demand impacts or long-term grid infrastructure costs. A critical technical review of the Mass Save data and industry standards reveals that a more balanced approach—incorporating Ground Source Heat Pumps (GSHP) and thermal networks—is essential to protect ratepayers.</w:t>
      </w:r>
    </w:p>
    <w:p>
      <w:pPr/>
      <w:r/>
    </w:p>
    <w:p>
      <w:pPr/>
      <w:r/>
    </w:p>
    <w:p>
      <w:pPr/>
      <w:r/>
    </w:p>
    <w:p>
      <w:pPr/>
      <w:r>
        <w:t>Furthermore, the narrative that ASHPs will save customers money is frequently inaccurate under current utility rates. The April 2026 EEAC EM&amp;V Presentation (Slide 45) confirms that electricity in Massachusetts costs 4.55 times more than natural gas per MMBTU. To simply break even on operating costs against a standard 95% efficient gas furnace, a heat pump must maintain a Coefficient of Performance (COP) of roughly 4.3. While GSHPs operate in the 3.8 to 4.8 COP range during winter, standard ASHPs drop to a COP of 1.5 to 2.3 at 5°F, further degraded by defrost cycles. Consequently, many customers switching from gas to ASHP experience significant bill increases during the coldest months.</w:t>
      </w:r>
    </w:p>
    <w:p>
      <w:pPr/>
      <w:r>
        <w:t>The Mass Save program's own data reflects these technical realities. The April 2026 EEAC EM&amp;V Presentation reveals concerning trends for ASHPs: only 20% of whole-home central ducted ASHP users are 'extremely satisfied' with their heat during extreme cold (Slide 19), and 42% are dissatisfied (moderately or extremely) with their operating costs (Slide 20). In contrast, 62% of GSHP users are extremely satisfied with their heat, and 42% are extremely satisfied with operating costs. Additionally, the same presentation notes that contractor markups on ducted ASHPs in Massachusetts average 77%, compared to a national industry norm of roughly 40% (Slide 30), indicating that incentives are frequently absorbed by installers rather than benefiting ratepayers.</w:t>
      </w:r>
    </w:p>
    <w:p>
      <w:pPr/>
      <w:r>
        <w:t>With the DPU-approved 2025-2027 energy efficiency budget capped at $4.5 billion and legislative proposals like H.5151 threatening a $1 billion cut, Mass Save cannot afford to subsidize pathways that increase long-term grid costs and customer energy burdens. The planning process must differentiate technologies based on their actual grid and ratepayer impacts.</w:t>
      </w:r>
    </w:p>
    <w:p>
      <w:pPr>
        <w:pStyle w:val="Heading1"/>
        <w:spacing w:before="200" w:after="80" w:line="252" w:lineRule="auto"/>
      </w:pPr>
      <w:r>
        <w:t>Why This Comment</w:t>
      </w:r>
    </w:p>
    <w:p>
      <w:pPr>
        <w:spacing w:after="80" w:line="252" w:lineRule="auto"/>
      </w:pPr>
      <w:r>
        <w:rPr>
          <w:sz w:val="21"/>
        </w:rPr>
        <w:t>Massachusetts is pursuing building electrification at scale while facing constrained budgets for both energy efficiency programs and distribution infrastructure. The DPU-approved 2025–2027 Mass Save budget of $4.5 billion is under legislative pressure, with H.5151 proposing to cut approximately $1 billion. Equipment costs are rising due to the A2L refrigerant transition and general inflation. The 2030 and 2050 greenhouse gas mandates remain unchanged. Every public dollar and every ratepayer dollar must therefore produce the maximum possible climate, grid, and customer outcome.</w:t>
      </w:r>
    </w:p>
    <w:p>
      <w:pPr>
        <w:spacing w:after="80" w:line="252" w:lineRule="auto"/>
      </w:pPr>
      <w:r>
        <w:rPr>
          <w:sz w:val="21"/>
        </w:rPr>
        <w:t>This comment addresses a specific dimension of that challenge: distribution grid planning. Different heating electrification pathways impose materially different costs on the distribution system. A pathway that drives winter coincident peak creates feeder upgrades, transformer replacements, and service upsizing—all recovered from ratepayers through delivery rates over decades. A pathway that delivers the same CO2 reduction with lower peak avoids those costs entirely. The difference is not marginal: across tens of thousands of installations, it can represent hundreds of millions of dollars in avoided or deferred grid investment.</w:t>
      </w:r>
    </w:p>
    <w:p>
      <w:pPr>
        <w:spacing w:after="80" w:line="252" w:lineRule="auto"/>
      </w:pPr>
      <w:r>
        <w:rPr>
          <w:sz w:val="21"/>
        </w:rPr>
        <w:t>Those avoided grid costs are not abstract savings—they represent real capital that could be redirected to accelerate electrification in low-income and environmental justice communities, to fund thermal energy networks in underserved neighborhoods, or to reduce delivery rates for all ratepayers. The purpose of this comment is to ensure that ESMP load forecasting and distribution planning capture these differences so that Massachusetts can make the most effective use of every dollar invested in building decarbonization.</w:t>
      </w:r>
    </w:p>
    <w:p>
      <w:pPr>
        <w:pStyle w:val="Heading1"/>
        <w:spacing w:before="200" w:after="80" w:line="252" w:lineRule="auto"/>
      </w:pPr>
      <w:r>
        <w:t>1. Executive Summary</w:t>
      </w:r>
    </w:p>
    <w:p>
      <w:pPr>
        <w:spacing w:after="80" w:line="252" w:lineRule="auto"/>
      </w:pPr>
      <w:r>
        <w:rPr>
          <w:sz w:val="21"/>
        </w:rPr>
        <w:t>Massachusetts cannot meet its 2050 net-zero target, protect customers from avoidable delivery-rate growth, and maintain a reliable distribution grid if all heating electrification is modeled as the same electric load. Air-source heat pumps (ASHPs), ground-source heat pumps (GSHPs), thermal energy networks (TENs), and net-zero buildings have materially different winter coincident peak profiles, lifecycle costs, emissions outcomes, and distribution-planning consequences.</w:t>
      </w:r>
    </w:p>
    <w:p>
      <w:pPr>
        <w:spacing w:after="80" w:line="252" w:lineRule="auto"/>
      </w:pPr>
      <w:r>
        <w:rPr>
          <w:sz w:val="21"/>
        </w:rPr>
        <w:t>The central planning gap is not simply that ASHPs have lower COP at cold temperatures. The more important engineering issue is that many ASHP systems also lose delivered heating capacity at low ambient temperature. At 5°F, the missing capacity is commonly supplied by electric resistance heat at COP 1.0. Therefore, design-day grid impact must be modeled as compressor load plus resistance-strip makeup load, not compressor COP alone.</w:t>
      </w:r>
    </w:p>
    <w:p>
      <w:pPr>
        <w:spacing w:after="80" w:line="252" w:lineRule="auto"/>
      </w:pPr>
      <w:r>
        <w:rPr>
          <w:sz w:val="21"/>
        </w:rPr>
        <w:t>This comment recommends that GMAC direct the electric distribution companies (EDCs), in future ESMP filings and load forecasts, to disaggregate building electrification by pathway and to publish pathway-specific winter coincident peak factors. The recommended framework is technology-neutral: it does not reject ASHPs. It requires that each pathway be credited or charged according to measured grid impact, customer bill impact, and lifecycle emissions performance.</w:t>
      </w:r>
    </w:p>
    <w:p>
      <w:pPr>
        <w:pStyle w:val="Heading1"/>
        <w:spacing w:before="200" w:after="80" w:line="252" w:lineRule="auto"/>
      </w:pPr>
      <w:r>
        <w:t>2. Engineering Correction: ASHP Design-Day Peak Is COP Plus Capacity Loss Plus Backup</w:t>
      </w:r>
    </w:p>
    <w:p>
      <w:pPr>
        <w:spacing w:after="80" w:line="252" w:lineRule="auto"/>
      </w:pPr>
      <w:r>
        <w:rPr>
          <w:sz w:val="21"/>
        </w:rPr>
        <w:t>A design-day forecast based only on ASHP COP understates peak demand when the unit cannot deliver the full building load at 5°F. The correct distribution-planning calculation is:</w:t>
      </w:r>
    </w:p>
    <w:p>
      <w:pPr>
        <w:spacing w:after="80" w:line="252" w:lineRule="auto"/>
      </w:pPr>
      <w:r>
        <w:rPr>
          <w:rFonts w:ascii="Aptos" w:hAnsi="Aptos"/>
          <w:sz w:val="20"/>
        </w:rPr>
        <w:t>ASHP design-day electric kW = compressor electric input at 5°F + electric resistance makeup kW + fan power + net defrost-cycle impact + controls load.</w:t>
      </w:r>
    </w:p>
    <w:p>
      <w:pPr>
        <w:spacing w:after="80" w:line="252" w:lineRule="auto"/>
      </w:pPr>
      <w:r>
        <w:rPr>
          <w:sz w:val="21"/>
        </w:rPr>
        <w:t>Where electric resistance makeup equals the portion of the building load not delivered by the ASHP compressor at 5°F. Because electric resistance heat has COP 1.0, every 3,412 Btu/h of unmet load adds approximately 1 kW of coincident demand.</w:t>
      </w:r>
    </w:p>
    <w:p>
      <w:pPr>
        <w:spacing w:after="80" w:line="252" w:lineRule="auto"/>
      </w:pPr>
      <w:r>
        <w:rPr>
          <w:rFonts w:ascii="Aptos" w:hAnsi="Aptos"/>
          <w:b/>
          <w:sz w:val="20"/>
        </w:rPr>
        <w:t>Defrost-cycle correction:</w:t>
      </w:r>
      <w:r>
        <w:rPr>
          <w:rFonts w:ascii="Aptos" w:hAnsi="Aptos"/>
          <w:sz w:val="20"/>
        </w:rPr>
        <w:t xml:space="preserve"> The illustrative ASHP numbers below are conservative because they do not assign a separate numerical penalty for outdoor-coil defrost. During cold, damp conditions, an ASHP may temporarily reverse cycle to clear frost from the outdoor coil, reducing net delivered heat and potentially increasing auxiliary heat use. Therefore, planning models should not rely only on steady-state COP; they should include low-temperature capacity, auxiliary heat, defrost-control strategy, and measured winter kW where available.</w:t>
      </w:r>
    </w:p>
    <w:p>
      <w:pPr>
        <w:spacing w:after="80" w:line="252" w:lineRule="auto"/>
      </w:pPr>
      <w:r>
        <w:rPr>
          <w:sz w:val="21"/>
        </w:rPr>
        <w:t>For GSHP, the corresponding calculation is materially different because the heat pump is coupled to a 35-45°F ground loop rather than 5°F ambient air. A properly sized GSHP does not normally require resistance backup to maintain design capacity:</w:t>
      </w:r>
    </w:p>
    <w:p>
      <w:pPr>
        <w:spacing w:after="80" w:line="252" w:lineRule="auto"/>
      </w:pPr>
      <w:r>
        <w:rPr>
          <w:sz w:val="21"/>
        </w:rPr>
        <w:t>GSHP design-day electric kW = building design load / (3,412 x operating COP) + loop pump power.</w:t>
      </w:r>
    </w:p>
    <w:p>
      <w:pPr>
        <w:pStyle w:val="Heading2"/>
        <w:spacing w:before="120" w:after="80" w:line="252" w:lineRule="auto"/>
      </w:pPr>
      <w:r>
        <w:t>2.1 Illustrative 5°F Design-Day Calculation</w:t>
      </w:r>
    </w:p>
    <w:p>
      <w:pPr>
        <w:spacing w:after="80" w:line="252" w:lineRule="auto"/>
      </w:pPr>
      <w:r>
        <w:rPr>
          <w:sz w:val="21"/>
        </w:rPr>
        <w:t>The table below is not intended as a universal value for all homes. It is a transparent planning example showing why ESMP models must include low-temperature delivered capacity and auxiliary heat, not only nameplate capacity or seasonal efficiency.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232"/>
            <w:shd w:fill="D9EAF7"/>
            <w:vAlign w:val="center"/>
          </w:tcPr>
          <w:p>
            <w:pPr>
              <w:spacing w:after="0"/>
            </w:pPr>
            <w:r>
              <w:rPr>
                <w:rFonts w:ascii="Aptos" w:hAnsi="Aptos"/>
                <w:sz w:val="17"/>
              </w:rPr>
            </w:r>
            <w:r>
              <w:rPr>
                <w:rFonts w:ascii="Aptos" w:hAnsi="Aptos"/>
                <w:b/>
                <w:sz w:val="16"/>
              </w:rPr>
              <w:t>Parameter</w:t>
            </w:r>
          </w:p>
        </w:tc>
        <w:tc>
          <w:tcPr>
            <w:tcW w:type="dxa" w:w="2520"/>
            <w:shd w:fill="D9EAF7"/>
            <w:vAlign w:val="center"/>
          </w:tcPr>
          <w:p>
            <w:pPr>
              <w:spacing w:after="0"/>
            </w:pPr>
            <w:r>
              <w:rPr>
                <w:rFonts w:ascii="Aptos" w:hAnsi="Aptos"/>
                <w:sz w:val="17"/>
              </w:rPr>
            </w:r>
            <w:r>
              <w:rPr>
                <w:rFonts w:ascii="Aptos" w:hAnsi="Aptos"/>
                <w:b/>
                <w:sz w:val="16"/>
              </w:rPr>
              <w:t>ASHP with capacity loss at 5°F</w:t>
            </w:r>
          </w:p>
        </w:tc>
        <w:tc>
          <w:tcPr>
            <w:tcW w:type="dxa" w:w="2520"/>
            <w:shd w:fill="D9EAF7"/>
            <w:vAlign w:val="center"/>
          </w:tcPr>
          <w:p>
            <w:pPr>
              <w:spacing w:after="0"/>
            </w:pPr>
            <w:r>
              <w:rPr>
                <w:rFonts w:ascii="Aptos" w:hAnsi="Aptos"/>
                <w:sz w:val="17"/>
              </w:rPr>
            </w:r>
            <w:r>
              <w:rPr>
                <w:rFonts w:ascii="Aptos" w:hAnsi="Aptos"/>
                <w:b/>
                <w:sz w:val="16"/>
              </w:rPr>
              <w:t>GSHP with stable source temperature</w:t>
            </w:r>
          </w:p>
        </w:tc>
        <w:tc>
          <w:tcPr>
            <w:tcW w:type="dxa" w:w="2951"/>
            <w:shd w:fill="D9EAF7"/>
            <w:vAlign w:val="center"/>
          </w:tcPr>
          <w:p>
            <w:pPr>
              <w:spacing w:after="0"/>
            </w:pPr>
            <w:r>
              <w:rPr>
                <w:rFonts w:ascii="Aptos" w:hAnsi="Aptos"/>
                <w:sz w:val="17"/>
              </w:rPr>
            </w:r>
            <w:r>
              <w:rPr>
                <w:rFonts w:ascii="Aptos" w:hAnsi="Aptos"/>
                <w:b/>
                <w:sz w:val="16"/>
              </w:rPr>
              <w:t>Planning implication</w:t>
            </w:r>
          </w:p>
        </w:tc>
      </w:tr>
      <w:tr>
        <w:tc>
          <w:tcPr>
            <w:tcW w:type="dxa" w:w="2232"/>
            <w:vAlign w:val="top"/>
          </w:tcPr>
          <w:p>
            <w:pPr>
              <w:spacing w:after="0"/>
            </w:pPr>
            <w:r>
              <w:rPr>
                <w:rFonts w:ascii="Aptos" w:hAnsi="Aptos"/>
                <w:sz w:val="17"/>
              </w:rPr>
            </w:r>
            <w:r>
              <w:rPr>
                <w:rFonts w:ascii="Aptos" w:hAnsi="Aptos"/>
                <w:b w:val="0"/>
                <w:sz w:val="16"/>
              </w:rPr>
              <w:t>Building design heating load</w:t>
            </w:r>
          </w:p>
        </w:tc>
        <w:tc>
          <w:tcPr>
            <w:tcW w:type="dxa" w:w="2520"/>
            <w:vAlign w:val="top"/>
          </w:tcPr>
          <w:p>
            <w:pPr>
              <w:spacing w:after="0"/>
            </w:pPr>
            <w:r>
              <w:rPr>
                <w:rFonts w:ascii="Aptos" w:hAnsi="Aptos"/>
                <w:sz w:val="17"/>
              </w:rPr>
            </w:r>
            <w:r>
              <w:rPr>
                <w:rFonts w:ascii="Aptos" w:hAnsi="Aptos"/>
                <w:b w:val="0"/>
                <w:sz w:val="16"/>
              </w:rPr>
              <w:t>60,000 Btu/h</w:t>
            </w:r>
          </w:p>
        </w:tc>
        <w:tc>
          <w:tcPr>
            <w:tcW w:type="dxa" w:w="2520"/>
            <w:vAlign w:val="top"/>
          </w:tcPr>
          <w:p>
            <w:pPr>
              <w:spacing w:after="0"/>
            </w:pPr>
            <w:r>
              <w:rPr>
                <w:rFonts w:ascii="Aptos" w:hAnsi="Aptos"/>
                <w:sz w:val="17"/>
              </w:rPr>
            </w:r>
            <w:r>
              <w:rPr>
                <w:rFonts w:ascii="Aptos" w:hAnsi="Aptos"/>
                <w:b w:val="0"/>
                <w:sz w:val="16"/>
              </w:rPr>
              <w:t>60,000 Btu/h</w:t>
            </w:r>
          </w:p>
        </w:tc>
        <w:tc>
          <w:tcPr>
            <w:tcW w:type="dxa" w:w="2951"/>
            <w:vAlign w:val="top"/>
          </w:tcPr>
          <w:p>
            <w:pPr>
              <w:spacing w:after="0"/>
            </w:pPr>
            <w:r>
              <w:rPr>
                <w:rFonts w:ascii="Aptos" w:hAnsi="Aptos"/>
                <w:sz w:val="17"/>
              </w:rPr>
            </w:r>
            <w:r>
              <w:rPr>
                <w:rFonts w:ascii="Aptos" w:hAnsi="Aptos"/>
                <w:b w:val="0"/>
                <w:sz w:val="16"/>
              </w:rPr>
              <w:t>Same building load.</w:t>
            </w:r>
          </w:p>
        </w:tc>
      </w:tr>
      <w:tr>
        <w:tc>
          <w:tcPr>
            <w:tcW w:type="dxa" w:w="2232"/>
            <w:vAlign w:val="top"/>
          </w:tcPr>
          <w:p>
            <w:pPr>
              <w:spacing w:after="0"/>
            </w:pPr>
            <w:r>
              <w:rPr>
                <w:rFonts w:ascii="Aptos" w:hAnsi="Aptos"/>
                <w:sz w:val="17"/>
              </w:rPr>
            </w:r>
            <w:r>
              <w:rPr>
                <w:rFonts w:ascii="Aptos" w:hAnsi="Aptos"/>
                <w:b w:val="0"/>
                <w:sz w:val="16"/>
              </w:rPr>
              <w:t>Available heat-pump capacity at 5°F</w:t>
            </w:r>
          </w:p>
        </w:tc>
        <w:tc>
          <w:tcPr>
            <w:tcW w:type="dxa" w:w="2520"/>
            <w:vAlign w:val="top"/>
          </w:tcPr>
          <w:p>
            <w:pPr>
              <w:spacing w:after="0"/>
            </w:pPr>
            <w:r>
              <w:rPr>
                <w:rFonts w:ascii="Aptos" w:hAnsi="Aptos"/>
                <w:sz w:val="17"/>
              </w:rPr>
            </w:r>
            <w:r>
              <w:rPr>
                <w:rFonts w:ascii="Aptos" w:hAnsi="Aptos"/>
                <w:b w:val="0"/>
                <w:sz w:val="16"/>
              </w:rPr>
              <w:t>36,000-42,000 Btu/h if 60-70% of load is delivered by compressor</w:t>
            </w:r>
          </w:p>
        </w:tc>
        <w:tc>
          <w:tcPr>
            <w:tcW w:type="dxa" w:w="2520"/>
            <w:vAlign w:val="top"/>
          </w:tcPr>
          <w:p>
            <w:pPr>
              <w:spacing w:after="0"/>
            </w:pPr>
            <w:r>
              <w:rPr>
                <w:rFonts w:ascii="Aptos" w:hAnsi="Aptos"/>
                <w:sz w:val="17"/>
              </w:rPr>
            </w:r>
            <w:r>
              <w:rPr>
                <w:rFonts w:ascii="Aptos" w:hAnsi="Aptos"/>
                <w:b w:val="0"/>
                <w:sz w:val="16"/>
              </w:rPr>
              <w:t>60,000 Btu/h if system is sized to design load</w:t>
            </w:r>
          </w:p>
        </w:tc>
        <w:tc>
          <w:tcPr>
            <w:tcW w:type="dxa" w:w="2951"/>
            <w:vAlign w:val="top"/>
          </w:tcPr>
          <w:p>
            <w:pPr>
              <w:spacing w:after="0"/>
            </w:pPr>
            <w:r>
              <w:rPr>
                <w:rFonts w:ascii="Aptos" w:hAnsi="Aptos"/>
                <w:sz w:val="17"/>
              </w:rPr>
            </w:r>
            <w:r>
              <w:rPr>
                <w:rFonts w:ascii="Aptos" w:hAnsi="Aptos"/>
                <w:b w:val="0"/>
                <w:sz w:val="16"/>
              </w:rPr>
              <w:t>ASHP capacity degradation creates unserved load.</w:t>
            </w:r>
          </w:p>
        </w:tc>
      </w:tr>
      <w:tr>
        <w:tc>
          <w:tcPr>
            <w:tcW w:type="dxa" w:w="2232"/>
            <w:vAlign w:val="top"/>
          </w:tcPr>
          <w:p>
            <w:pPr>
              <w:spacing w:after="0"/>
            </w:pPr>
            <w:r>
              <w:rPr>
                <w:rFonts w:ascii="Aptos" w:hAnsi="Aptos"/>
                <w:sz w:val="17"/>
              </w:rPr>
            </w:r>
            <w:r>
              <w:rPr>
                <w:rFonts w:ascii="Aptos" w:hAnsi="Aptos"/>
                <w:b w:val="0"/>
                <w:sz w:val="16"/>
              </w:rPr>
              <w:t>Operating COP</w:t>
            </w:r>
          </w:p>
        </w:tc>
        <w:tc>
          <w:tcPr>
            <w:tcW w:type="dxa" w:w="2520"/>
            <w:vAlign w:val="top"/>
          </w:tcPr>
          <w:p>
            <w:pPr>
              <w:spacing w:after="0"/>
            </w:pPr>
            <w:r>
              <w:rPr>
                <w:rFonts w:ascii="Aptos" w:hAnsi="Aptos"/>
                <w:sz w:val="17"/>
              </w:rPr>
            </w:r>
            <w:r>
              <w:rPr>
                <w:rFonts w:ascii="Aptos" w:hAnsi="Aptos"/>
                <w:b w:val="0"/>
                <w:sz w:val="16"/>
              </w:rPr>
              <w:t>~1.7 for compressor heat at 5°F</w:t>
            </w:r>
          </w:p>
        </w:tc>
        <w:tc>
          <w:tcPr>
            <w:tcW w:type="dxa" w:w="2520"/>
            <w:vAlign w:val="top"/>
          </w:tcPr>
          <w:p>
            <w:pPr>
              <w:spacing w:after="0"/>
            </w:pPr>
            <w:r>
              <w:rPr>
                <w:rFonts w:ascii="Aptos" w:hAnsi="Aptos"/>
                <w:sz w:val="17"/>
              </w:rPr>
            </w:r>
            <w:r>
              <w:rPr>
                <w:rFonts w:ascii="Aptos" w:hAnsi="Aptos"/>
                <w:b w:val="0"/>
                <w:sz w:val="16"/>
              </w:rPr>
              <w:t>~4.0-4.5 with ground loop entering water temperature</w:t>
            </w:r>
          </w:p>
        </w:tc>
        <w:tc>
          <w:tcPr>
            <w:tcW w:type="dxa" w:w="2951"/>
            <w:vAlign w:val="top"/>
          </w:tcPr>
          <w:p>
            <w:pPr>
              <w:spacing w:after="0"/>
            </w:pPr>
            <w:r>
              <w:rPr>
                <w:rFonts w:ascii="Aptos" w:hAnsi="Aptos"/>
                <w:sz w:val="17"/>
              </w:rPr>
            </w:r>
            <w:r>
              <w:rPr>
                <w:rFonts w:ascii="Aptos" w:hAnsi="Aptos"/>
                <w:b w:val="0"/>
                <w:sz w:val="16"/>
              </w:rPr>
              <w:t>Efficiency alone is not sufficient; capacity also matters.</w:t>
            </w:r>
          </w:p>
        </w:tc>
      </w:tr>
      <w:tr>
        <w:tc>
          <w:tcPr>
            <w:tcW w:type="dxa" w:w="2232"/>
            <w:vAlign w:val="top"/>
          </w:tcPr>
          <w:p>
            <w:pPr>
              <w:spacing w:after="0"/>
            </w:pPr>
            <w:r>
              <w:rPr>
                <w:rFonts w:ascii="Aptos" w:hAnsi="Aptos"/>
                <w:sz w:val="17"/>
              </w:rPr>
            </w:r>
            <w:r>
              <w:rPr>
                <w:rFonts w:ascii="Aptos" w:hAnsi="Aptos"/>
                <w:b w:val="0"/>
                <w:sz w:val="16"/>
              </w:rPr>
              <w:t>Total design-day coincident demand</w:t>
            </w:r>
          </w:p>
        </w:tc>
        <w:tc>
          <w:tcPr>
            <w:tcW w:type="dxa" w:w="2520"/>
            <w:vAlign w:val="top"/>
          </w:tcPr>
          <w:p>
            <w:pPr>
              <w:spacing w:after="0"/>
            </w:pPr>
            <w:r>
              <w:rPr>
                <w:rFonts w:ascii="Aptos" w:hAnsi="Aptos"/>
                <w:sz w:val="17"/>
              </w:rPr>
            </w:r>
            <w:r>
              <w:rPr>
                <w:rFonts w:ascii="Aptos" w:hAnsi="Aptos"/>
                <w:b w:val="0"/>
                <w:sz w:val="16"/>
              </w:rPr>
              <w:t>~11.5-14.2 kW plus fan/defrost effects</w:t>
            </w:r>
          </w:p>
        </w:tc>
        <w:tc>
          <w:tcPr>
            <w:tcW w:type="dxa" w:w="2520"/>
            <w:vAlign w:val="top"/>
          </w:tcPr>
          <w:p>
            <w:pPr>
              <w:spacing w:after="0"/>
            </w:pPr>
            <w:r>
              <w:rPr>
                <w:rFonts w:ascii="Aptos" w:hAnsi="Aptos"/>
                <w:sz w:val="17"/>
              </w:rPr>
            </w:r>
            <w:r>
              <w:rPr>
                <w:rFonts w:ascii="Aptos" w:hAnsi="Aptos"/>
                <w:b w:val="0"/>
                <w:sz w:val="16"/>
              </w:rPr>
              <w:t>~4.2-5.2 kW including typical pump allowance</w:t>
            </w:r>
          </w:p>
        </w:tc>
        <w:tc>
          <w:tcPr>
            <w:tcW w:type="dxa" w:w="2951"/>
            <w:vAlign w:val="top"/>
          </w:tcPr>
          <w:p>
            <w:pPr>
              <w:spacing w:after="0"/>
            </w:pPr>
            <w:r>
              <w:rPr>
                <w:rFonts w:ascii="Aptos" w:hAnsi="Aptos"/>
                <w:sz w:val="17"/>
              </w:rPr>
            </w:r>
            <w:r>
              <w:rPr>
                <w:rFonts w:ascii="Aptos" w:hAnsi="Aptos"/>
                <w:b w:val="0"/>
                <w:sz w:val="16"/>
              </w:rPr>
              <w:t>ASHP can impose roughly 2.5-3.5x the design-day peak of GSHP in this example.</w:t>
            </w:r>
          </w:p>
        </w:tc>
      </w:tr>
      <w:tr>
        <w:tc>
          <w:tcPr>
            <w:tcW w:type="dxa" w:w="2232"/>
            <w:vAlign w:val="top"/>
          </w:tcPr>
          <w:p>
            <w:pPr>
              <w:spacing w:after="0"/>
            </w:pPr>
            <w:r>
              <w:rPr>
                <w:rFonts w:ascii="Aptos" w:hAnsi="Aptos"/>
                <w:sz w:val="17"/>
              </w:rPr>
            </w:r>
            <w:r>
              <w:rPr>
                <w:rFonts w:ascii="Aptos" w:hAnsi="Aptos"/>
                <w:b w:val="0"/>
                <w:sz w:val="16"/>
              </w:rPr>
              <w:t>Compressor electric input</w:t>
            </w:r>
          </w:p>
        </w:tc>
        <w:tc>
          <w:tcPr>
            <w:tcW w:type="dxa" w:w="2520"/>
            <w:vAlign w:val="top"/>
          </w:tcPr>
          <w:p>
            <w:pPr>
              <w:spacing w:after="0"/>
            </w:pPr>
            <w:r>
              <w:rPr>
                <w:rFonts w:ascii="Aptos" w:hAnsi="Aptos"/>
                <w:sz w:val="17"/>
              </w:rPr>
            </w:r>
            <w:r>
              <w:rPr>
                <w:rFonts w:ascii="Aptos" w:hAnsi="Aptos"/>
                <w:b w:val="0"/>
                <w:sz w:val="16"/>
              </w:rPr>
              <w:t>~6.2-7.2 kW</w:t>
            </w:r>
          </w:p>
        </w:tc>
        <w:tc>
          <w:tcPr>
            <w:tcW w:type="dxa" w:w="2520"/>
            <w:vAlign w:val="top"/>
          </w:tcPr>
          <w:p>
            <w:pPr>
              <w:spacing w:after="0"/>
            </w:pPr>
            <w:r>
              <w:rPr>
                <w:rFonts w:ascii="Aptos" w:hAnsi="Aptos"/>
                <w:sz w:val="17"/>
              </w:rPr>
            </w:r>
            <w:r>
              <w:rPr>
                <w:rFonts w:ascii="Aptos" w:hAnsi="Aptos"/>
                <w:b w:val="0"/>
                <w:sz w:val="16"/>
              </w:rPr>
              <w:t>~3.9-4.4 kW before pump power</w:t>
            </w:r>
          </w:p>
        </w:tc>
        <w:tc>
          <w:tcPr>
            <w:tcW w:type="dxa" w:w="2951"/>
            <w:vAlign w:val="top"/>
          </w:tcPr>
          <w:p>
            <w:pPr>
              <w:spacing w:after="0"/>
            </w:pPr>
            <w:r>
              <w:rPr>
                <w:rFonts w:ascii="Aptos" w:hAnsi="Aptos"/>
                <w:sz w:val="17"/>
              </w:rPr>
            </w:r>
            <w:r>
              <w:rPr>
                <w:rFonts w:ascii="Aptos" w:hAnsi="Aptos"/>
                <w:b w:val="0"/>
                <w:sz w:val="16"/>
              </w:rPr>
              <w:t>ASHP compressor kW may already exceed GSHP kW.</w:t>
            </w:r>
          </w:p>
        </w:tc>
      </w:tr>
      <w:tr>
        <w:tc>
          <w:tcPr>
            <w:tcW w:type="dxa" w:w="2232"/>
            <w:vAlign w:val="top"/>
          </w:tcPr>
          <w:p>
            <w:r>
              <w:rPr>
                <w:rFonts w:ascii="Aptos" w:hAnsi="Aptos"/>
                <w:sz w:val="17"/>
              </w:rPr>
            </w:r>
            <w:r>
              <w:rPr>
                <w:rFonts w:ascii="Aptos" w:hAnsi="Aptos"/>
                <w:b w:val="0"/>
                <w:sz w:val="18"/>
              </w:rPr>
              <w:t>Defrost/fan/controls effect</w:t>
            </w:r>
          </w:p>
        </w:tc>
        <w:tc>
          <w:tcPr>
            <w:tcW w:type="dxa" w:w="2520"/>
            <w:vAlign w:val="top"/>
          </w:tcPr>
          <w:p>
            <w:r>
              <w:rPr>
                <w:rFonts w:ascii="Aptos" w:hAnsi="Aptos"/>
                <w:sz w:val="17"/>
              </w:rPr>
            </w:r>
            <w:r>
              <w:rPr>
                <w:rFonts w:ascii="Aptos" w:hAnsi="Aptos"/>
                <w:b w:val="0"/>
                <w:sz w:val="18"/>
              </w:rPr>
              <w:t>Not included as a separate numerical value in this screening subtotal; can increase net winter kW and auxiliary heat during cold, damp conditions.</w:t>
            </w:r>
          </w:p>
        </w:tc>
        <w:tc>
          <w:tcPr>
            <w:tcW w:type="dxa" w:w="2520"/>
            <w:vAlign w:val="top"/>
          </w:tcPr>
          <w:p>
            <w:r>
              <w:rPr>
                <w:rFonts w:ascii="Aptos" w:hAnsi="Aptos"/>
                <w:sz w:val="17"/>
              </w:rPr>
            </w:r>
            <w:r>
              <w:rPr>
                <w:rFonts w:ascii="Aptos" w:hAnsi="Aptos"/>
                <w:b w:val="0"/>
                <w:sz w:val="18"/>
              </w:rPr>
              <w:t>No outdoor-coil defrost cycle; fan and loop-pump power should be reported explicitly.</w:t>
            </w:r>
          </w:p>
        </w:tc>
        <w:tc>
          <w:tcPr>
            <w:tcW w:type="dxa" w:w="2951"/>
            <w:vAlign w:val="top"/>
          </w:tcPr>
          <w:p>
            <w:r>
              <w:rPr>
                <w:rFonts w:ascii="Aptos" w:hAnsi="Aptos"/>
                <w:sz w:val="17"/>
              </w:rPr>
            </w:r>
            <w:r>
              <w:rPr>
                <w:rFonts w:ascii="Aptos" w:hAnsi="Aptos"/>
                <w:b w:val="0"/>
                <w:sz w:val="18"/>
              </w:rPr>
              <w:t>The ASHP example is conservative if defrost and controls are not separately modeled.</w:t>
            </w:r>
          </w:p>
        </w:tc>
      </w:tr>
      <w:tr>
        <w:tc>
          <w:tcPr>
            <w:tcW w:type="dxa" w:w="2232"/>
            <w:vAlign w:val="top"/>
          </w:tcPr>
          <w:p>
            <w:pPr>
              <w:spacing w:after="0"/>
            </w:pPr>
            <w:r>
              <w:rPr>
                <w:rFonts w:ascii="Aptos" w:hAnsi="Aptos"/>
                <w:sz w:val="17"/>
              </w:rPr>
            </w:r>
            <w:r>
              <w:rPr>
                <w:rFonts w:ascii="Aptos" w:hAnsi="Aptos"/>
                <w:b w:val="0"/>
                <w:sz w:val="16"/>
              </w:rPr>
              <w:t>Total design-day coincident demand</w:t>
            </w:r>
          </w:p>
        </w:tc>
        <w:tc>
          <w:tcPr>
            <w:tcW w:type="dxa" w:w="2520"/>
            <w:vAlign w:val="top"/>
          </w:tcPr>
          <w:p>
            <w:pPr>
              <w:spacing w:after="0"/>
            </w:pPr>
            <w:r>
              <w:rPr>
                <w:rFonts w:ascii="Aptos" w:hAnsi="Aptos"/>
                <w:sz w:val="17"/>
              </w:rPr>
            </w:r>
            <w:r>
              <w:rPr>
                <w:rFonts w:ascii="Aptos" w:hAnsi="Aptos"/>
                <w:b w:val="0"/>
                <w:sz w:val="16"/>
              </w:rPr>
              <w:t>~11.5-14.2 kW plus fan/defrost effects</w:t>
            </w:r>
          </w:p>
        </w:tc>
        <w:tc>
          <w:tcPr>
            <w:tcW w:type="dxa" w:w="2520"/>
            <w:vAlign w:val="top"/>
          </w:tcPr>
          <w:p>
            <w:pPr>
              <w:spacing w:after="0"/>
            </w:pPr>
            <w:r>
              <w:rPr>
                <w:rFonts w:ascii="Aptos" w:hAnsi="Aptos"/>
                <w:sz w:val="17"/>
              </w:rPr>
            </w:r>
            <w:r>
              <w:rPr>
                <w:rFonts w:ascii="Aptos" w:hAnsi="Aptos"/>
                <w:b w:val="0"/>
                <w:sz w:val="16"/>
              </w:rPr>
              <w:t>~4.2-5.2 kW including typical pump allowance</w:t>
            </w:r>
          </w:p>
        </w:tc>
        <w:tc>
          <w:tcPr>
            <w:tcW w:type="dxa" w:w="2951"/>
            <w:vAlign w:val="top"/>
          </w:tcPr>
          <w:p>
            <w:pPr>
              <w:spacing w:after="0"/>
            </w:pPr>
            <w:r>
              <w:rPr>
                <w:rFonts w:ascii="Aptos" w:hAnsi="Aptos"/>
                <w:sz w:val="17"/>
              </w:rPr>
            </w:r>
            <w:r>
              <w:rPr>
                <w:rFonts w:ascii="Aptos" w:hAnsi="Aptos"/>
                <w:b w:val="0"/>
                <w:sz w:val="16"/>
              </w:rPr>
              <w:t>ASHP can impose roughly 2.5-3.5x the design-day peak of GSHP in this example.</w:t>
            </w:r>
          </w:p>
        </w:tc>
      </w:tr>
    </w:tbl>
    <w:p>
      <w:pPr>
        <w:spacing w:after="80" w:line="252" w:lineRule="auto"/>
      </w:pPr>
    </w:p>
    <w:p>
      <w:pPr>
        <w:spacing w:after="80" w:line="252" w:lineRule="auto"/>
      </w:pPr>
      <w:r>
        <w:rPr>
          <w:sz w:val="21"/>
        </w:rPr>
        <w:t>The ratio becomes larger in leaky, older, high-load homes; in systems sized primarily around cooling load; where backup lockout is not applied; or where cold-weather capacity is materially below design load. Conversely, a high-performing cold-climate ASHP sized to meet full design load with limited or no resistance heat should receive a better load factor. This is exactly why the ESMP should differentiate pathways and installed configurations rather than use a single electrification adder.</w:t>
      </w:r>
    </w:p>
    <w:p>
      <w:pPr>
        <w:spacing w:after="80" w:line="252" w:lineRule="auto"/>
      </w:pPr>
      <w:r>
        <w:t>In practice, contractors replacing fossil heating systems in homes with design loads above 40,000–60,000 BTU/h commonly install electric resistance backup sized at 10–20 kW, depending on system tonnage and climate zone. In Massachusetts at 5°F design temperature, this is standard engineering practice for ducted ASHP installations—not poor workmanship. The U.S. Department of Energy notes that strip heat controls are “one of the most commonly violated installation practices for heat pumps,” meaning backup heat frequently activates at outdoor temperatures well above the intended switchover point. EDC distribution planning should account for installed backup capacity and its actual operating patterns, not only nameplate compressor ratings.</w:t>
      </w:r>
    </w:p>
    <w:p>
      <w:pPr>
        <w:pStyle w:val="Heading2"/>
        <w:spacing w:after="80" w:line="252" w:lineRule="auto"/>
      </w:pPr>
      <w:r>
        <w:t>2.2 Variable-Capacity GSHP Design, Pump Control, and Multi-Zone Architecture</w:t>
      </w:r>
    </w:p>
    <w:p>
      <w:pPr>
        <w:spacing w:after="80" w:line="252" w:lineRule="auto"/>
      </w:pPr>
      <w:r>
        <w:t>GSHP should not be modeled as only single-stage or two-stage equipment. Best-available residential and light-commercial GSHP designs can use an inverter-driven or variable-capacity compressor, a variable-speed indoor fan, and a variable-speed loop pump. The planning input should therefore include the manufacturer-reported minimum stable capacity, maximum capacity, compressor modulation range, fan control, loop-pump control, and backup configuration.</w:t>
      </w:r>
    </w:p>
    <w:p>
      <w:pPr>
        <w:spacing w:after="80" w:line="252" w:lineRule="auto"/>
      </w:pPr>
      <w:r>
        <w:t>This matters for both peak and annual energy. At the winter design condition, the system can be sized to deliver the required load without electric strip heat. During most annual hours, the same system can operate at part load in its high-efficiency operating zone, with stable entering-water temperature and reduced fan and pump power. That operating pattern is materially different from fixed-speed cycling and should be reflected in load shapes and EM&amp;V data.</w:t>
      </w:r>
    </w:p>
    <w:p>
      <w:pPr>
        <w:spacing w:after="80" w:line="252" w:lineRule="auto"/>
      </w:pPr>
      <w:r>
        <w:t>It is also a system-architecture issue. A single central variable-capacity GSHP with multi-zone controls can often serve comfort zones that might otherwise be served by two or three smaller ASHP outdoor units, compressors, or air-handler combinations. ESMP and NWA methods should not unintentionally reward additional compressors, additional auxiliary equipment, and higher labor complexity when a right-sized central variable-capacity system with zoning can provide lower lifecycle cost, lower winter peak, and better controllability.</w:t>
      </w:r>
    </w:p>
    <w:p>
      <w:pPr>
        <w:spacing w:after="80" w:line="252" w:lineRule="auto"/>
      </w:pPr>
      <w:r>
        <w:t>The recommended planning distinction is not simply ASHP versus GSHP. It is fixed-capacity, staged-capacity, and variable-capacity system behavior, combined with source temperature, delivered capacity at design conditions, backup heat, and controls.</w:t>
      </w:r>
    </w:p>
    <w:p>
      <w:pPr>
        <w:pStyle w:val="Heading1"/>
        <w:spacing w:before="200" w:after="80" w:line="252" w:lineRule="auto"/>
      </w:pPr>
      <w:r>
        <w:t>3. Why Current Single-Bucket Electrification Forecasting Is Not Adequate</w:t>
      </w:r>
    </w:p>
    <w:p>
      <w:pPr>
        <w:spacing w:after="80" w:line="252" w:lineRule="auto"/>
      </w:pPr>
      <w:r>
        <w:rPr>
          <w:sz w:val="21"/>
        </w:rPr>
        <w:t>A single “heat pump adoption” load category treats materially different assets as equivalent: a code-minimum home with ASHP and electric strip backup; a high-performance cold-climate ASHP installation; a GSHP installation; a shared-loop thermal network; and a Passive House or net-zero development. These pathways create different winter peaks, summer peaks, resilience profiles, and rate-base consequences.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872"/>
            <w:shd w:fill="D9EAF7"/>
            <w:vAlign w:val="center"/>
          </w:tcPr>
          <w:p>
            <w:pPr>
              <w:spacing w:after="0"/>
            </w:pPr>
            <w:r>
              <w:rPr>
                <w:rFonts w:ascii="Aptos" w:hAnsi="Aptos"/>
                <w:sz w:val="17"/>
              </w:rPr>
            </w:r>
            <w:r>
              <w:rPr>
                <w:rFonts w:ascii="Aptos" w:hAnsi="Aptos"/>
                <w:b/>
                <w:sz w:val="16"/>
              </w:rPr>
              <w:t>Pathway</w:t>
            </w:r>
          </w:p>
        </w:tc>
        <w:tc>
          <w:tcPr>
            <w:tcW w:type="dxa" w:w="4392"/>
            <w:shd w:fill="D9EAF7"/>
            <w:vAlign w:val="center"/>
          </w:tcPr>
          <w:p>
            <w:pPr>
              <w:spacing w:after="0"/>
            </w:pPr>
            <w:r>
              <w:rPr>
                <w:rFonts w:ascii="Aptos" w:hAnsi="Aptos"/>
                <w:sz w:val="17"/>
              </w:rPr>
            </w:r>
            <w:r>
              <w:rPr>
                <w:rFonts w:ascii="Aptos" w:hAnsi="Aptos"/>
                <w:b/>
                <w:sz w:val="16"/>
              </w:rPr>
              <w:t>Key grid-planning variables that must be modeled</w:t>
            </w:r>
          </w:p>
        </w:tc>
        <w:tc>
          <w:tcPr>
            <w:tcW w:type="dxa" w:w="3816"/>
            <w:shd w:fill="D9EAF7"/>
            <w:vAlign w:val="center"/>
          </w:tcPr>
          <w:p>
            <w:pPr>
              <w:spacing w:after="0"/>
            </w:pPr>
            <w:r>
              <w:rPr>
                <w:rFonts w:ascii="Aptos" w:hAnsi="Aptos"/>
                <w:sz w:val="17"/>
              </w:rPr>
            </w:r>
            <w:r>
              <w:rPr>
                <w:rFonts w:ascii="Aptos" w:hAnsi="Aptos"/>
                <w:b/>
                <w:sz w:val="16"/>
              </w:rPr>
              <w:t>Typical planning risk if treated as generic heat pump load</w:t>
            </w:r>
          </w:p>
        </w:tc>
      </w:tr>
      <w:tr>
        <w:tc>
          <w:tcPr>
            <w:tcW w:type="dxa" w:w="1872"/>
            <w:vAlign w:val="top"/>
          </w:tcPr>
          <w:p>
            <w:pPr>
              <w:spacing w:after="0"/>
            </w:pPr>
            <w:r>
              <w:rPr>
                <w:rFonts w:ascii="Aptos" w:hAnsi="Aptos"/>
                <w:sz w:val="17"/>
              </w:rPr>
            </w:r>
            <w:r>
              <w:rPr>
                <w:rFonts w:ascii="Aptos" w:hAnsi="Aptos"/>
                <w:b w:val="0"/>
                <w:sz w:val="16"/>
              </w:rPr>
              <w:t>ASHP</w:t>
            </w:r>
          </w:p>
        </w:tc>
        <w:tc>
          <w:tcPr>
            <w:tcW w:type="dxa" w:w="4392"/>
            <w:vAlign w:val="top"/>
          </w:tcPr>
          <w:p>
            <w:pPr>
              <w:spacing w:after="0"/>
            </w:pPr>
            <w:r>
              <w:rPr>
                <w:rFonts w:ascii="Aptos" w:hAnsi="Aptos"/>
                <w:sz w:val="17"/>
              </w:rPr>
            </w:r>
            <w:r>
              <w:rPr>
                <w:rFonts w:ascii="Aptos" w:hAnsi="Aptos"/>
                <w:b w:val="0"/>
                <w:sz w:val="16"/>
              </w:rPr>
              <w:t>5°F delivered capacity, COP at max capacity, backup heat type, switchover/lockout settings, dual-fuel behavior, envelope condition, defrost and fan load.</w:t>
            </w:r>
          </w:p>
        </w:tc>
        <w:tc>
          <w:tcPr>
            <w:tcW w:type="dxa" w:w="3816"/>
            <w:vAlign w:val="top"/>
          </w:tcPr>
          <w:p>
            <w:pPr>
              <w:spacing w:after="0"/>
            </w:pPr>
            <w:r>
              <w:rPr>
                <w:rFonts w:ascii="Aptos" w:hAnsi="Aptos"/>
                <w:sz w:val="17"/>
              </w:rPr>
            </w:r>
            <w:r>
              <w:rPr>
                <w:rFonts w:ascii="Aptos" w:hAnsi="Aptos"/>
                <w:b w:val="0"/>
                <w:sz w:val="16"/>
              </w:rPr>
              <w:t>Winter peak can be understated if resistance-strip backup is excluded; or overstated if high-capacity ccASHPs are not recognized.</w:t>
            </w:r>
          </w:p>
        </w:tc>
      </w:tr>
      <w:tr>
        <w:tc>
          <w:tcPr>
            <w:tcW w:type="dxa" w:w="1872"/>
            <w:vAlign w:val="top"/>
          </w:tcPr>
          <w:p>
            <w:pPr>
              <w:spacing w:after="0"/>
            </w:pPr>
            <w:r>
              <w:rPr>
                <w:rFonts w:ascii="Aptos" w:hAnsi="Aptos"/>
                <w:sz w:val="17"/>
              </w:rPr>
            </w:r>
            <w:r>
              <w:rPr>
                <w:rFonts w:ascii="Aptos" w:hAnsi="Aptos"/>
                <w:b w:val="0"/>
                <w:sz w:val="16"/>
              </w:rPr>
              <w:t>GSHP</w:t>
            </w:r>
          </w:p>
        </w:tc>
        <w:tc>
          <w:tcPr>
            <w:tcW w:type="dxa" w:w="4392"/>
            <w:vAlign w:val="top"/>
          </w:tcPr>
          <w:p>
            <w:pPr>
              <w:spacing w:after="0"/>
            </w:pPr>
            <w:r>
              <w:rPr>
                <w:rFonts w:ascii="Aptos" w:hAnsi="Aptos"/>
                <w:sz w:val="17"/>
              </w:rPr>
              <w:t>Design load, operating COP, compressor type, variable-capacity range, fan control, loop-pump power, loop-field sizing, zoning architecture, backup configuration, thermal balance, summer heat rejection.</w:t>
            </w:r>
            <w:r>
              <w:rPr>
                <w:rFonts w:ascii="Aptos" w:hAnsi="Aptos"/>
                <w:b w:val="0"/>
                <w:sz w:val="16"/>
              </w:rPr>
            </w:r>
          </w:p>
        </w:tc>
        <w:tc>
          <w:tcPr>
            <w:tcW w:type="dxa" w:w="3816"/>
            <w:vAlign w:val="top"/>
          </w:tcPr>
          <w:p>
            <w:pPr>
              <w:spacing w:after="0"/>
            </w:pPr>
            <w:r>
              <w:rPr>
                <w:rFonts w:ascii="Aptos" w:hAnsi="Aptos"/>
                <w:sz w:val="17"/>
              </w:rPr>
            </w:r>
            <w:r>
              <w:rPr>
                <w:rFonts w:ascii="Aptos" w:hAnsi="Aptos"/>
                <w:b w:val="0"/>
                <w:sz w:val="16"/>
              </w:rPr>
              <w:t>Avoided winter peak and long-life thermal storage value are not credited.</w:t>
            </w:r>
          </w:p>
        </w:tc>
      </w:tr>
      <w:tr>
        <w:tc>
          <w:tcPr>
            <w:tcW w:type="dxa" w:w="1872"/>
            <w:vAlign w:val="top"/>
          </w:tcPr>
          <w:p>
            <w:pPr>
              <w:spacing w:after="0"/>
            </w:pPr>
            <w:r>
              <w:rPr>
                <w:rFonts w:ascii="Aptos" w:hAnsi="Aptos"/>
                <w:sz w:val="17"/>
              </w:rPr>
            </w:r>
            <w:r>
              <w:rPr>
                <w:rFonts w:ascii="Aptos" w:hAnsi="Aptos"/>
                <w:b w:val="0"/>
                <w:sz w:val="16"/>
              </w:rPr>
              <w:t>Thermal energy network</w:t>
            </w:r>
          </w:p>
        </w:tc>
        <w:tc>
          <w:tcPr>
            <w:tcW w:type="dxa" w:w="4392"/>
            <w:vAlign w:val="top"/>
          </w:tcPr>
          <w:p>
            <w:pPr>
              <w:spacing w:after="0"/>
            </w:pPr>
            <w:r>
              <w:rPr>
                <w:rFonts w:ascii="Aptos" w:hAnsi="Aptos"/>
                <w:sz w:val="17"/>
              </w:rPr>
            </w:r>
            <w:r>
              <w:rPr>
                <w:rFonts w:ascii="Aptos" w:hAnsi="Aptos"/>
                <w:b w:val="0"/>
                <w:sz w:val="16"/>
              </w:rPr>
              <w:t>Diversity of connected loads, central pumping, ground loop or ambient loop capacity, waste heat sources, dispatchability, expansion path.</w:t>
            </w:r>
          </w:p>
        </w:tc>
        <w:tc>
          <w:tcPr>
            <w:tcW w:type="dxa" w:w="3816"/>
            <w:vAlign w:val="top"/>
          </w:tcPr>
          <w:p>
            <w:pPr>
              <w:spacing w:after="0"/>
            </w:pPr>
            <w:r>
              <w:rPr>
                <w:rFonts w:ascii="Aptos" w:hAnsi="Aptos"/>
                <w:sz w:val="17"/>
              </w:rPr>
            </w:r>
            <w:r>
              <w:rPr>
                <w:rFonts w:ascii="Aptos" w:hAnsi="Aptos"/>
                <w:b w:val="0"/>
                <w:sz w:val="16"/>
              </w:rPr>
              <w:t>Shared infrastructure is missed as a non-wires alternative and as a long-life grid-supporting asset.</w:t>
            </w:r>
          </w:p>
        </w:tc>
      </w:tr>
      <w:tr>
        <w:tc>
          <w:tcPr>
            <w:tcW w:type="dxa" w:w="1872"/>
            <w:vAlign w:val="top"/>
          </w:tcPr>
          <w:p>
            <w:pPr>
              <w:spacing w:after="0"/>
            </w:pPr>
            <w:r>
              <w:rPr>
                <w:rFonts w:ascii="Aptos" w:hAnsi="Aptos"/>
                <w:sz w:val="17"/>
              </w:rPr>
            </w:r>
            <w:r>
              <w:rPr>
                <w:rFonts w:ascii="Aptos" w:hAnsi="Aptos"/>
                <w:b w:val="0"/>
                <w:sz w:val="16"/>
              </w:rPr>
              <w:t>Net-zero / Passive House / Specialized Code development</w:t>
            </w:r>
          </w:p>
        </w:tc>
        <w:tc>
          <w:tcPr>
            <w:tcW w:type="dxa" w:w="4392"/>
            <w:vAlign w:val="top"/>
          </w:tcPr>
          <w:p>
            <w:pPr>
              <w:spacing w:after="0"/>
            </w:pPr>
            <w:r>
              <w:rPr>
                <w:rFonts w:ascii="Aptos" w:hAnsi="Aptos"/>
                <w:sz w:val="17"/>
              </w:rPr>
            </w:r>
            <w:r>
              <w:rPr>
                <w:rFonts w:ascii="Aptos" w:hAnsi="Aptos"/>
                <w:b w:val="0"/>
                <w:sz w:val="16"/>
              </w:rPr>
              <w:t>Measured or modeled peak load, envelope performance, PV, storage, controls, demand flexibility.</w:t>
            </w:r>
          </w:p>
        </w:tc>
        <w:tc>
          <w:tcPr>
            <w:tcW w:type="dxa" w:w="3816"/>
            <w:vAlign w:val="top"/>
          </w:tcPr>
          <w:p>
            <w:pPr>
              <w:spacing w:after="0"/>
            </w:pPr>
            <w:r>
              <w:rPr>
                <w:rFonts w:ascii="Aptos" w:hAnsi="Aptos"/>
                <w:sz w:val="17"/>
              </w:rPr>
            </w:r>
            <w:r>
              <w:rPr>
                <w:rFonts w:ascii="Aptos" w:hAnsi="Aptos"/>
                <w:b w:val="0"/>
                <w:sz w:val="16"/>
              </w:rPr>
              <w:t>Capacity needs can be overstated when these buildings are assigned code-minimum load shapes.</w:t>
            </w:r>
          </w:p>
        </w:tc>
      </w:tr>
    </w:tbl>
    <w:p>
      <w:pPr>
        <w:spacing w:after="80" w:line="252" w:lineRule="auto"/>
      </w:pPr>
    </w:p>
    <w:p>
      <w:pPr>
        <w:pStyle w:val="Heading1"/>
        <w:spacing w:before="200" w:after="80" w:line="252" w:lineRule="auto"/>
      </w:pPr>
      <w:r>
        <w:t>4. Thermal Networks and Ground-Coupled Systems as Non-Wires Alternatives</w:t>
      </w:r>
    </w:p>
    <w:p>
      <w:pPr>
        <w:spacing w:after="80" w:line="252" w:lineRule="auto"/>
      </w:pPr>
      <w:r>
        <w:rPr>
          <w:sz w:val="21"/>
        </w:rPr>
        <w:t>GSHP systems, shared ground loops, and TENs can provide non-wires value when they reduce feeder peak, defer transformer replacement, avoid service upsizing, or shift useful thermal energy away from electric peak hours. This value should be evaluated on the same avoided-cost basis used for batteries, demand response, and other non-wires alternatives.</w:t>
      </w:r>
    </w:p>
    <w:p>
      <w:pPr>
        <w:pStyle w:val="ListBullet"/>
        <w:spacing w:after="80" w:line="252" w:lineRule="auto"/>
      </w:pPr>
      <w:r>
        <w:rPr>
          <w:sz w:val="21"/>
        </w:rPr>
        <w:t>Winter NWA value: Lower coincident winter peak per building compared with ASHP installations that rely on resistance heat during design conditions.</w:t>
      </w:r>
    </w:p>
    <w:p>
      <w:pPr>
        <w:pStyle w:val="ListBullet"/>
        <w:spacing w:after="80" w:line="252" w:lineRule="auto"/>
      </w:pPr>
      <w:r>
        <w:rPr>
          <w:sz w:val="21"/>
        </w:rPr>
        <w:t>Summer NWA value: Ground-coupled heat rejection and thermal storage can reduce cooling peak compared with air-cooled equipment, particularly where paired with controls or batteries.</w:t>
      </w:r>
    </w:p>
    <w:p>
      <w:pPr>
        <w:pStyle w:val="ListBullet"/>
        <w:spacing w:after="80" w:line="252" w:lineRule="auto"/>
      </w:pPr>
      <w:r>
        <w:rPr>
          <w:sz w:val="21"/>
        </w:rPr>
        <w:t>Lifecycle value: GSHP infrastructure has three distinct lifecycle tiers. The ground loop (HDPE piping in bedrock) has a useful life of 50–100+ years with no moving parts, no weather exposure, and no maintenance requirement. The indoor heat pump equipment lasts 25+ years because it operates in a conditioned space with no freeze-thaw cycling, UV degradation, salt air, or outdoor coil corrosion, and because the compressor works against a stable 35–45°F source rather than 5°F ambient. By contrast, an ASHP outdoor unit typically lasts 12–15 years under full New England weather exposure, and battery storage NWA assets have 10–15 year useful lives requiring full replacement. Over a 50-year planning horizon, the cost per kW-year of deferred distribution peak from a GSHP ground loop is substantially better than from a battery NWA or ASHP demand response resource. Planning screens that use only 10–15 year evaluation horizons systematically undervalue this long-lived thermal infrastructure.</w:t>
      </w:r>
    </w:p>
    <w:p>
      <w:pPr>
        <w:pStyle w:val="ListBullet"/>
        <w:spacing w:after="80" w:line="252" w:lineRule="auto"/>
      </w:pPr>
      <w:r>
        <w:rPr>
          <w:sz w:val="21"/>
        </w:rPr>
        <w:t>Dispatchability distinction: Customer-owned GSHPs should be treated as grid-beneficial customer-sited infrastructure; utility-owned or contractually controlled TENs can be evaluated as more direct NWA resources.</w:t>
      </w:r>
    </w:p>
    <w:p>
      <w:pPr>
        <w:pStyle w:val="Heading1"/>
        <w:spacing w:before="200" w:after="80" w:line="252" w:lineRule="auto"/>
      </w:pPr>
      <w:r>
        <w:t>5. Data Center Thermal Integration Should Be a Planning Input, Not an Afterthought</w:t>
      </w:r>
    </w:p>
    <w:p>
      <w:pPr>
        <w:spacing w:after="80" w:line="252" w:lineRule="auto"/>
      </w:pPr>
      <w:r>
        <w:rPr>
          <w:sz w:val="21"/>
        </w:rPr>
        <w:t>The rapid emergence of data-center loads requires a broader planning lens. A data center remains a major electric load, but its rejected heat can be a thermal resource if it is captured and delivered to nearby hospitals, campuses, multifamily housing, industrial users, or district thermal networks. Current ESMP methodology is not designed to evaluate this interaction.</w:t>
      </w:r>
    </w:p>
    <w:p>
      <w:pPr>
        <w:spacing w:after="80" w:line="252" w:lineRule="auto"/>
      </w:pPr>
      <w:r>
        <w:rPr>
          <w:sz w:val="21"/>
        </w:rPr>
        <w:t>A Massachusetts example illustrates the scale of this opportunity. A 40 MW data center facility (approximately 30 MW IT compute load) rejects essentially all of its electrical input as heat. Even capturing 10–15 MW of this continuous waste heat via a thermal energy network serving adjacent hospitals, universities, and residential communities could displace the equivalent of several thousand individual gas heating systems. At the same time, ground-coupled heat rejection for the data center’s cooling load can reduce its own electricity consumption compared to conventional air-cooled equipment, with the ground loop providing seasonal thermal storage. The combined effect can be a net reduction in distribution peak: the thermal network reduces heating electrification peak in connected buildings while improving the data center’s own load profile. Current ESMP methodology cannot model this interaction because it does not differentiate heating electrification pathways or credit thermal networks as grid resources.</w:t>
      </w:r>
    </w:p>
    <w:p>
      <w:pPr>
        <w:spacing w:after="80" w:line="252" w:lineRule="auto"/>
      </w:pPr>
      <w:r>
        <w:rPr>
          <w:sz w:val="21"/>
        </w:rPr>
        <w:t>For distribution areas with planned or existing data-center load, EDCs should screen for three linked opportunities: (1) waste heat recovery into a district thermal loop; (2) ground-coupled or water-coupled heat rejection that reduces cooling electricity; and (3) seasonal borehole thermal energy storage where geology, land area, and thermal loads support it. These opportunities should be evaluated as scenario inputs, not assumed as guaranteed benefits.</w:t>
      </w:r>
    </w:p>
    <w:p>
      <w:pPr>
        <w:pStyle w:val="Heading1"/>
        <w:spacing w:before="200" w:after="80" w:line="252" w:lineRule="auto"/>
      </w:pPr>
      <w:r>
        <w:t>6. Recommended GMAC Actions</w:t>
      </w:r>
    </w:p>
    <w:p>
      <w:pPr>
        <w:pStyle w:val="ListNumber"/>
        <w:spacing w:after="80" w:line="252" w:lineRule="auto"/>
      </w:pPr>
      <w:r>
        <w:rPr>
          <w:sz w:val="21"/>
        </w:rPr>
        <w:t>Require pathway-differentiated heating electrification forecasts in ESMP filings: ASHP, high-performing full-capacity ccASHP, GSHP, TEN, and net-zero/high-performance building load classes.</w:t>
      </w:r>
    </w:p>
    <w:p>
      <w:pPr>
        <w:pStyle w:val="ListNumber"/>
        <w:spacing w:after="80" w:line="252" w:lineRule="auto"/>
      </w:pPr>
      <w:r>
        <w:rPr>
          <w:sz w:val="21"/>
        </w:rPr>
        <w:t>Require ASHP load forecasts to include 5°F delivered capacity, 5°F COP at maximum capacity, backup heat type, strip-heat staging, lockout/switchover settings, and expected building envelope condition.</w:t>
      </w:r>
    </w:p>
    <w:p>
      <w:pPr>
        <w:pStyle w:val="ListNumber"/>
        <w:spacing w:after="80" w:line="252" w:lineRule="auto"/>
      </w:pPr>
      <w:r>
        <w:rPr>
          <w:sz w:val="21"/>
        </w:rPr>
        <w:t>Require GSHP and TEN forecasts to include compressor kW, pump kW, loop design assumptions, thermal balance assumptions, backup configuration, and expected useful life of ground infrastructure.</w:t>
      </w:r>
    </w:p>
    <w:p>
      <w:pPr>
        <w:pStyle w:val="ListNumber"/>
        <w:spacing w:after="80" w:line="252" w:lineRule="auto"/>
      </w:pPr>
      <w:r>
        <w:t>Require EDCs to distinguish fixed-speed, two-stage, and variable-capacity heat-pump systems where those systems create materially different load shapes, part-load performance, backup operation, and winter coincident peak.</w:t>
      </w:r>
    </w:p>
    <w:p>
      <w:pPr>
        <w:pStyle w:val="ListNumber"/>
        <w:spacing w:after="80" w:line="252" w:lineRule="auto"/>
      </w:pPr>
      <w:r>
        <w:rPr>
          <w:sz w:val="21"/>
        </w:rPr>
        <w:t>Create a Massachusetts heat-pump performance registry using anonymized installed data: technology, rated capacity, measured winter peak where available, annual kWh, backup usage, customer bill impact, installed cost, and customer satisfaction.</w:t>
      </w:r>
    </w:p>
    <w:p>
      <w:pPr>
        <w:pStyle w:val="ListNumber"/>
        <w:spacing w:after="80" w:line="252" w:lineRule="auto"/>
      </w:pPr>
      <w:r>
        <w:rPr>
          <w:sz w:val="21"/>
        </w:rPr>
        <w:t>Include GSHP, TENs, shared ground loops, and ground-coupled thermal storage in NWA screening on equal footing with batteries and demand response where they can defer or avoid distribution investment.</w:t>
      </w:r>
    </w:p>
    <w:p>
      <w:pPr>
        <w:pStyle w:val="ListNumber"/>
        <w:spacing w:after="80" w:line="252" w:lineRule="auto"/>
      </w:pPr>
      <w:r>
        <w:rPr>
          <w:sz w:val="21"/>
        </w:rPr>
        <w:t>Coordinate with the EEAC so that Mass Save incentives reflect avoided distribution capacity and winter coincident peak impact, not only first-year site energy or installation count.</w:t>
      </w:r>
    </w:p>
    <w:p>
      <w:pPr>
        <w:pStyle w:val="ListNumber"/>
        <w:spacing w:after="80" w:line="252" w:lineRule="auto"/>
      </w:pPr>
      <w:r>
        <w:rPr>
          <w:sz w:val="21"/>
        </w:rPr>
        <w:t>Require data-center interconnection and load-growth reviews to screen for waste heat recovery, district thermal opportunities, and ground-coupled storage where major thermal loads exist nearby.</w:t>
      </w:r>
    </w:p>
    <w:p>
      <w:pPr>
        <w:pStyle w:val="ListNumber"/>
        <w:spacing w:after="80" w:line="252" w:lineRule="auto"/>
      </w:pPr>
      <w:r>
        <w:rPr>
          <w:sz w:val="21"/>
        </w:rPr>
        <w:t>Adopt separate load profiles for Passive House, Specialized Code, and verified net-zero developments so high-performance buildings are not assigned code-minimum peak assumptions.</w:t>
      </w:r>
    </w:p>
    <w:p>
      <w:pPr>
        <w:pStyle w:val="Heading1"/>
        <w:spacing w:before="200" w:after="80" w:line="252" w:lineRule="auto"/>
      </w:pPr>
      <w:r>
        <w:t>7. Proposed Resolution Language</w:t>
      </w:r>
    </w:p>
    <w:p>
      <w:pPr>
        <w:spacing w:after="80" w:line="252" w:lineRule="auto"/>
      </w:pPr>
      <w:r>
        <w:rPr>
          <w:sz w:val="21"/>
        </w:rPr>
        <w:t>The undersigned respectfully suggest that GMAC consider including the following language in its 2026 recommendations to the Department of Public Utilities:</w:t>
      </w:r>
    </w:p>
    <w:p>
      <w:pPr>
        <w:spacing w:after="80" w:line="252" w:lineRule="auto"/>
      </w:pPr>
      <w:r>
        <w:rPr>
          <w:sz w:val="21"/>
        </w:rPr>
        <w:t>“The GMAC recommends that EDC distribution planning, ESMP filings, and load forecasting differentiate heating electrification pathways by measured and modeled coincident peak impact, backup heat configuration, customer bill impact, lifecycle cost, and avoided emissions. ASHP, full-capacity cold-climate ASHP, GSHP, thermal energy networks, and high-performance/net-zero buildings shall not be assigned a single generic electrification load shape. Thermal energy networks, ground-source heat pumps, shared ground loops, and ground-coupled storage shall be evaluated as non-wires alternatives where they can defer or avoid distribution capacity investment.”</w:t>
      </w:r>
    </w:p>
    <w:p>
      <w:pPr>
        <w:pStyle w:val="Heading1"/>
        <w:spacing w:before="200" w:after="80" w:line="252" w:lineRule="auto"/>
      </w:pPr>
      <w:r>
        <w:t>8. Closing</w:t>
      </w:r>
    </w:p>
    <w:p>
      <w:pPr>
        <w:spacing w:after="80" w:line="252" w:lineRule="auto"/>
      </w:pPr>
      <w:r>
        <w:rPr>
          <w:sz w:val="21"/>
        </w:rPr>
        <w:t>This comment is intended to help Massachusetts electrify buildings in a way that reduces CO2 emissions, improves customer outcomes, and protects the distribution grid from avoidable peak-driven investment. The request is not to favor one technology by assumption. The request is to require a planning model that recognizes actual physics: source temperature, delivered capacity, auxiliary heat, building load, thermal storage, and measured customer outcomes.</w:t>
      </w:r>
    </w:p>
    <w:p>
      <w:pPr>
        <w:pStyle w:val="Heading1"/>
        <w:spacing w:before="200" w:after="80" w:line="252" w:lineRule="auto"/>
      </w:pPr>
      <w:r>
        <w:t>Appendix A: Design-Day Calculation Notes</w:t>
      </w:r>
    </w:p>
    <w:p>
      <w:pPr>
        <w:pStyle w:val="ListBullet"/>
        <w:spacing w:after="80" w:line="252" w:lineRule="auto"/>
      </w:pPr>
      <w:r>
        <w:rPr>
          <w:sz w:val="21"/>
        </w:rPr>
        <w:t>1 kW of resistance heat = approximately 3,412 Btu/h of heating output at COP 1.0.</w:t>
      </w:r>
    </w:p>
    <w:p>
      <w:pPr>
        <w:pStyle w:val="ListBullet"/>
        <w:spacing w:after="80" w:line="252" w:lineRule="auto"/>
      </w:pPr>
      <w:r>
        <w:rPr>
          <w:sz w:val="21"/>
        </w:rPr>
        <w:t>ASHP compressor kW at 5°F = delivered compressor heat output / (3,412 x COP at 5°F).</w:t>
      </w:r>
    </w:p>
    <w:p>
      <w:pPr>
        <w:pStyle w:val="ListBullet"/>
        <w:spacing w:after="80" w:line="252" w:lineRule="auto"/>
      </w:pPr>
      <w:r>
        <w:rPr>
          <w:sz w:val="21"/>
        </w:rPr>
        <w:t>Resistance makeup kW = unserved building load / 3,412.</w:t>
      </w:r>
    </w:p>
    <w:p>
      <w:pPr>
        <w:pStyle w:val="ListBullet"/>
        <w:spacing w:after="80" w:line="252" w:lineRule="auto"/>
      </w:pPr>
      <w:r>
        <w:rPr>
          <w:sz w:val="21"/>
        </w:rPr>
        <w:t>GSHP compressor kW = design load / (3,412 x operating COP), plus loop pump power.</w:t>
      </w:r>
    </w:p>
    <w:p>
      <w:pPr>
        <w:pStyle w:val="ListBullet"/>
        <w:spacing w:after="80" w:line="252" w:lineRule="auto"/>
      </w:pPr>
      <w:r>
        <w:rPr>
          <w:sz w:val="21"/>
        </w:rPr>
        <w:t>Planning models should use sensitivity ranges by building vintage, envelope leakage, design load, system sizing, backup heat configuration, and customer controls.</w:t>
      </w:r>
    </w:p>
    <w:p>
      <w:pPr>
        <w:spacing w:after="80" w:line="252" w:lineRule="auto"/>
      </w:pPr>
      <w:r>
        <w:rPr>
          <w:rFonts w:ascii="Aptos" w:hAnsi="Aptos"/>
          <w:b/>
          <w:sz w:val="20"/>
        </w:rPr>
        <w:t>Defrost-cycle effects</w:t>
      </w:r>
      <w:r>
        <w:rPr>
          <w:rFonts w:ascii="Aptos" w:hAnsi="Aptos"/>
          <w:sz w:val="20"/>
        </w:rPr>
        <w:t xml:space="preserve"> should be treated as an additional modeling input for ASHP and ccASHP systems, especially during cold, humid conditions when frost accumulation can reduce net delivered heat and trigger auxiliary heat. The example in Section 2.1 includes capacity loss and resistance makeup, but it does not add a separate defrost penalty to the numerical subtotal.</w:t>
      </w:r>
    </w:p>
    <w:p>
      <w:pPr>
        <w:pStyle w:val="Heading1"/>
        <w:spacing w:before="200" w:after="80" w:line="252" w:lineRule="auto"/>
      </w:pPr>
      <w:r>
        <w:t>Appendix B: Source Notes for Final Filing</w:t>
      </w:r>
    </w:p>
    <w:p>
      <w:pPr>
        <w:spacing w:after="80" w:line="252" w:lineRule="auto"/>
      </w:pPr>
      <w:r>
        <w:t>Recommended public source references for the final filed version include: Massachusetts Clean Energy and Climate Plan for 2050; DPU ESMP orders and GMAC workplans; Massachusetts EEAC and Mass Save filings; NEEP cold-climate ASHP specifications and product-list reporting fields for low-temperature capacity, input power, and COP; DOE/NREL materials on heat-pump defrost and auxiliary heat operation; AHRI/manufacturer submittals for variable-capacity GSHP performance; and public data-center / district-energy sources for any data-center thermal-network case study.</w:t>
      </w:r>
    </w:p>
    <w:p>
      <w:pPr>
        <w:spacing w:after="80" w:line="252" w:lineRule="auto"/>
      </w:pPr>
      <w:r>
        <w:br w:type="page"/>
      </w:r>
    </w:p>
    <w:p>
      <w:pPr>
        <w:pStyle w:val="Heading1"/>
        <w:spacing w:before="200" w:after="80" w:line="252" w:lineRule="auto"/>
      </w:pPr>
      <w:r>
        <w:t>Signature Page</w:t>
      </w:r>
    </w:p>
    <w:p>
      <w:pPr>
        <w:spacing w:after="80" w:line="252" w:lineRule="auto"/>
      </w:pPr>
      <w:r>
        <w:rPr>
          <w:sz w:val="21"/>
        </w:rPr>
        <w:t>Respectfully submitted,</w:t>
      </w:r>
    </w:p>
    <w:p>
      <w:pPr>
        <w:spacing w:after="80" w:line="252" w:lineRule="auto"/>
      </w:pPr>
      <w:r>
        <w:rPr>
          <w:sz w:val="21"/>
        </w:rPr>
        <w:t>Dmitry Kuravskiy</w:t>
      </w:r>
    </w:p>
    <w:p>
      <w:pPr>
        <w:spacing w:after="80" w:line="252" w:lineRule="auto"/>
      </w:pPr>
      <w:r>
        <w:rPr>
          <w:sz w:val="21"/>
        </w:rPr>
        <w:t>Founder, GeoStellar Engineering LLC | Co-Founder &amp; CTO, GeoPioneer LLC</w:t>
      </w:r>
    </w:p>
    <w:p>
      <w:pPr>
        <w:spacing w:after="80" w:line="252" w:lineRule="auto"/>
      </w:pPr>
      <w:r>
        <w:rPr>
          <w:sz w:val="21"/>
        </w:rPr>
        <w:t>GSD (AEE) | IGSHPA Accredited Installer | Licensed Driller: MA, CT, ME, RI, NJ, NY</w:t>
      </w:r>
    </w:p>
    <w:p>
      <w:pPr>
        <w:spacing w:after="80" w:line="252" w:lineRule="auto"/>
      </w:pPr>
      <w:r>
        <w:rPr>
          <w:sz w:val="21"/>
        </w:rPr>
        <w:t>dkuravskiy@geostellar.io | geostellar.io</w:t>
      </w:r>
    </w:p>
    <w:p>
      <w:pPr>
        <w:pStyle w:val="Heading2"/>
        <w:spacing w:before="120" w:after="80" w:line="252" w:lineRule="auto"/>
      </w:pPr>
      <w:r>
        <w:t>Co-signatories</w:t>
      </w:r>
    </w:p>
    <w:p>
      <w:pPr>
        <w:spacing w:after="80" w:line="252" w:lineRule="auto"/>
      </w:pPr>
      <w:r>
        <w:rPr>
          <w:sz w:val="21"/>
        </w:rPr>
        <w:t>1. Name/Signature: ______________________________   Org/Title: ______________________   Date: __________</w:t>
      </w:r>
    </w:p>
    <w:p>
      <w:pPr>
        <w:spacing w:after="80" w:line="252" w:lineRule="auto"/>
      </w:pPr>
      <w:r>
        <w:rPr>
          <w:sz w:val="21"/>
        </w:rPr>
        <w:t>2. Name/Signature: ______________________________   Org/Title: ______________________   Date: __________</w:t>
      </w:r>
    </w:p>
    <w:p>
      <w:pPr>
        <w:spacing w:after="80" w:line="252" w:lineRule="auto"/>
      </w:pPr>
      <w:r>
        <w:rPr>
          <w:sz w:val="21"/>
        </w:rPr>
        <w:t>3. Name/Signature: ______________________________   Org/Title: ______________________   Date: __________</w:t>
      </w:r>
    </w:p>
    <w:p>
      <w:pPr>
        <w:spacing w:after="80" w:line="252" w:lineRule="auto"/>
      </w:pPr>
      <w:r>
        <w:rPr>
          <w:sz w:val="21"/>
        </w:rPr>
        <w:t>4. Name/Signature: ______________________________   Org/Title: ______________________   Date: __________</w:t>
      </w:r>
    </w:p>
    <w:p>
      <w:pPr>
        <w:spacing w:after="80" w:line="252" w:lineRule="auto"/>
      </w:pPr>
      <w:r>
        <w:rPr>
          <w:sz w:val="21"/>
        </w:rPr>
        <w:t>5. Name/Signature: ______________________________   Org/Title: ______________________   Date: __________</w:t>
      </w:r>
    </w:p>
    <w:p>
      <w:pPr>
        <w:spacing w:after="80" w:line="252" w:lineRule="auto"/>
      </w:pPr>
      <w:r>
        <w:rPr>
          <w:sz w:val="21"/>
        </w:rPr>
        <w:t>6. Name/Signature: ______________________________   Org/Title: ______________________   Date: __________</w:t>
      </w:r>
    </w:p>
    <w:p>
      <w:pPr>
        <w:spacing w:after="80" w:line="252" w:lineRule="auto"/>
      </w:pPr>
      <w:r>
        <w:rPr>
          <w:sz w:val="21"/>
        </w:rPr>
        <w:t>7. Name/Signature: ______________________________   Org/Title: ______________________   Date: __________</w:t>
      </w:r>
    </w:p>
    <w:p>
      <w:pPr>
        <w:spacing w:after="80" w:line="252" w:lineRule="auto"/>
      </w:pPr>
      <w:r>
        <w:rPr>
          <w:sz w:val="21"/>
        </w:rPr>
        <w:t>8. Name/Signature: ______________________________   Org/Title: ______________________   Date: __________</w:t>
      </w:r>
    </w:p>
    <w:p>
      <w:pPr>
        <w:spacing w:after="80" w:line="252" w:lineRule="auto"/>
      </w:pPr>
      <w:r>
        <w:rPr>
          <w:sz w:val="21"/>
        </w:rPr>
        <w:t>9. Name/Signature: ______________________________   Org/Title: ______________________   Date: __________</w:t>
      </w:r>
    </w:p>
    <w:p>
      <w:pPr>
        <w:spacing w:after="80" w:line="252" w:lineRule="auto"/>
      </w:pPr>
      <w:r>
        <w:rPr>
          <w:sz w:val="21"/>
        </w:rPr>
        <w:t>10. Name/Signature: ______________________________   Org/Title: ______________________   Date: __________</w:t>
      </w:r>
    </w:p>
    <w:p>
      <w:pPr>
        <w:spacing w:after="80" w:line="252" w:lineRule="auto"/>
      </w:pPr>
      <w:r>
        <w:rPr>
          <w:sz w:val="21"/>
        </w:rPr>
        <w:t>11. Name/Signature: ______________________________   Org/Title: ______________________   Date: __________</w:t>
      </w:r>
    </w:p>
    <w:p>
      <w:pPr>
        <w:spacing w:after="80" w:line="252" w:lineRule="auto"/>
      </w:pPr>
      <w:r>
        <w:rPr>
          <w:sz w:val="21"/>
        </w:rPr>
        <w:t>12. Name/Signature: ______________________________   Org/Title: ______________________   Date: __________</w:t>
      </w:r>
    </w:p>
    <w:p>
      <w:pPr>
        <w:spacing w:after="80" w:line="252" w:lineRule="auto"/>
      </w:pPr>
      <w:r>
        <w:rPr>
          <w:sz w:val="21"/>
        </w:rPr>
        <w:t>Additional co-signatories may be attached on a separate page.</w:t>
      </w:r>
    </w:p>
    <w:p>
      <w:pPr>
        <w:spacing w:after="80" w:line="252" w:lineRule="auto"/>
      </w:pPr>
    </w:p>
    <w:p>
      <w:pPr>
        <w:spacing w:after="80" w:line="252" w:lineRule="auto"/>
      </w:pPr>
    </w:p>
    <w:sectPr w:rsidR="00FC693F" w:rsidRPr="0006063C" w:rsidSect="00034616">
      <w:pgSz w:w="12240" w:h="15840"/>
      <w:pgMar w:top="936" w:right="893" w:bottom="936"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