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Documentación de Deployment — GPRO en Azure</w:t>
      </w:r>
    </w:p>
    <w:p>
      <w:r>
        <w:rPr>
          <w:b/>
        </w:rPr>
        <w:t>Proconty · Mayo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Resumen Ejecutivo</w:t>
      </w:r>
    </w:p>
    <w:p>
      <w:r>
        <w:t>Se realizó la migración completa del sistema GPRO (Gestor de Proyectos) desde la plataforma Vercel/Neon hacia Microsoft Azure. La aplicación queda alojada íntegramente en infraestructura Azure con base de datos propia, deploy automático desde GitHub y dominio personalizado con SSL.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Recursos Creados en Azure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BDD7EE" w:val="clear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928"/>
            <w:shd w:fill="BDD7EE" w:val="clear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928"/>
            <w:shd w:fill="BDD7EE" w:val="clear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2928"/>
          </w:tcPr>
          <w:p>
            <w:r>
              <w:t>Grupo de recursos</w:t>
            </w:r>
          </w:p>
        </w:tc>
        <w:tc>
          <w:tcPr>
            <w:tcW w:type="dxa" w:w="2928"/>
          </w:tcPr>
          <w:p>
            <w:r>
              <w:t>`rg-gpro`</w:t>
            </w:r>
          </w:p>
        </w:tc>
        <w:tc>
          <w:tcPr>
            <w:tcW w:type="dxa" w:w="2928"/>
          </w:tcPr>
          <w:p>
            <w:r>
              <w:t>Resource Group</w:t>
            </w:r>
          </w:p>
        </w:tc>
      </w:tr>
      <w:tr>
        <w:tc>
          <w:tcPr>
            <w:tcW w:type="dxa" w:w="2928"/>
          </w:tcPr>
          <w:p>
            <w:r>
              <w:t>Servidor de base de datos</w:t>
            </w:r>
          </w:p>
        </w:tc>
        <w:tc>
          <w:tcPr>
            <w:tcW w:type="dxa" w:w="2928"/>
          </w:tcPr>
          <w:p>
            <w:r>
              <w:t>`gpro-db`</w:t>
            </w:r>
          </w:p>
        </w:tc>
        <w:tc>
          <w:tcPr>
            <w:tcW w:type="dxa" w:w="2928"/>
          </w:tcPr>
          <w:p>
            <w:r>
              <w:t>Azure Database for PostgreSQL Flexible Server</w:t>
            </w:r>
          </w:p>
        </w:tc>
      </w:tr>
      <w:tr>
        <w:tc>
          <w:tcPr>
            <w:tcW w:type="dxa" w:w="2928"/>
          </w:tcPr>
          <w:p>
            <w:r>
              <w:t>Base de datos</w:t>
            </w:r>
          </w:p>
        </w:tc>
        <w:tc>
          <w:tcPr>
            <w:tcW w:type="dxa" w:w="2928"/>
          </w:tcPr>
          <w:p>
            <w:r>
              <w:t>`neondb`</w:t>
            </w:r>
          </w:p>
        </w:tc>
        <w:tc>
          <w:tcPr>
            <w:tcW w:type="dxa" w:w="2928"/>
          </w:tcPr>
          <w:p>
            <w:r>
              <w:t>PostgreSQL 16</w:t>
            </w:r>
          </w:p>
        </w:tc>
      </w:tr>
      <w:tr>
        <w:tc>
          <w:tcPr>
            <w:tcW w:type="dxa" w:w="2928"/>
          </w:tcPr>
          <w:p>
            <w:r>
              <w:t>Plan de App Service</w:t>
            </w:r>
          </w:p>
        </w:tc>
        <w:tc>
          <w:tcPr>
            <w:tcW w:type="dxa" w:w="2928"/>
          </w:tcPr>
          <w:p>
            <w:r>
              <w:t>`ASP-rggpro-81f1`</w:t>
            </w:r>
          </w:p>
        </w:tc>
        <w:tc>
          <w:tcPr>
            <w:tcW w:type="dxa" w:w="2928"/>
          </w:tcPr>
          <w:p>
            <w:r>
              <w:t>App Service Plan (B1, Linux)</w:t>
            </w:r>
          </w:p>
        </w:tc>
      </w:tr>
      <w:tr>
        <w:tc>
          <w:tcPr>
            <w:tcW w:type="dxa" w:w="2928"/>
          </w:tcPr>
          <w:p>
            <w:r>
              <w:t>Aplicación Web</w:t>
            </w:r>
          </w:p>
        </w:tc>
        <w:tc>
          <w:tcPr>
            <w:tcW w:type="dxa" w:w="2928"/>
          </w:tcPr>
          <w:p>
            <w:r>
              <w:t>`gpro-app`</w:t>
            </w:r>
          </w:p>
        </w:tc>
        <w:tc>
          <w:tcPr>
            <w:tcW w:type="dxa" w:w="2928"/>
          </w:tcPr>
          <w:p>
            <w:r>
              <w:t>Azure App Service</w:t>
            </w:r>
          </w:p>
        </w:tc>
      </w:tr>
      <w:tr>
        <w:tc>
          <w:tcPr>
            <w:tcW w:type="dxa" w:w="2928"/>
          </w:tcPr>
          <w:p>
            <w:r>
              <w:t>Región</w:t>
            </w:r>
          </w:p>
        </w:tc>
        <w:tc>
          <w:tcPr>
            <w:tcW w:type="dxa" w:w="2928"/>
          </w:tcPr>
          <w:p>
            <w:r>
              <w:t>West US</w:t>
            </w:r>
          </w:p>
        </w:tc>
        <w:tc>
          <w:tcPr>
            <w:tcW w:type="dxa" w:w="2928"/>
          </w:tcPr>
          <w:p>
            <w: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Acceso a la Aplicación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BDD7EE" w:val="clea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92"/>
            <w:shd w:fill="BDD7EE" w:val="clear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92"/>
          </w:tcPr>
          <w:p>
            <w:r>
              <w:t>URL principal (dominio propio)</w:t>
            </w:r>
          </w:p>
        </w:tc>
        <w:tc>
          <w:tcPr>
            <w:tcW w:type="dxa" w:w="4392"/>
          </w:tcPr>
          <w:p>
            <w:r>
              <w:t>`https://gpro.proconty.com` ⏳ SSL en proceso</w:t>
            </w:r>
          </w:p>
        </w:tc>
      </w:tr>
      <w:tr>
        <w:tc>
          <w:tcPr>
            <w:tcW w:type="dxa" w:w="4392"/>
          </w:tcPr>
          <w:p>
            <w:r>
              <w:t>URL Azure (siempre disponible)</w:t>
            </w:r>
          </w:p>
        </w:tc>
        <w:tc>
          <w:tcPr>
            <w:tcW w:type="dxa" w:w="4392"/>
          </w:tcPr>
          <w:p>
            <w:r>
              <w:t>`https://gpro-app-b5hbhngha7gfh3d7.westus-01.azurewebsites.net`</w:t>
            </w:r>
          </w:p>
        </w:tc>
      </w:tr>
    </w:tbl>
    <w:p/>
    <w:p>
      <w:pPr>
        <w:ind w:left="432"/>
      </w:pPr>
      <w:r>
        <w:rPr>
          <w:i/>
          <w:color w:val="595959"/>
        </w:rPr>
        <w:t>El certificado SSL para `gpro.proconty.com` está en proceso de emisión. Una vez completado (automático, sin costo), la URL principal quedará activa con HTTPS.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Base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BDD7EE" w:val="clea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92"/>
            <w:shd w:fill="BDD7EE" w:val="clear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92"/>
          </w:tcPr>
          <w:p>
            <w:r>
              <w:t>Motor</w:t>
            </w:r>
          </w:p>
        </w:tc>
        <w:tc>
          <w:tcPr>
            <w:tcW w:type="dxa" w:w="4392"/>
          </w:tcPr>
          <w:p>
            <w:r>
              <w:t>PostgreSQL 16</w:t>
            </w:r>
          </w:p>
        </w:tc>
      </w:tr>
      <w:tr>
        <w:tc>
          <w:tcPr>
            <w:tcW w:type="dxa" w:w="4392"/>
          </w:tcPr>
          <w:p>
            <w:r>
              <w:t>Plan</w:t>
            </w:r>
          </w:p>
        </w:tc>
        <w:tc>
          <w:tcPr>
            <w:tcW w:type="dxa" w:w="4392"/>
          </w:tcPr>
          <w:p>
            <w:r>
              <w:t>Burstable B1ms</w:t>
            </w:r>
          </w:p>
        </w:tc>
      </w:tr>
      <w:tr>
        <w:tc>
          <w:tcPr>
            <w:tcW w:type="dxa" w:w="4392"/>
          </w:tcPr>
          <w:p>
            <w:r>
              <w:t>vCores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RAM</w:t>
            </w:r>
          </w:p>
        </w:tc>
        <w:tc>
          <w:tcPr>
            <w:tcW w:type="dxa" w:w="4392"/>
          </w:tcPr>
          <w:p>
            <w:r>
              <w:t>2 GB</w:t>
            </w:r>
          </w:p>
        </w:tc>
      </w:tr>
      <w:tr>
        <w:tc>
          <w:tcPr>
            <w:tcW w:type="dxa" w:w="4392"/>
          </w:tcPr>
          <w:p>
            <w:r>
              <w:t>Almacenamiento</w:t>
            </w:r>
          </w:p>
        </w:tc>
        <w:tc>
          <w:tcPr>
            <w:tcW w:type="dxa" w:w="4392"/>
          </w:tcPr>
          <w:p>
            <w:r>
              <w:t>32 GB</w:t>
            </w:r>
          </w:p>
        </w:tc>
      </w:tr>
      <w:tr>
        <w:tc>
          <w:tcPr>
            <w:tcW w:type="dxa" w:w="4392"/>
          </w:tcPr>
          <w:p>
            <w:r>
              <w:t>Backup automático</w:t>
            </w:r>
          </w:p>
        </w:tc>
        <w:tc>
          <w:tcPr>
            <w:tcW w:type="dxa" w:w="4392"/>
          </w:tcPr>
          <w:p>
            <w:r>
              <w:t>Sí (7 días de retención)</w:t>
            </w:r>
          </w:p>
        </w:tc>
      </w:tr>
      <w:tr>
        <w:tc>
          <w:tcPr>
            <w:tcW w:type="dxa" w:w="4392"/>
          </w:tcPr>
          <w:p>
            <w:r>
              <w:t>SSL obligatorio</w:t>
            </w:r>
          </w:p>
        </w:tc>
        <w:tc>
          <w:tcPr>
            <w:tcW w:type="dxa" w:w="4392"/>
          </w:tcPr>
          <w:p>
            <w:r>
              <w:t>Sí</w:t>
            </w:r>
          </w:p>
        </w:tc>
      </w:tr>
    </w:tbl>
    <w:p/>
    <w:p>
      <w:pPr>
        <w:pStyle w:val="Heading3"/>
      </w:pPr>
      <w:r>
        <w:t>Datos migrados desde Neon (origen)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BDD7EE" w:val="clear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392"/>
            <w:shd w:fill="BDD7EE" w:val="clear"/>
          </w:tcPr>
          <w:p>
            <w:r>
              <w:rPr>
                <w:b/>
              </w:rPr>
              <w:t>Registros</w:t>
            </w:r>
          </w:p>
        </w:tc>
      </w:tr>
      <w:tr>
        <w:tc>
          <w:tcPr>
            <w:tcW w:type="dxa" w:w="4392"/>
          </w:tcPr>
          <w:p>
            <w:r>
              <w:t>Proyectos</w:t>
            </w:r>
          </w:p>
        </w:tc>
        <w:tc>
          <w:tcPr>
            <w:tcW w:type="dxa" w:w="4392"/>
          </w:tcPr>
          <w:p>
            <w:r>
              <w:t>169</w:t>
            </w:r>
          </w:p>
        </w:tc>
      </w:tr>
      <w:tr>
        <w:tc>
          <w:tcPr>
            <w:tcW w:type="dxa" w:w="4392"/>
          </w:tcPr>
          <w:p>
            <w:r>
              <w:t>Facturas</w:t>
            </w:r>
          </w:p>
        </w:tc>
        <w:tc>
          <w:tcPr>
            <w:tcW w:type="dxa" w:w="4392"/>
          </w:tcPr>
          <w:p>
            <w:r>
              <w:t>246</w:t>
            </w:r>
          </w:p>
        </w:tc>
      </w:tr>
      <w:tr>
        <w:tc>
          <w:tcPr>
            <w:tcW w:type="dxa" w:w="4392"/>
          </w:tcPr>
          <w:p>
            <w:r>
              <w:t>Pagos</w:t>
            </w:r>
          </w:p>
        </w:tc>
        <w:tc>
          <w:tcPr>
            <w:tcW w:type="dxa" w:w="4392"/>
          </w:tcPr>
          <w:p>
            <w:r>
              <w:t>227</w:t>
            </w:r>
          </w:p>
        </w:tc>
      </w:tr>
      <w:tr>
        <w:tc>
          <w:tcPr>
            <w:tcW w:type="dxa" w:w="4392"/>
          </w:tcPr>
          <w:p>
            <w:r>
              <w:t>Observaciones</w:t>
            </w:r>
          </w:p>
        </w:tc>
        <w:tc>
          <w:tcPr>
            <w:tcW w:type="dxa" w:w="4392"/>
          </w:tcPr>
          <w:p>
            <w:r>
              <w:t>307</w:t>
            </w:r>
          </w:p>
        </w:tc>
      </w:tr>
      <w:tr>
        <w:tc>
          <w:tcPr>
            <w:tcW w:type="dxa" w:w="4392"/>
          </w:tcPr>
          <w:p>
            <w:r>
              <w:t>Clientes</w:t>
            </w:r>
          </w:p>
        </w:tc>
        <w:tc>
          <w:tcPr>
            <w:tcW w:type="dxa" w:w="4392"/>
          </w:tcPr>
          <w:p>
            <w:r>
              <w:t>70</w:t>
            </w:r>
          </w:p>
        </w:tc>
      </w:tr>
      <w:tr>
        <w:tc>
          <w:tcPr>
            <w:tcW w:type="dxa" w:w="4392"/>
          </w:tcPr>
          <w:p>
            <w:r>
              <w:t>Empresas</w:t>
            </w:r>
          </w:p>
        </w:tc>
        <w:tc>
          <w:tcPr>
            <w:tcW w:type="dxa" w:w="4392"/>
          </w:tcPr>
          <w:p>
            <w:r>
              <w:t>42</w:t>
            </w:r>
          </w:p>
        </w:tc>
      </w:tr>
      <w:tr>
        <w:tc>
          <w:tcPr>
            <w:tcW w:type="dxa" w:w="4392"/>
          </w:tcPr>
          <w:p>
            <w:r>
              <w:t>Usuarios</w:t>
            </w:r>
          </w:p>
        </w:tc>
        <w:tc>
          <w:tcPr>
            <w:tcW w:type="dxa" w:w="4392"/>
          </w:tcPr>
          <w:p>
            <w:r>
              <w:t>4</w:t>
            </w:r>
          </w:p>
        </w:tc>
      </w:tr>
      <w:tr>
        <w:tc>
          <w:tcPr>
            <w:tcW w:type="dxa" w:w="4392"/>
          </w:tcPr>
          <w:p>
            <w:r>
              <w:t>**Total tablas**</w:t>
            </w:r>
          </w:p>
        </w:tc>
        <w:tc>
          <w:tcPr>
            <w:tcW w:type="dxa" w:w="4392"/>
          </w:tcPr>
          <w:p>
            <w:r>
              <w:t>**25**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Aplicación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BDD7EE" w:val="clea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92"/>
            <w:shd w:fill="BDD7EE" w:val="clear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92"/>
          </w:tcPr>
          <w:p>
            <w:r>
              <w:t>Framework</w:t>
            </w:r>
          </w:p>
        </w:tc>
        <w:tc>
          <w:tcPr>
            <w:tcW w:type="dxa" w:w="4392"/>
          </w:tcPr>
          <w:p>
            <w:r>
              <w:t>Next.js 14 (App Router)</w:t>
            </w:r>
          </w:p>
        </w:tc>
      </w:tr>
      <w:tr>
        <w:tc>
          <w:tcPr>
            <w:tcW w:type="dxa" w:w="4392"/>
          </w:tcPr>
          <w:p>
            <w:r>
              <w:t>Runtime</w:t>
            </w:r>
          </w:p>
        </w:tc>
        <w:tc>
          <w:tcPr>
            <w:tcW w:type="dxa" w:w="4392"/>
          </w:tcPr>
          <w:p>
            <w:r>
              <w:t>Node.js 22 LTS</w:t>
            </w:r>
          </w:p>
        </w:tc>
      </w:tr>
      <w:tr>
        <w:tc>
          <w:tcPr>
            <w:tcW w:type="dxa" w:w="4392"/>
          </w:tcPr>
          <w:p>
            <w:r>
              <w:t>Plan</w:t>
            </w:r>
          </w:p>
        </w:tc>
        <w:tc>
          <w:tcPr>
            <w:tcW w:type="dxa" w:w="4392"/>
          </w:tcPr>
          <w:p>
            <w:r>
              <w:t>App Service B1 (Linux)</w:t>
            </w:r>
          </w:p>
        </w:tc>
      </w:tr>
      <w:tr>
        <w:tc>
          <w:tcPr>
            <w:tcW w:type="dxa" w:w="4392"/>
          </w:tcPr>
          <w:p>
            <w:r>
              <w:t>Deploy automático</w:t>
            </w:r>
          </w:p>
        </w:tc>
        <w:tc>
          <w:tcPr>
            <w:tcW w:type="dxa" w:w="4392"/>
          </w:tcPr>
          <w:p>
            <w:r>
              <w:t>GitHub Actions → rama `main-azure`</w:t>
            </w:r>
          </w:p>
        </w:tc>
      </w:tr>
      <w:tr>
        <w:tc>
          <w:tcPr>
            <w:tcW w:type="dxa" w:w="4392"/>
          </w:tcPr>
          <w:p>
            <w:r>
              <w:t>Autenticación CI/CD</w:t>
            </w:r>
          </w:p>
        </w:tc>
        <w:tc>
          <w:tcPr>
            <w:tcW w:type="dxa" w:w="4392"/>
          </w:tcPr>
          <w:p>
            <w:r>
              <w:t>OIDC (sin contraseñas almacenadas)</w:t>
            </w:r>
          </w:p>
        </w:tc>
      </w:tr>
      <w:tr>
        <w:tc>
          <w:tcPr>
            <w:tcW w:type="dxa" w:w="4392"/>
          </w:tcPr>
          <w:p>
            <w:r>
              <w:t>Modo de build</w:t>
            </w:r>
          </w:p>
        </w:tc>
        <w:tc>
          <w:tcPr>
            <w:tcW w:type="dxa" w:w="4392"/>
          </w:tcPr>
          <w:p>
            <w:r>
              <w:t>Standalone (optimizado para producción)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Deploy Automático (CI/CD)</w:t>
      </w:r>
    </w:p>
    <w:p>
      <w:r>
        <w:t xml:space="preserve">Cada vez que se hace un </w:t>
      </w:r>
      <w:r>
        <w:rPr>
          <w:rFonts w:ascii="Courier New" w:hAnsi="Courier New"/>
          <w:sz w:val="18"/>
        </w:rPr>
        <w:t>push</w:t>
      </w:r>
      <w:r>
        <w:t xml:space="preserve"> a la rama </w:t>
      </w:r>
      <w:r>
        <w:rPr>
          <w:rFonts w:ascii="Courier New" w:hAnsi="Courier New"/>
          <w:sz w:val="18"/>
        </w:rPr>
        <w:t>main-azure</w:t>
      </w:r>
      <w:r>
        <w:t xml:space="preserve"> del repositorio GitHub, se ejecuta automáticamente el pipeline:</w:t>
      </w:r>
    </w:p>
    <w:p>
      <w:pPr>
        <w:ind w:left="432"/>
      </w:pPr>
      <w:r>
        <w:rPr>
          <w:rFonts w:ascii="Courier New" w:hAnsi="Courier New"/>
          <w:color w:val="202020"/>
          <w:sz w:val="18"/>
        </w:rPr>
        <w:t>Push a main-azure → GitHub Actions → Build Next.js → Deploy a Azure App Service</w:t>
      </w:r>
    </w:p>
    <w:p>
      <w:r>
        <w:t xml:space="preserve">El proceso tarda aproximadamente </w:t>
      </w:r>
      <w:r>
        <w:rPr>
          <w:b/>
        </w:rPr>
        <w:t>3-5 minutos</w:t>
      </w:r>
      <w:r>
        <w:t xml:space="preserve"> desde el push hasta que los cambios están en producción.</w:t>
      </w:r>
    </w:p>
    <w:p>
      <w:r>
        <w:t xml:space="preserve">- Repositorio: </w:t>
      </w:r>
      <w:r>
        <w:rPr>
          <w:rFonts w:ascii="Courier New" w:hAnsi="Courier New"/>
          <w:sz w:val="18"/>
        </w:rPr>
        <w:t>github.com/dsProconty/GPRO</w:t>
      </w:r>
      <w:r/>
    </w:p>
    <w:p>
      <w:r>
        <w:t xml:space="preserve">- Rama Azure: </w:t>
      </w:r>
      <w:r>
        <w:rPr>
          <w:rFonts w:ascii="Courier New" w:hAnsi="Courier New"/>
          <w:sz w:val="18"/>
        </w:rPr>
        <w:t>main-azure</w:t>
      </w:r>
      <w:r/>
    </w:p>
    <w:p>
      <w:r>
        <w:t xml:space="preserve">- Rama Vercel (respaldo): </w:t>
      </w:r>
      <w:r>
        <w:rPr>
          <w:rFonts w:ascii="Courier New" w:hAnsi="Courier New"/>
          <w:sz w:val="18"/>
        </w:rPr>
        <w:t>main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Costos Mensuales Estimados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BDD7EE" w:val="clear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2928"/>
            <w:shd w:fill="BDD7EE" w:val="clea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928"/>
            <w:shd w:fill="BDD7EE" w:val="clear"/>
          </w:tcPr>
          <w:p>
            <w:r>
              <w:rPr>
                <w:b/>
              </w:rPr>
              <w:t>Costo/mes (USD)</w:t>
            </w:r>
          </w:p>
        </w:tc>
      </w:tr>
      <w:tr>
        <w:tc>
          <w:tcPr>
            <w:tcW w:type="dxa" w:w="2928"/>
          </w:tcPr>
          <w:p>
            <w:r>
              <w:t>Azure Database for PostgreSQL</w:t>
            </w:r>
          </w:p>
        </w:tc>
        <w:tc>
          <w:tcPr>
            <w:tcW w:type="dxa" w:w="2928"/>
          </w:tcPr>
          <w:p>
            <w:r>
              <w:t>Burstable B1ms</w:t>
            </w:r>
          </w:p>
        </w:tc>
        <w:tc>
          <w:tcPr>
            <w:tcW w:type="dxa" w:w="2928"/>
          </w:tcPr>
          <w:p>
            <w:r>
              <w:t>$20.48</w:t>
            </w:r>
          </w:p>
        </w:tc>
      </w:tr>
      <w:tr>
        <w:tc>
          <w:tcPr>
            <w:tcW w:type="dxa" w:w="2928"/>
          </w:tcPr>
          <w:p>
            <w:r>
              <w:t>Azure App Service</w:t>
            </w:r>
          </w:p>
        </w:tc>
        <w:tc>
          <w:tcPr>
            <w:tcW w:type="dxa" w:w="2928"/>
          </w:tcPr>
          <w:p>
            <w:r>
              <w:t>B1 (Linux)</w:t>
            </w:r>
          </w:p>
        </w:tc>
        <w:tc>
          <w:tcPr>
            <w:tcW w:type="dxa" w:w="2928"/>
          </w:tcPr>
          <w:p>
            <w:r>
              <w:t>$13.14</w:t>
            </w:r>
          </w:p>
        </w:tc>
      </w:tr>
      <w:tr>
        <w:tc>
          <w:tcPr>
            <w:tcW w:type="dxa" w:w="2928"/>
          </w:tcPr>
          <w:p>
            <w:r>
              <w:t>Certificado SSL</w:t>
            </w:r>
          </w:p>
        </w:tc>
        <w:tc>
          <w:tcPr>
            <w:tcW w:type="dxa" w:w="2928"/>
          </w:tcPr>
          <w:p>
            <w:r>
              <w:t>App Service Managed</w:t>
            </w:r>
          </w:p>
        </w:tc>
        <w:tc>
          <w:tcPr>
            <w:tcW w:type="dxa" w:w="2928"/>
          </w:tcPr>
          <w:p>
            <w:r>
              <w:t>$0.00 (gratuito)</w:t>
            </w:r>
          </w:p>
        </w:tc>
      </w:tr>
      <w:tr>
        <w:tc>
          <w:tcPr>
            <w:tcW w:type="dxa" w:w="2928"/>
          </w:tcPr>
          <w:p>
            <w:r>
              <w:t>Dominio `gpro.proconty.com`</w:t>
            </w:r>
          </w:p>
        </w:tc>
        <w:tc>
          <w:tcPr>
            <w:tcW w:type="dxa" w:w="2928"/>
          </w:tcPr>
          <w:p>
            <w:r>
              <w:t>Subdominio propio</w:t>
            </w:r>
          </w:p>
        </w:tc>
        <w:tc>
          <w:tcPr>
            <w:tcW w:type="dxa" w:w="2928"/>
          </w:tcPr>
          <w:p>
            <w:r>
              <w:t>$0.00</w:t>
            </w:r>
          </w:p>
        </w:tc>
      </w:tr>
      <w:tr>
        <w:tc>
          <w:tcPr>
            <w:tcW w:type="dxa" w:w="2928"/>
          </w:tcPr>
          <w:p>
            <w:r>
              <w:t>**TOTAL**</w:t>
            </w:r>
          </w:p>
        </w:tc>
        <w:tc>
          <w:tcPr>
            <w:tcW w:type="dxa" w:w="2928"/>
          </w:tcPr>
          <w:p>
            <w:r/>
          </w:p>
        </w:tc>
        <w:tc>
          <w:tcPr>
            <w:tcW w:type="dxa" w:w="2928"/>
          </w:tcPr>
          <w:p>
            <w:r>
              <w:t>**~$33.62 / mes**</w:t>
            </w:r>
          </w:p>
        </w:tc>
      </w:tr>
    </w:tbl>
    <w:p/>
    <w:p>
      <w:pPr>
        <w:ind w:left="432"/>
      </w:pPr>
      <w:r>
        <w:rPr>
          <w:i/>
          <w:color w:val="595959"/>
        </w:rPr>
        <w:t>Los precios son en la región West US. Pueden variar ligeramente según consumo real de almacenamiento y transferencia de datos.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Variables de Entorno Configuradas</w:t>
      </w:r>
    </w:p>
    <w:p>
      <w:r>
        <w:t>Las siguientes variables están configuradas de forma segura en Azure App Service (no en el código):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BDD7EE" w:val="clear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92"/>
            <w:shd w:fill="BDD7EE" w:val="clear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92"/>
          </w:tcPr>
          <w:p>
            <w:r>
              <w:t>`DATABASE_URL`</w:t>
            </w:r>
          </w:p>
        </w:tc>
        <w:tc>
          <w:tcPr>
            <w:tcW w:type="dxa" w:w="4392"/>
          </w:tcPr>
          <w:p>
            <w:r>
              <w:t>Cadena de conexión a Azure PostgreSQL</w:t>
            </w:r>
          </w:p>
        </w:tc>
      </w:tr>
      <w:tr>
        <w:tc>
          <w:tcPr>
            <w:tcW w:type="dxa" w:w="4392"/>
          </w:tcPr>
          <w:p>
            <w:r>
              <w:t>`NEXTAUTH_SECRET`</w:t>
            </w:r>
          </w:p>
        </w:tc>
        <w:tc>
          <w:tcPr>
            <w:tcW w:type="dxa" w:w="4392"/>
          </w:tcPr>
          <w:p>
            <w:r>
              <w:t>Clave secreta para sesiones</w:t>
            </w:r>
          </w:p>
        </w:tc>
      </w:tr>
      <w:tr>
        <w:tc>
          <w:tcPr>
            <w:tcW w:type="dxa" w:w="4392"/>
          </w:tcPr>
          <w:p>
            <w:r>
              <w:t>`NEXTAUTH_URL`</w:t>
            </w:r>
          </w:p>
        </w:tc>
        <w:tc>
          <w:tcPr>
            <w:tcW w:type="dxa" w:w="4392"/>
          </w:tcPr>
          <w:p>
            <w:r>
              <w:t>URL pública de la aplicación</w:t>
            </w:r>
          </w:p>
        </w:tc>
      </w:tr>
      <w:tr>
        <w:tc>
          <w:tcPr>
            <w:tcW w:type="dxa" w:w="4392"/>
          </w:tcPr>
          <w:p>
            <w:r>
              <w:t>`NODE_ENV`</w:t>
            </w:r>
          </w:p>
        </w:tc>
        <w:tc>
          <w:tcPr>
            <w:tcW w:type="dxa" w:w="4392"/>
          </w:tcPr>
          <w:p>
            <w:r>
              <w:t>`production`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Seguridad</w:t>
      </w:r>
    </w:p>
    <w:p>
      <w:r>
        <w:t>- Conexión a base de datos cifrada con SSL obligatorio</w:t>
      </w:r>
    </w:p>
    <w:p>
      <w:r>
        <w:t>- Autenticación de deploy via OIDC (sin credenciales estáticas en GitHub)</w:t>
      </w:r>
    </w:p>
    <w:p>
      <w:r>
        <w:t>- Certificado HTTPS gestionado automáticamente por Azure</w:t>
      </w:r>
    </w:p>
    <w:p>
      <w:r>
        <w:t>- Variables de entorno almacenadas en Azure Key Vault / App Settings (no en código)</w:t>
      </w:r>
    </w:p>
    <w:p>
      <w:r>
        <w:t>- Header HSTS habilitado (fuerza HTTPS en navegadores)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4B5"/>
        </w:rPr>
        <w:t>Situación Anterior vs. 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BDD7EE" w:val="clear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928"/>
            <w:shd w:fill="BDD7EE" w:val="clear"/>
          </w:tcPr>
          <w:p>
            <w:r>
              <w:rPr>
                <w:b/>
              </w:rPr>
              <w:t>Antes (Vercel/Neon)</w:t>
            </w:r>
          </w:p>
        </w:tc>
        <w:tc>
          <w:tcPr>
            <w:tcW w:type="dxa" w:w="2928"/>
            <w:shd w:fill="BDD7EE" w:val="clear"/>
          </w:tcPr>
          <w:p>
            <w:r>
              <w:rPr>
                <w:b/>
              </w:rPr>
              <w:t>Ahora (Azure)</w:t>
            </w:r>
          </w:p>
        </w:tc>
      </w:tr>
      <w:tr>
        <w:tc>
          <w:tcPr>
            <w:tcW w:type="dxa" w:w="2928"/>
          </w:tcPr>
          <w:p>
            <w:r>
              <w:t>Hosting app</w:t>
            </w:r>
          </w:p>
        </w:tc>
        <w:tc>
          <w:tcPr>
            <w:tcW w:type="dxa" w:w="2928"/>
          </w:tcPr>
          <w:p>
            <w:r>
              <w:t>Vercel (serverless)</w:t>
            </w:r>
          </w:p>
        </w:tc>
        <w:tc>
          <w:tcPr>
            <w:tcW w:type="dxa" w:w="2928"/>
          </w:tcPr>
          <w:p>
            <w:r>
              <w:t>Azure App Service B1</w:t>
            </w:r>
          </w:p>
        </w:tc>
      </w:tr>
      <w:tr>
        <w:tc>
          <w:tcPr>
            <w:tcW w:type="dxa" w:w="2928"/>
          </w:tcPr>
          <w:p>
            <w:r>
              <w:t>Base de datos</w:t>
            </w:r>
          </w:p>
        </w:tc>
        <w:tc>
          <w:tcPr>
            <w:tcW w:type="dxa" w:w="2928"/>
          </w:tcPr>
          <w:p>
            <w:r>
              <w:t>Neon (serverless, US East)</w:t>
            </w:r>
          </w:p>
        </w:tc>
        <w:tc>
          <w:tcPr>
            <w:tcW w:type="dxa" w:w="2928"/>
          </w:tcPr>
          <w:p>
            <w:r>
              <w:t>Azure PostgreSQL (West US)</w:t>
            </w:r>
          </w:p>
        </w:tc>
      </w:tr>
      <w:tr>
        <w:tc>
          <w:tcPr>
            <w:tcW w:type="dxa" w:w="2928"/>
          </w:tcPr>
          <w:p>
            <w:r>
              <w:t>URL</w:t>
            </w:r>
          </w:p>
        </w:tc>
        <w:tc>
          <w:tcPr>
            <w:tcW w:type="dxa" w:w="2928"/>
          </w:tcPr>
          <w:p>
            <w:r>
              <w:t>`gpro.vercel.app`</w:t>
            </w:r>
          </w:p>
        </w:tc>
        <w:tc>
          <w:tcPr>
            <w:tcW w:type="dxa" w:w="2928"/>
          </w:tcPr>
          <w:p>
            <w:r>
              <w:t>`gpro.proconty.com`</w:t>
            </w:r>
          </w:p>
        </w:tc>
      </w:tr>
      <w:tr>
        <w:tc>
          <w:tcPr>
            <w:tcW w:type="dxa" w:w="2928"/>
          </w:tcPr>
          <w:p>
            <w:r>
              <w:t>Control de datos</w:t>
            </w:r>
          </w:p>
        </w:tc>
        <w:tc>
          <w:tcPr>
            <w:tcW w:type="dxa" w:w="2928"/>
          </w:tcPr>
          <w:p>
            <w:r>
              <w:t>Externo (Neon/Vercel)</w:t>
            </w:r>
          </w:p>
        </w:tc>
        <w:tc>
          <w:tcPr>
            <w:tcW w:type="dxa" w:w="2928"/>
          </w:tcPr>
          <w:p>
            <w:r>
              <w:t>Azure (puede ser región específica)</w:t>
            </w:r>
          </w:p>
        </w:tc>
      </w:tr>
      <w:tr>
        <w:tc>
          <w:tcPr>
            <w:tcW w:type="dxa" w:w="2928"/>
          </w:tcPr>
          <w:p>
            <w:r>
              <w:t>Costo</w:t>
            </w:r>
          </w:p>
        </w:tc>
        <w:tc>
          <w:tcPr>
            <w:tcW w:type="dxa" w:w="2928"/>
          </w:tcPr>
          <w:p>
            <w:r>
              <w:t>~$0 (free tier)</w:t>
            </w:r>
          </w:p>
        </w:tc>
        <w:tc>
          <w:tcPr>
            <w:tcW w:type="dxa" w:w="2928"/>
          </w:tcPr>
          <w:p>
            <w:r>
              <w:t>~$33.62/mes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*Documento generado el 27 de mayo de 2026 · GPRO v1.0 · Proconty*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