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WEBSITE PAGE 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initiatives the Libertarian Socialist Caucus is most proud of is our </w:t>
      </w:r>
      <w:r w:rsidDel="00000000" w:rsidR="00000000" w:rsidRPr="00000000">
        <w:rPr>
          <w:b w:val="1"/>
          <w:rtl w:val="0"/>
        </w:rPr>
        <w:t xml:space="preserve">DSA-LSC Pamphlet Program</w:t>
      </w:r>
      <w:r w:rsidDel="00000000" w:rsidR="00000000" w:rsidRPr="00000000">
        <w:rPr>
          <w:rtl w:val="0"/>
        </w:rPr>
        <w:t xml:space="preserve">.  In the interests of expanding discussion and debate within the DSA, we have offered to lay out and publish Caucus members’ opinions in pamphlets that can both be distributed online in PDF form or printed and stapled into booklets that can be disseminated in person.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Unless otherwise stated, these pamphlets </w:t>
      </w:r>
      <w:r w:rsidDel="00000000" w:rsidR="00000000" w:rsidRPr="00000000">
        <w:rPr>
          <w:b w:val="1"/>
          <w:rtl w:val="0"/>
        </w:rPr>
        <w:t xml:space="preserve">do not represent official positions of the Libertarian Socialist Caucus</w:t>
      </w:r>
      <w:r w:rsidDel="00000000" w:rsidR="00000000" w:rsidRPr="00000000">
        <w:rPr>
          <w:rtl w:val="0"/>
        </w:rPr>
        <w:t xml:space="preserve"> arrived at via consensus</w:t>
      </w:r>
      <w:r w:rsidDel="00000000" w:rsidR="00000000" w:rsidRPr="00000000">
        <w:rPr>
          <w:b w:val="1"/>
          <w:rtl w:val="0"/>
        </w:rPr>
        <w:t xml:space="preserve">;</w:t>
      </w:r>
      <w:r w:rsidDel="00000000" w:rsidR="00000000" w:rsidRPr="00000000">
        <w:rPr>
          <w:rtl w:val="0"/>
        </w:rPr>
        <w:t xml:space="preserve"> rather, they represent </w:t>
      </w:r>
      <w:r w:rsidDel="00000000" w:rsidR="00000000" w:rsidRPr="00000000">
        <w:rPr>
          <w:b w:val="1"/>
          <w:rtl w:val="0"/>
        </w:rPr>
        <w:t xml:space="preserve">solely the views of the author(s).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spirit of the long anarchist and socialist tradition of agitation propaganda, </w:t>
      </w:r>
      <w:r w:rsidDel="00000000" w:rsidR="00000000" w:rsidRPr="00000000">
        <w:rPr>
          <w:b w:val="1"/>
          <w:rtl w:val="0"/>
        </w:rPr>
        <w:t xml:space="preserve">we encourage everyone to spread those pamphlets they agree with far and wide </w:t>
      </w:r>
      <w:r w:rsidDel="00000000" w:rsidR="00000000" w:rsidRPr="00000000">
        <w:rPr>
          <w:rtl w:val="0"/>
        </w:rPr>
        <w:t xml:space="preserve">in order that the views expressed in them can change the conversation within DSA.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instructions on how to fold and staple a </w:t>
      </w:r>
      <w:r w:rsidDel="00000000" w:rsidR="00000000" w:rsidRPr="00000000">
        <w:rPr>
          <w:b w:val="1"/>
          <w:rtl w:val="0"/>
        </w:rPr>
        <w:t xml:space="preserve">bi-fold pamphlet</w:t>
      </w:r>
      <w:r w:rsidDel="00000000" w:rsidR="00000000" w:rsidRPr="00000000">
        <w:rPr>
          <w:rtl w:val="0"/>
        </w:rPr>
        <w:t xml:space="preserve">, please see </w:t>
      </w:r>
      <w:hyperlink r:id="rId5">
        <w:r w:rsidDel="00000000" w:rsidR="00000000" w:rsidRPr="00000000">
          <w:rPr>
            <w:color w:val="1155cc"/>
            <w:u w:val="single"/>
            <w:rtl w:val="0"/>
          </w:rPr>
          <w:t xml:space="preserve">here</w:t>
        </w:r>
      </w:hyperlink>
      <w:r w:rsidDel="00000000" w:rsidR="00000000" w:rsidRPr="00000000">
        <w:rPr>
          <w:rtl w:val="0"/>
        </w:rPr>
        <w:t xml:space="preserve"> and </w:t>
      </w:r>
      <w:hyperlink r:id="rId6">
        <w:r w:rsidDel="00000000" w:rsidR="00000000" w:rsidRPr="00000000">
          <w:rPr>
            <w:color w:val="1155cc"/>
            <w:u w:val="single"/>
            <w:rtl w:val="0"/>
          </w:rPr>
          <w:t xml:space="preserve">here</w:t>
        </w:r>
      </w:hyperlink>
      <w:r w:rsidDel="00000000" w:rsidR="00000000" w:rsidRPr="00000000">
        <w:rPr>
          <w:rtl w:val="0"/>
        </w:rPr>
        <w:t xml:space="preserve">.  For instructions on how to fold a </w:t>
      </w:r>
      <w:r w:rsidDel="00000000" w:rsidR="00000000" w:rsidRPr="00000000">
        <w:rPr>
          <w:b w:val="1"/>
          <w:rtl w:val="0"/>
        </w:rPr>
        <w:t xml:space="preserve">trifold pamphlet</w:t>
      </w:r>
      <w:r w:rsidDel="00000000" w:rsidR="00000000" w:rsidRPr="00000000">
        <w:rPr>
          <w:rtl w:val="0"/>
        </w:rPr>
        <w:t xml:space="preserve">, see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NOTES -- NOT FOR PUBLICATION]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but one of the pamphlets (Colin Meinrath’s) is a bi-fold.  His is a tri-fold.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give each pamphlet its title and byline, a small summary or extract in quotes in italics underneath it, and links to the online (</w:t>
      </w:r>
      <w:r w:rsidDel="00000000" w:rsidR="00000000" w:rsidRPr="00000000">
        <w:rPr>
          <w:b w:val="1"/>
          <w:rtl w:val="0"/>
        </w:rPr>
        <w:t xml:space="preserve">“For online reading”</w:t>
      </w:r>
      <w:r w:rsidDel="00000000" w:rsidR="00000000" w:rsidRPr="00000000">
        <w:rPr>
          <w:rtl w:val="0"/>
        </w:rPr>
        <w:t xml:space="preserve">) and printable (</w:t>
      </w:r>
      <w:r w:rsidDel="00000000" w:rsidR="00000000" w:rsidRPr="00000000">
        <w:rPr>
          <w:b w:val="1"/>
          <w:rtl w:val="0"/>
        </w:rPr>
        <w:t xml:space="preserve">“For printing and in-person distribution</w:t>
      </w:r>
      <w:r w:rsidDel="00000000" w:rsidR="00000000" w:rsidRPr="00000000">
        <w:rPr>
          <w:rtl w:val="0"/>
        </w:rPr>
        <w:t xml:space="preserve">”) versions of the pamphlet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Google Drive, the PDFs of all the finished pamphlets are in the same folder as this doc.  The online versions are labeled ONLINE in the file name; the printable versions are labeled PRINT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ikihow.com/Staple-a-Booklet" TargetMode="External"/><Relationship Id="rId6" Type="http://schemas.openxmlformats.org/officeDocument/2006/relationships/hyperlink" Target="https://en.wikibooks.org/wiki/Zine_Making/Putting_pages_together" TargetMode="External"/><Relationship Id="rId7" Type="http://schemas.openxmlformats.org/officeDocument/2006/relationships/hyperlink" Target="http://www.wikihow.com/Fold-Paper-for-Tri-Fold-Brochures" TargetMode="External"/></Relationships>
</file>