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</w:t>
      </w:r>
      <w:r>
        <w:t xml:space="preserve"> </w:t>
      </w:r>
      <w:r>
        <w:t xml:space="preserve">Intelligence</w:t>
      </w:r>
      <w:r>
        <w:t xml:space="preserve"> </w:t>
      </w:r>
      <w:r>
        <w:t xml:space="preserve">&amp;</w:t>
      </w:r>
      <w:r>
        <w:t xml:space="preserve"> </w:t>
      </w:r>
      <w:r>
        <w:t xml:space="preserve">Competitive</w:t>
      </w:r>
      <w:r>
        <w:t xml:space="preserve"> </w:t>
      </w:r>
      <w:r>
        <w:t xml:space="preserve">Performance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Diagnóstico</w:t>
      </w:r>
    </w:p>
    <w:p>
      <w:pPr>
        <w:pStyle w:val="Subtitle"/>
      </w:pPr>
      <w:r>
        <w:t xml:space="preserve">Drean</w:t>
      </w:r>
      <w:r>
        <w:t xml:space="preserve"> </w:t>
      </w:r>
      <w:r>
        <w:t xml:space="preserve">·</w:t>
      </w:r>
      <w:r>
        <w:t xml:space="preserve"> </w:t>
      </w:r>
      <w:r>
        <w:t xml:space="preserve">Lavado,</w:t>
      </w:r>
      <w:r>
        <w:t xml:space="preserve"> </w:t>
      </w:r>
      <w:r>
        <w:t xml:space="preserve">Refrigeración</w:t>
      </w:r>
      <w:r>
        <w:t xml:space="preserve"> </w:t>
      </w:r>
      <w:r>
        <w:t xml:space="preserve">y</w:t>
      </w:r>
      <w:r>
        <w:t xml:space="preserve"> </w:t>
      </w:r>
      <w:r>
        <w:t xml:space="preserve">Cocción</w:t>
      </w:r>
      <w:r>
        <w:t xml:space="preserve"> </w:t>
      </w:r>
      <w:r>
        <w:t xml:space="preserve">·</w:t>
      </w:r>
      <w:r>
        <w:t xml:space="preserve"> </w:t>
      </w:r>
      <w:r>
        <w:t xml:space="preserve">GfK</w:t>
      </w:r>
      <w:r>
        <w:t xml:space="preserve"> </w:t>
      </w:r>
      <w:r>
        <w:t xml:space="preserve">enero–julio</w:t>
      </w:r>
      <w:r>
        <w:t xml:space="preserve"> </w:t>
      </w:r>
      <w:r>
        <w:t xml:space="preserve">2026</w:t>
      </w:r>
      <w:r>
        <w:t xml:space="preserve"> </w:t>
      </w:r>
      <w:r>
        <w:t xml:space="preserve">vs</w:t>
      </w:r>
      <w:r>
        <w:t xml:space="preserve"> </w:t>
      </w:r>
      <w:r>
        <w:t xml:space="preserve">2025</w:t>
      </w:r>
      <w:r>
        <w:t xml:space="preserve"> </w:t>
      </w:r>
      <w:r>
        <w:t xml:space="preserve">e</w:t>
      </w:r>
      <w:r>
        <w:t xml:space="preserve"> </w:t>
      </w:r>
      <w:r>
        <w:t xml:space="preserve">histórico</w:t>
      </w:r>
    </w:p>
    <w:bookmarkStart w:id="20" w:name="en-una-frase"/>
    <w:p>
      <w:pPr>
        <w:pStyle w:val="Heading2"/>
      </w:pPr>
      <w:r>
        <w:t xml:space="preserve">En una frase</w:t>
      </w:r>
    </w:p>
    <w:p>
      <w:pPr>
        <w:pStyle w:val="FirstParagraph"/>
      </w:pPr>
      <w:r>
        <w:t xml:space="preserve">Drean es #1 en unidades en Lavado y Refrigeración y #4 en Cocción. En Lavado pierde share de forma sostenida frente a retadores de precio, con Philco a la cabeza. En Refrigeración la caída se frenó en 2026. Cocción es su motor de crecimiento: el share se triplicó en un año, con precio premium.</w:t>
      </w:r>
    </w:p>
    <w:bookmarkEnd w:id="20"/>
    <w:bookmarkStart w:id="21" w:name="auditoría-de-datos-etapa-12"/>
    <w:p>
      <w:pPr>
        <w:pStyle w:val="Heading2"/>
      </w:pPr>
      <w:r>
        <w:t xml:space="preserve">1. Auditoría de datos (etapa 1–2)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GfK</w:t>
            </w:r>
            <w:r>
              <w:t xml:space="preserve"> </w:t>
            </w:r>
            <w:r>
              <w:t xml:space="preserve">“</w:t>
            </w:r>
            <w:r>
              <w:t xml:space="preserve">Brands Timeseries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mercado_share</w:t>
            </w:r>
            <w:r>
              <w:t xml:space="preserve">: 9.311 filas, extracto REST del 19-oct-2026 (copia en</w:t>
            </w:r>
            <w:r>
              <w:t xml:space="preserve"> </w:t>
            </w:r>
            <w:r>
              <w:rPr>
                <w:rStyle w:val="VerbatimChar"/>
              </w:rPr>
              <w:t xml:space="preserve">datos/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en unidades, share en valor e índice de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marca, categoría y segmento (Low/Mid/High + Total), mensual y 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Volumen, valor y precio del mercado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fila</w:t>
            </w:r>
            <w:r>
              <w:t xml:space="preserve"> </w:t>
            </w:r>
            <w:r>
              <w:t xml:space="preserve">“</w:t>
            </w:r>
            <w:r>
              <w:t xml:space="preserve">Market</w:t>
            </w:r>
            <w:r>
              <w:t xml:space="preserve">”</w:t>
            </w:r>
            <w:r>
              <w:t xml:space="preserve"> </w:t>
            </w:r>
            <w:r>
              <w:t xml:space="preserve">del export de GfK se descarta al cargar. Sin tamaño de mercado.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calculable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volúmenes no se puede ponderar por categoría. No se suman ni promedian shares.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Ene–jul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Ago–dic sin datos. Agosto y septiembre todavía no están cargados.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mismo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Lavado total: unidades ene–jul (abril sin dato); share en valor e índice recién desde jul-25. Refrigeración y Cocción total: solo jul-25. Segmentos: desde abr-25.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YTD 2026 vs YTD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calculable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unidades por mes. Se usa el MAT a jul-26 vs jul-25 (calculado por GfK sobre volúmenes, sin promediar shares).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e índice de precio son relativos y no dependen de la inflación.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Validaciones</w:t>
      </w:r>
      <w:r>
        <w:t xml:space="preserve"> </w:t>
      </w:r>
      <w:r>
        <w:t xml:space="preserve">(todas las comprobaciones están en</w:t>
      </w:r>
      <w:r>
        <w:t xml:space="preserve"> </w:t>
      </w:r>
      <w:r>
        <w:rPr>
          <w:rStyle w:val="VerbatimChar"/>
        </w:rPr>
        <w:t xml:space="preserve">analisis.py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Sin duplicados.</w:t>
      </w:r>
    </w:p>
    <w:p>
      <w:pPr>
        <w:numPr>
          <w:ilvl w:val="0"/>
          <w:numId w:val="1001"/>
        </w:numPr>
        <w:pStyle w:val="Compact"/>
      </w:pPr>
      <w:r>
        <w:t xml:space="preserve">Cada mes del Total 2026 suma 100% (assert).</w:t>
      </w:r>
    </w:p>
    <w:p>
      <w:pPr>
        <w:numPr>
          <w:ilvl w:val="0"/>
          <w:numId w:val="1001"/>
        </w:numPr>
        <w:pStyle w:val="Compact"/>
      </w:pPr>
      <w:r>
        <w:t xml:space="preserve">El índice de precio coincide con share en valor ÷ share en unidades × 100: mediana de la diferencia 0,0; percentil 90 de la diferencia en valor absoluto 0,47; n = 3.142.</w:t>
      </w:r>
    </w:p>
    <w:p>
      <w:pPr>
        <w:numPr>
          <w:ilvl w:val="0"/>
          <w:numId w:val="1001"/>
        </w:numPr>
        <w:pStyle w:val="Compact"/>
      </w:pPr>
      <w:r>
        <w:t xml:space="preserve">Se excluyen las filas MAT de nov-2026, que son una proyección cargada a futuro.</w:t>
      </w:r>
    </w:p>
    <w:p>
      <w:pPr>
        <w:pStyle w:val="FirstParagraph"/>
      </w:pPr>
      <w:r>
        <w:rPr>
          <w:bCs/>
          <w:b/>
        </w:rPr>
        <w:t xml:space="preserve">Diferencias de metodología:</w:t>
      </w:r>
    </w:p>
    <w:p>
      <w:pPr>
        <w:numPr>
          <w:ilvl w:val="0"/>
          <w:numId w:val="1002"/>
        </w:numPr>
        <w:pStyle w:val="Compact"/>
      </w:pPr>
      <w:r>
        <w:t xml:space="preserve">Refrigeración y Cocción MAT antes de jul-25 listan menos marcas: los shares de esas marcas suman 78–89%. El share de cada marca sigue siendo share del mercado total y es comparable.</w:t>
      </w:r>
    </w:p>
    <w:p>
      <w:pPr>
        <w:numPr>
          <w:ilvl w:val="0"/>
          <w:numId w:val="1002"/>
        </w:numPr>
        <w:pStyle w:val="Compact"/>
      </w:pPr>
      <w:r>
        <w:t xml:space="preserve">Cocción</w:t>
      </w:r>
      <w:r>
        <w:t xml:space="preserve"> </w:t>
      </w:r>
      <w:r>
        <w:t xml:space="preserve">“</w:t>
      </w:r>
      <w:r>
        <w:t xml:space="preserve">alto</w:t>
      </w:r>
      <w:r>
        <w:t xml:space="preserve">”</w:t>
      </w:r>
      <w:r>
        <w:t xml:space="preserve"> </w:t>
      </w:r>
      <w:r>
        <w:t xml:space="preserve">se redefinió en ago-2026 (57 cm o más).</w:t>
      </w:r>
    </w:p>
    <w:p>
      <w:pPr>
        <w:numPr>
          <w:ilvl w:val="0"/>
          <w:numId w:val="1002"/>
        </w:numPr>
        <w:pStyle w:val="Compact"/>
      </w:pPr>
      <w:r>
        <w:t xml:space="preserve">El Total de Lavado podría incluir semiautomáticos, porque los segmentos se arman sobre automáticos [sin verificar]. Por eso los segmentos no se reconstruyen sumando.</w:t>
      </w:r>
    </w:p>
    <w:p>
      <w:pPr>
        <w:numPr>
          <w:ilvl w:val="0"/>
          <w:numId w:val="1002"/>
        </w:numPr>
        <w:pStyle w:val="Compact"/>
      </w:pPr>
      <w:r>
        <w:t xml:space="preserve">Se intentó inferir el peso de cada segmento por regresión entre marcas. Dio pesos inestables y negativos, así que se descartó: no hay mezcla de segmentos medida.</w:t>
      </w:r>
    </w:p>
    <w:p>
      <w:pPr>
        <w:pStyle w:val="FirstParagraph"/>
      </w:pPr>
      <w:r>
        <w:rPr>
          <w:bCs/>
          <w:b/>
        </w:rPr>
        <w:t xml:space="preserve">Lectura:</w:t>
      </w:r>
    </w:p>
    <w:p>
      <w:pPr>
        <w:numPr>
          <w:ilvl w:val="0"/>
          <w:numId w:val="1003"/>
        </w:numPr>
        <w:pStyle w:val="Compact"/>
      </w:pPr>
      <w:r>
        <w:t xml:space="preserve">El mensual es volátil: un mes puede moverse 3–5 pp.</w:t>
      </w:r>
    </w:p>
    <w:p>
      <w:pPr>
        <w:numPr>
          <w:ilvl w:val="0"/>
          <w:numId w:val="1003"/>
        </w:numPr>
        <w:pStyle w:val="Compact"/>
      </w:pPr>
      <w:r>
        <w:t xml:space="preserve">Las conclusiones de tendencia se apoyan en el MAT.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Correlación</w:t>
      </w:r>
      <w:r>
        <w:t xml:space="preserve">”</w:t>
      </w:r>
      <w:r>
        <w:t xml:space="preserve"> </w:t>
      </w:r>
      <w:r>
        <w:t xml:space="preserve">marca coincidencias temporales que no prueban causa.</w:t>
      </w:r>
    </w:p>
    <w:bookmarkEnd w:id="21"/>
    <w:bookmarkStart w:id="22" w:name="mercado-global"/>
    <w:p>
      <w:pPr>
        <w:pStyle w:val="Heading2"/>
      </w:pPr>
      <w:r>
        <w:t xml:space="preserve">2. Mercado global</w:t>
      </w:r>
    </w:p>
    <w:p>
      <w:pPr>
        <w:pStyle w:val="FirstParagraph"/>
      </w:pPr>
      <w:r>
        <w:t xml:space="preserve">No se puede calcular un share global ni un índice de precio ponderado (ver hallazgo 18). Posición de Drean por categoría (MAT jul-26 vs MAT jul-25). El ranking no cuenta</w:t>
      </w:r>
      <w:r>
        <w:t xml:space="preserve"> </w:t>
      </w:r>
      <w:r>
        <w:t xml:space="preserve">“</w:t>
      </w:r>
      <w:r>
        <w:t xml:space="preserve">Otras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Unidades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Índice de 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−6,1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−7,7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Refrigeración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−2,0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−2,5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+6,9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+8,4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#3</w:t>
            </w:r>
          </w:p>
        </w:tc>
      </w:tr>
    </w:tbl>
    <w:p>
      <w:pPr>
        <w:pStyle w:val="BodyText"/>
      </w:pPr>
      <w:r>
        <w:t xml:space="preserve">Las tres categorías van en direcciones opuestas: Lavado cae, Refrigeración se estabiliza y Cocción crece. Un número global escondería esto.</w:t>
      </w:r>
    </w:p>
    <w:bookmarkEnd w:id="22"/>
    <w:bookmarkStart w:id="23" w:name="lavado"/>
    <w:p>
      <w:pPr>
        <w:pStyle w:val="Heading2"/>
      </w:pPr>
      <w:r>
        <w:t xml:space="preserve">3. Lavado</w:t>
      </w:r>
    </w:p>
    <w:p>
      <w:pPr>
        <w:pStyle w:val="FirstParagraph"/>
      </w:pPr>
      <w:r>
        <w:rPr>
          <w:bCs/>
          <w:b/>
        </w:rPr>
        <w:t xml:space="preserve">A. Evolución del mercado.</w:t>
      </w:r>
      <w:r>
        <w:t xml:space="preserve"> </w:t>
      </w:r>
      <w:r>
        <w:t xml:space="preserve">Sin datos de volumen ni de valor del mercado.</w:t>
      </w:r>
    </w:p>
    <w:p>
      <w:pPr>
        <w:pStyle w:val="BodyText"/>
      </w:pPr>
      <w:r>
        <w:rPr>
          <w:bCs/>
          <w:b/>
        </w:rPr>
        <w:t xml:space="preserve">B. Share en unidades.</w:t>
      </w:r>
      <w:r>
        <w:t xml:space="preserve"> </w:t>
      </w:r>
      <w:r>
        <w:t xml:space="preserve">- MAT: 39,3% (ene-24) → 32,7% (jul-25) → 26,6% (jul-26).</w:t>
      </w:r>
      <w:r>
        <w:t xml:space="preserve"> </w:t>
      </w:r>
      <w:r>
        <w:t xml:space="preserve">- El MAT bajó todos los meses salvo feb-24 y feb-25.</w:t>
      </w:r>
      <w:r>
        <w:t xml:space="preserve"> </w:t>
      </w:r>
      <w:r>
        <w:t xml:space="preserve">- Cada mes de ene–jul 2026 quedó debajo del mismo mes de 2025: ene −9,4 pp, feb −13,4, mar −6,2, may −7,5, jun −7,7, jul −3,0.</w:t>
      </w:r>
      <w:r>
        <w:t xml:space="preserve"> </w:t>
      </w:r>
      <w:r>
        <w:t xml:space="preserve">- Jul-26 vs dic-25: −5,1 pp.</w:t>
      </w:r>
    </w:p>
    <w:p>
      <w:pPr>
        <w:pStyle w:val="BodyText"/>
      </w:pPr>
      <w:r>
        <w:rPr>
          <w:bCs/>
          <w:b/>
        </w:rPr>
        <w:t xml:space="preserve">C. Share en valor.</w:t>
      </w:r>
      <w:r>
        <w:t xml:space="preserve"> </w:t>
      </w:r>
      <w:r>
        <w:t xml:space="preserve">MAT 33,9% → 26,1% (−7,7 pp), cae más que unidades.</w:t>
      </w:r>
    </w:p>
    <w:p>
      <w:pPr>
        <w:pStyle w:val="BodyText"/>
      </w:pPr>
      <w:r>
        <w:rPr>
          <w:bCs/>
          <w:b/>
        </w:rPr>
        <w:t xml:space="preserve">D. Índice de precio.</w:t>
      </w:r>
      <w:r>
        <w:t xml:space="preserve"> </w:t>
      </w:r>
      <w:r>
        <w:t xml:space="preserve">- MAT 103 → 98.</w:t>
      </w:r>
      <w:r>
        <w:t xml:space="preserve"> </w:t>
      </w:r>
      <w:r>
        <w:t xml:space="preserve">- En el mensual 2026 se recuperó a 96–102 (vs 93–96 en jul–sep 2025).</w:t>
      </w:r>
    </w:p>
    <w:p>
      <w:pPr>
        <w:pStyle w:val="BodyText"/>
      </w:pPr>
      <w:r>
        <w:rPr>
          <w:bCs/>
          <w:b/>
        </w:rPr>
        <w:t xml:space="preserve">E. Lectura conjunta.</w:t>
      </w:r>
      <w:r>
        <w:t xml:space="preserve"> </w:t>
      </w:r>
      <w:r>
        <w:t xml:space="preserve">- En el año móvil Drean perdió volumen y también posición de precio.</w:t>
      </w:r>
      <w:r>
        <w:t xml:space="preserve"> </w:t>
      </w:r>
      <w:r>
        <w:t xml:space="preserve">- En 2026 recuperó precio, pero no share.</w:t>
      </w:r>
    </w:p>
    <w:p>
      <w:pPr>
        <w:pStyle w:val="BodyText"/>
      </w:pPr>
      <w:r>
        <w:rPr>
          <w:bCs/>
          <w:b/>
        </w:rPr>
        <w:t xml:space="preserve">F. Segmentos (MAT).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de Drean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 (≤7,4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42,5% → 26,8% (−15,8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→ 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 ene-25 52,7% → ene-26 25,9%. Ganan Philco (+7,8), Kanjihome (+3,6) y BGH (+2,4).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(7,5–8,9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36,7% (−4,6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Jul-26 mensual 42,4%. Midea +6,9 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 (≥9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14,0% (−4,9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Philco 6,7% → 30,4% (índice 84) es el nuevo líder. Samsung −11,1 pp y Whirlpool −17,9 pp.</w:t>
            </w:r>
          </w:p>
        </w:tc>
      </w:tr>
    </w:tbl>
    <w:p>
      <w:pPr>
        <w:pStyle w:val="BodyText"/>
      </w:pPr>
      <w:r>
        <w:rPr>
          <w:bCs/>
          <w:b/>
        </w:rPr>
        <w:t xml:space="preserve">G. Competidores.</w:t>
      </w:r>
      <w:r>
        <w:t xml:space="preserve"> </w:t>
      </w:r>
      <w:r>
        <w:t xml:space="preserve">- Ganan: Philco +9,2 pp (#2, a 10,4 pp de Drean y a 2,0 pp en jun-26), Midea +2,8, LG +2,3, Smartlife +2,3, Kanjihome +2,0.</w:t>
      </w:r>
      <w:r>
        <w:t xml:space="preserve"> </w:t>
      </w:r>
      <w:r>
        <w:t xml:space="preserve">- Pierden: Samsung −5,2 y Whirlpool −4,3.</w:t>
      </w:r>
    </w:p>
    <w:bookmarkEnd w:id="23"/>
    <w:bookmarkStart w:id="24" w:name="refrigeración"/>
    <w:p>
      <w:pPr>
        <w:pStyle w:val="Heading2"/>
      </w:pPr>
      <w:r>
        <w:t xml:space="preserve">4. Refrigeración</w:t>
      </w:r>
    </w:p>
    <w:p>
      <w:pPr>
        <w:pStyle w:val="FirstParagraph"/>
      </w:pPr>
      <w:r>
        <w:rPr>
          <w:bCs/>
          <w:b/>
        </w:rPr>
        <w:t xml:space="preserve">A. Evolución del mercado.</w:t>
      </w:r>
      <w:r>
        <w:t xml:space="preserve"> </w:t>
      </w:r>
      <w:r>
        <w:t xml:space="preserve">Sin datos de volumen ni de valor del mercado.</w:t>
      </w:r>
    </w:p>
    <w:p>
      <w:pPr>
        <w:pStyle w:val="BodyText"/>
      </w:pPr>
      <w:r>
        <w:rPr>
          <w:bCs/>
          <w:b/>
        </w:rPr>
        <w:t xml:space="preserve">B. Share en unidades.</w:t>
      </w:r>
      <w:r>
        <w:t xml:space="preserve"> </w:t>
      </w:r>
      <w:r>
        <w:t xml:space="preserve">- MAT: 26,0% (ene-24) → 20,4% (jul-25) → 18,6% (dic-25) → 18,5% (jul-26).</w:t>
      </w:r>
      <w:r>
        <w:t xml:space="preserve"> </w:t>
      </w:r>
      <w:r>
        <w:t xml:space="preserve">- Sube en may–jul 2026: son las primeras subidas desde oct-24.</w:t>
      </w:r>
      <w:r>
        <w:t xml:space="preserve"> </w:t>
      </w:r>
      <w:r>
        <w:t xml:space="preserve">- Mensual 2026: 17,9–20,2%. Jul-26 20,2% (+5,0 pp vs jul-25; +2,5 pp vs dic-25).</w:t>
      </w:r>
      <w:r>
        <w:t xml:space="preserve"> </w:t>
      </w:r>
      <w:r>
        <w:t xml:space="preserve">- Ene–jun 2025 mensual sin datos.</w:t>
      </w:r>
    </w:p>
    <w:p>
      <w:pPr>
        <w:pStyle w:val="BodyText"/>
      </w:pPr>
      <w:r>
        <w:rPr>
          <w:bCs/>
          <w:b/>
        </w:rPr>
        <w:t xml:space="preserve">C. Share en valor.</w:t>
      </w:r>
      <w:r>
        <w:t xml:space="preserve"> </w:t>
      </w:r>
      <w:r>
        <w:t xml:space="preserve">MAT 18,7% → 16,2% (−2,5 pp).</w:t>
      </w:r>
    </w:p>
    <w:p>
      <w:pPr>
        <w:pStyle w:val="BodyText"/>
      </w:pPr>
      <w:r>
        <w:rPr>
          <w:bCs/>
          <w:b/>
        </w:rPr>
        <w:t xml:space="preserve">D. Índice de precio.</w:t>
      </w:r>
      <w:r>
        <w:t xml:space="preserve"> </w:t>
      </w:r>
      <w:r>
        <w:t xml:space="preserve">MAT 91 → 88; mensual 2026 entre 82 y 89.</w:t>
      </w:r>
    </w:p>
    <w:p>
      <w:pPr>
        <w:pStyle w:val="BodyText"/>
      </w:pPr>
      <w:r>
        <w:rPr>
          <w:bCs/>
          <w:b/>
        </w:rPr>
        <w:t xml:space="preserve">E. Lectura conjunta.</w:t>
      </w:r>
      <w:r>
        <w:t xml:space="preserve"> </w:t>
      </w:r>
      <w:r>
        <w:t xml:space="preserve">Drean es líder en volumen con precio bajo el promedio del mercado. Eso se explica por la mezcla de segmentos, porque dentro del segmento básico es premium.</w:t>
      </w:r>
    </w:p>
    <w:p>
      <w:pPr>
        <w:pStyle w:val="BodyText"/>
      </w:pPr>
      <w:r>
        <w:rPr>
          <w:bCs/>
          <w:b/>
        </w:rPr>
        <w:t xml:space="preserve">F. Segmentos (MAT).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de Drean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no-frost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28,7% (+0,7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 2026: 29–34%, vs 23,6–29,1% en abr–jul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No-frost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−13,2 pp, Gafa +5,7 y Midea +6,6.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No-frost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Philco +7,7 (índice 78), BGH +12,7 (índice 75), Samsung −16,9 y Whirlpool −11,0.</w:t>
            </w:r>
          </w:p>
        </w:tc>
      </w:tr>
    </w:tbl>
    <w:p>
      <w:pPr>
        <w:pStyle w:val="BodyText"/>
      </w:pPr>
      <w:r>
        <w:rPr>
          <w:bCs/>
          <w:b/>
        </w:rPr>
        <w:t xml:space="preserve">G. Competidores.</w:t>
      </w:r>
      <w:r>
        <w:t xml:space="preserve"> </w:t>
      </w:r>
      <w:r>
        <w:t xml:space="preserve">- Ganan: Midea +3,9 pp, BGH +3,2, Philco +2,5, Telefunken +2,5, Smartlife +2,3.</w:t>
      </w:r>
      <w:r>
        <w:t xml:space="preserve"> </w:t>
      </w:r>
      <w:r>
        <w:t xml:space="preserve">- Pierden: Marcas propias −4,9, Samsung −4,3, Whirlpool −2,7.</w:t>
      </w:r>
    </w:p>
    <w:bookmarkEnd w:id="24"/>
    <w:bookmarkStart w:id="25" w:name="cocción"/>
    <w:p>
      <w:pPr>
        <w:pStyle w:val="Heading2"/>
      </w:pPr>
      <w:r>
        <w:t xml:space="preserve">5. Cocción</w:t>
      </w:r>
    </w:p>
    <w:p>
      <w:pPr>
        <w:pStyle w:val="FirstParagraph"/>
      </w:pPr>
      <w:r>
        <w:rPr>
          <w:bCs/>
          <w:b/>
        </w:rPr>
        <w:t xml:space="preserve">A. Evolución del mercado.</w:t>
      </w:r>
      <w:r>
        <w:t xml:space="preserve"> </w:t>
      </w:r>
      <w:r>
        <w:t xml:space="preserve">Sin datos de volumen ni de valor del mercado.</w:t>
      </w:r>
    </w:p>
    <w:p>
      <w:pPr>
        <w:pStyle w:val="BodyText"/>
      </w:pPr>
      <w:r>
        <w:rPr>
          <w:bCs/>
          <w:b/>
        </w:rPr>
        <w:t xml:space="preserve">B. Share en unidades.</w:t>
      </w:r>
      <w:r>
        <w:t xml:space="preserve"> </w:t>
      </w:r>
      <w:r>
        <w:t xml:space="preserve">- MAT: 3,2% (ene-24) → 1,7% (ene-25) → 3,0% (jul-25) → 9,9% (jul-26), con 19 subas mensuales seguidas.</w:t>
      </w:r>
      <w:r>
        <w:t xml:space="preserve"> </w:t>
      </w:r>
      <w:r>
        <w:t xml:space="preserve">- Mensual: jul-25 7,5% → dic-25 8,2% → jul-26 11,7%.</w:t>
      </w:r>
    </w:p>
    <w:p>
      <w:pPr>
        <w:pStyle w:val="BodyText"/>
      </w:pPr>
      <w:r>
        <w:rPr>
          <w:bCs/>
          <w:b/>
        </w:rPr>
        <w:t xml:space="preserve">C. Share en valor.</w:t>
      </w:r>
      <w:r>
        <w:t xml:space="preserve"> </w:t>
      </w:r>
      <w:r>
        <w:t xml:space="preserve">MAT 3,7% → 12,1% (+8,4 pp); jul-26 mensual 15,8%.</w:t>
      </w:r>
    </w:p>
    <w:p>
      <w:pPr>
        <w:pStyle w:val="BodyText"/>
      </w:pPr>
      <w:r>
        <w:rPr>
          <w:bCs/>
          <w:b/>
        </w:rPr>
        <w:t xml:space="preserve">D. Índice de precio.</w:t>
      </w:r>
      <w:r>
        <w:t xml:space="preserve"> </w:t>
      </w:r>
      <w:r>
        <w:t xml:space="preserve">MAT 122 sin cambio; jul-26 mensual 136.</w:t>
      </w:r>
    </w:p>
    <w:p>
      <w:pPr>
        <w:pStyle w:val="BodyText"/>
      </w:pPr>
      <w:r>
        <w:rPr>
          <w:bCs/>
          <w:b/>
        </w:rPr>
        <w:t xml:space="preserve">E. Lectura conjunta.</w:t>
      </w:r>
      <w:r>
        <w:t xml:space="preserve"> </w:t>
      </w:r>
      <w:r>
        <w:t xml:space="preserve">Drean crece en volumen y en valor a la vez, con precio premium. Es una ganancia de calidad, no de descuento.</w:t>
      </w:r>
    </w:p>
    <w:p>
      <w:pPr>
        <w:pStyle w:val="BodyText"/>
      </w:pPr>
      <w:r>
        <w:rPr>
          <w:bCs/>
          <w:b/>
        </w:rPr>
        <w:t xml:space="preserve">F. Segmentos (MAT).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de Drean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(55–56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5,0% → 16,1%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 (≥57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0,9% → 5,3%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 (≤54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Drean prácticamente no está</w:t>
            </w:r>
          </w:p>
        </w:tc>
      </w:tr>
    </w:tbl>
    <w:p>
      <w:pPr>
        <w:pStyle w:val="BodyText"/>
      </w:pPr>
      <w:r>
        <w:rPr>
          <w:bCs/>
          <w:b/>
        </w:rPr>
        <w:t xml:space="preserve">G. Competidores.</w:t>
      </w:r>
      <w:r>
        <w:t xml:space="preserve"> </w:t>
      </w:r>
      <w:r>
        <w:t xml:space="preserve">- Escorial: 38,9% → 31,3% (−7,6 pp). Cede −6,2 pp en el segmento medio y −11,1 pp en el bajo.</w:t>
      </w:r>
      <w:r>
        <w:t xml:space="preserve"> </w:t>
      </w:r>
      <w:r>
        <w:t xml:space="preserve">- Philco +3,0 y Electrolux +1,5.</w:t>
      </w:r>
    </w:p>
    <w:bookmarkEnd w:id="25"/>
    <w:bookmarkStart w:id="26" w:name="análisis-transversal"/>
    <w:p>
      <w:pPr>
        <w:pStyle w:val="Heading2"/>
      </w:pPr>
      <w:r>
        <w:t xml:space="preserve">6. Análisis transversal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Matriz competitiva.</w:t>
      </w:r>
      <w:r>
        <w:t xml:space="preserve"> </w:t>
      </w:r>
      <w:r>
        <w:t xml:space="preserve">Philco gana en las tres categorías. Samsung y Whirlpool pierden en todas donde compiten. Midea y Smartlife ganan en Lavado y Refrigeración.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Ganadores.</w:t>
      </w:r>
      <w:r>
        <w:t xml:space="preserve"> </w:t>
      </w:r>
      <w:r>
        <w:t xml:space="preserve">Philco Lavado +9,2, Drean Cocción +6,9 y Midea Refrigeración +3,9.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Perdedores.</w:t>
      </w:r>
      <w:r>
        <w:t xml:space="preserve"> </w:t>
      </w:r>
      <w:r>
        <w:t xml:space="preserve">Escorial Cocción −7,6, Drean Lavado −6,1 y Samsung Lavado −5,2.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Dinámica.</w:t>
      </w:r>
      <w:r>
        <w:t xml:space="preserve"> </w:t>
      </w:r>
      <w:r>
        <w:t xml:space="preserve">Los segmentos premium (Lavado carga alta, Refrigeración no-frost alto) los ganan marcas con precio 16–25% bajo el mercado.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Pricing.</w:t>
      </w:r>
      <w:r>
        <w:t xml:space="preserve"> </w:t>
      </w:r>
      <w:r>
        <w:t xml:space="preserve">El índice de Drean es mayor a 100 dentro de cada segmento de Lavado y en el segmento básico de Refrigeración. El índice total queda en 100 o menos por la mezcla. En Cocción pasa lo inverso.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Diagnóstico de Drean:</w:t>
      </w:r>
    </w:p>
    <w:p>
      <w:pPr>
        <w:numPr>
          <w:ilvl w:val="1"/>
          <w:numId w:val="1005"/>
        </w:numPr>
        <w:pStyle w:val="Compact"/>
      </w:pPr>
      <w:r>
        <w:t xml:space="preserve">Defensor en Lavado: líder bajo ataque.</w:t>
      </w:r>
    </w:p>
    <w:p>
      <w:pPr>
        <w:numPr>
          <w:ilvl w:val="1"/>
          <w:numId w:val="1005"/>
        </w:numPr>
        <w:pStyle w:val="Compact"/>
      </w:pPr>
      <w:r>
        <w:t xml:space="preserve">Líder estabilizado en Refrigeración, sin presencia en no-frost.</w:t>
      </w:r>
    </w:p>
    <w:p>
      <w:pPr>
        <w:numPr>
          <w:ilvl w:val="1"/>
          <w:numId w:val="1005"/>
        </w:numPr>
        <w:pStyle w:val="Compact"/>
      </w:pPr>
      <w:r>
        <w:t xml:space="preserve">Retador ganador en Cocción.</w:t>
      </w:r>
    </w:p>
    <w:bookmarkEnd w:id="26"/>
    <w:bookmarkStart w:id="27" w:name="implicancias-2027"/>
    <w:p>
      <w:pPr>
        <w:pStyle w:val="Heading2"/>
      </w:pPr>
      <w:r>
        <w:t xml:space="preserve">7. Implicancias 2027</w:t>
      </w:r>
    </w:p>
    <w:p>
      <w:pPr>
        <w:numPr>
          <w:ilvl w:val="0"/>
          <w:numId w:val="1006"/>
        </w:numPr>
        <w:pStyle w:val="Compact"/>
      </w:pPr>
      <w:r>
        <w:t xml:space="preserve">Defender Lavado (segmento bajo y carga alta) frente a Philco. Antes, validar con sell-out la hipótesis de precio.</w:t>
      </w:r>
    </w:p>
    <w:p>
      <w:pPr>
        <w:numPr>
          <w:ilvl w:val="0"/>
          <w:numId w:val="1006"/>
        </w:numPr>
        <w:pStyle w:val="Compact"/>
      </w:pPr>
      <w:r>
        <w:t xml:space="preserve">Entrar en no-frost en Refrigeración.</w:t>
      </w:r>
    </w:p>
    <w:p>
      <w:pPr>
        <w:numPr>
          <w:ilvl w:val="0"/>
          <w:numId w:val="1006"/>
        </w:numPr>
        <w:pStyle w:val="Compact"/>
      </w:pPr>
      <w:r>
        <w:t xml:space="preserve">Escalar Cocción cuidando el índice premium.</w:t>
      </w:r>
    </w:p>
    <w:p>
      <w:pPr>
        <w:numPr>
          <w:ilvl w:val="0"/>
          <w:numId w:val="1006"/>
        </w:numPr>
        <w:pStyle w:val="Compact"/>
      </w:pPr>
      <w:r>
        <w:t xml:space="preserve">Gestionar el índice de precio por segmento.</w:t>
      </w:r>
    </w:p>
    <w:p>
      <w:pPr>
        <w:numPr>
          <w:ilvl w:val="0"/>
          <w:numId w:val="1006"/>
        </w:numPr>
        <w:pStyle w:val="Compact"/>
      </w:pPr>
      <w:r>
        <w:t xml:space="preserve">Seguimiento dedicado a Philco.</w:t>
      </w:r>
    </w:p>
    <w:p>
      <w:pPr>
        <w:numPr>
          <w:ilvl w:val="0"/>
          <w:numId w:val="1006"/>
        </w:numPr>
        <w:pStyle w:val="Compact"/>
      </w:pPr>
      <w:r>
        <w:t xml:space="preserve">Completar la base de mercado:</w:t>
      </w:r>
    </w:p>
    <w:p>
      <w:pPr>
        <w:numPr>
          <w:ilvl w:val="1"/>
          <w:numId w:val="1007"/>
        </w:numPr>
        <w:pStyle w:val="Compact"/>
      </w:pPr>
      <w:r>
        <w:t xml:space="preserve">agosto y septiembre;</w:t>
      </w:r>
    </w:p>
    <w:p>
      <w:pPr>
        <w:numPr>
          <w:ilvl w:val="1"/>
          <w:numId w:val="1007"/>
        </w:numPr>
        <w:pStyle w:val="Compact"/>
      </w:pPr>
      <w:r>
        <w:t xml:space="preserve">la fila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(unidades y facturación);</w:t>
      </w:r>
    </w:p>
    <w:p>
      <w:pPr>
        <w:numPr>
          <w:ilvl w:val="1"/>
          <w:numId w:val="1007"/>
        </w:numPr>
        <w:pStyle w:val="Compact"/>
      </w:pPr>
      <w:r>
        <w:t xml:space="preserve">ene–jun 2025 mensual de Refrigeración y Cocción.</w:t>
      </w:r>
    </w:p>
    <w:bookmarkEnd w:id="27"/>
    <w:bookmarkStart w:id="28" w:name="matriz-de-insights"/>
    <w:p>
      <w:pPr>
        <w:pStyle w:val="Heading2"/>
      </w:pPr>
      <w:r>
        <w:t xml:space="preserve">8. Matriz de insights</w:t>
      </w:r>
    </w:p>
    <w:p>
      <w:pPr>
        <w:pStyle w:val="FirstParagraph"/>
      </w:pPr>
      <w:r>
        <w:rPr>
          <w:bCs/>
          <w:b/>
        </w:rPr>
        <w:t xml:space="preserve">1. Drean sigue primero en Lavado, pero perdió 6,1 pp de share en unidades en un año</w:t>
      </w:r>
      <w:r>
        <w:t xml:space="preserve"> </w:t>
      </w:r>
      <w:r>
        <w:t xml:space="preserve">(Lavado · Hecho · confianza Alta)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Share en unidades MAT: 32,7% a jul-25 y 26,6% a jul-26. En ene–jul 2026 cada mes quedó por debajo del mismo mes de 2025: ene −9,4 pp, feb −13,4, mar −6,2, may −7,5, jun −7,7 y jul −3,0 (abril 2025 sin dato).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jul-25; mensual 2026 vs 2025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Es una caída sostenida y no un mes malo: el MAT bajó todos los meses desde enero de 2024, salvo febrero de 2024 y febrero de 2025 (era 39,3%).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Recuperar share en Lavado es la prioridad comercial número uno de 2027.</w:t>
      </w:r>
    </w:p>
    <w:p>
      <w:pPr>
        <w:pStyle w:val="FirstParagraph"/>
      </w:pPr>
      <w:r>
        <w:rPr>
          <w:bCs/>
          <w:b/>
        </w:rPr>
        <w:t xml:space="preserve">2. Philco es el retador directo: la distancia con Drean bajó de 25,7 a 10,4 pp</w:t>
      </w:r>
      <w:r>
        <w:t xml:space="preserve"> </w:t>
      </w:r>
      <w:r>
        <w:t xml:space="preserve">(Lavado · Hecho · confianza Alta)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Philco pasó de 7,0% a 16,2% MAT en unidades (+9,2 pp), la mayor ganancia de la categoría. En junio de 2026 quedó a 2,0 pp de Drean en el mes (22,0% vs 20,0%).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jul-25; mensual jun-26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El liderazgo de Drean en unidades está en riesgo en el corto plazo.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Seguir a Philco mes a mes, por segmento y por canal, y preparar una respuesta comercial.</w:t>
      </w:r>
    </w:p>
    <w:p>
      <w:pPr>
        <w:pStyle w:val="FirstParagraph"/>
      </w:pPr>
      <w:r>
        <w:rPr>
          <w:bCs/>
          <w:b/>
        </w:rPr>
        <w:t xml:space="preserve">3. La mayor pérdida está en el segmento bajo (hasta 7,4 kg): −15,8 pp</w:t>
      </w:r>
      <w:r>
        <w:t xml:space="preserve"> </w:t>
      </w:r>
      <w:r>
        <w:t xml:space="preserve">(Lavado · Hecho · confianza Alta)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Drean en el segmento bajo: 42,5% a 26,8% MAT. Mensual: 52,7% en ene-25 y 25,9% en ene-26. En ese segmento ganan Philco (+7,8 pp), Others (+4,0), Kanjihome (+3,6) y BGH (+2,4).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El segmento donde Drean era más fuerte es el que más se fragmentó, a favor de marcas de menor precio.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Revisar surtido, precio y promoción del segmento bajo frente a Philco y las marcas de precio.</w:t>
      </w:r>
    </w:p>
    <w:p>
      <w:pPr>
        <w:pStyle w:val="FirstParagraph"/>
      </w:pPr>
      <w:r>
        <w:rPr>
          <w:bCs/>
          <w:b/>
        </w:rPr>
        <w:t xml:space="preserve">4. En el segmento bajo, Drean perdió share mientras su precio relativo subió</w:t>
      </w:r>
      <w:r>
        <w:t xml:space="preserve"> </w:t>
      </w:r>
      <w:r>
        <w:t xml:space="preserve">(Lavado · Correlación · confianza Media)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Índice de precio de Drean en el segmento bajo: 103 a 109 (MAT), con −15,8 pp de share. Philco opera con un índice de 82 y Kanjihome con 65.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Coinciden en el tiempo una brecha de precio mayor y la pérdida de share. Es una correlación: el dato no prueba que el precio sea la causa (también pueden influir distribución, surtido y promociones).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Hipótesis a validar con sell-out por canal y precio de góndola: la brecha de precio con los retadores explica parte de la pérdida.</w:t>
      </w:r>
    </w:p>
    <w:p>
      <w:pPr>
        <w:pStyle w:val="FirstParagraph"/>
      </w:pPr>
      <w:r>
        <w:rPr>
          <w:bCs/>
          <w:b/>
        </w:rPr>
        <w:t xml:space="preserve">5. En carga alta (9 kg o más) el mercado cambió de líder: Philco 30,4%, y Samsung y Whirlpool se desplomaron</w:t>
      </w:r>
      <w:r>
        <w:t xml:space="preserve"> </w:t>
      </w:r>
      <w:r>
        <w:t xml:space="preserve">(Lavado · Hecho · confianza Alta)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Segmento alto MAT: Philco 6,7% a 30,4% (+23,7 pp) con índice 84; Samsung −11,1 pp; Whirlpool −17,9 pp. Drean −4,9 pp a 14,0% (#3), con índice 101.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El segmento premium se volvió una pelea de precio: lo gana la marca más barata del segmento (Philco, índice 84) y pierden las marcas globales.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Definir si Drean compite en carga alta por precio o por diferenciación; con índice 101 hoy no está en ninguno de los dos extremos.</w:t>
      </w:r>
    </w:p>
    <w:p>
      <w:pPr>
        <w:pStyle w:val="FirstParagraph"/>
      </w:pPr>
      <w:r>
        <w:rPr>
          <w:bCs/>
          <w:b/>
        </w:rPr>
        <w:t xml:space="preserve">6. El segmento medio sostiene el liderazgo y repuntó en julio de 2026</w:t>
      </w:r>
      <w:r>
        <w:t xml:space="preserve"> </w:t>
      </w:r>
      <w:r>
        <w:t xml:space="preserve">(Lavado · Hecho · confianza Media)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Segmento medio: Drean 36,7% MAT (#1; −4,6 pp). Mensual: 42,4% en jul-26 vs 25,0% en jul-25 y 37,4% en dic-25. Midea gana +6,9 pp.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y mensual jul-26 vs jul-25 y vs dic-25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Es el segmento más defendido. El pico de julio es un solo mes y falta confirmar que se sostenga.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Validar con agosto y septiembre (todavía no cargados) antes de leerlo como tendencia.</w:t>
      </w:r>
    </w:p>
    <w:p>
      <w:pPr>
        <w:pStyle w:val="FirstParagraph"/>
      </w:pPr>
      <w:r>
        <w:rPr>
          <w:bCs/>
          <w:b/>
        </w:rPr>
        <w:t xml:space="preserve">7. El share en valor cayó más que en unidades: Drean perdió posición de precio en el año móvil</w:t>
      </w:r>
      <w:r>
        <w:t xml:space="preserve"> </w:t>
      </w:r>
      <w:r>
        <w:t xml:space="preserve">(Lavado · Hecho · confianza Alta)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MAT: valor 33,9% a 26,1% (−7,7 pp) vs unidades −6,1 pp; índice de precio 103 a 98. En el mensual 2026 el índice se recuperó (96 a 102 en ene–jul, vs 93–96 en jul–sep 2025).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jul-25; mensual 2026 vs jul–sep 2025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En el año móvil Drean vendió por debajo del precio promedio del mercado; en 2026 volvió a la paridad.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La recuperación de precio de 2026 no frenó la caída de share: precio y volumen hay que gestionarlos juntos.</w:t>
      </w:r>
    </w:p>
    <w:p>
      <w:pPr>
        <w:pStyle w:val="FirstParagraph"/>
      </w:pPr>
      <w:r>
        <w:rPr>
          <w:bCs/>
          <w:b/>
        </w:rPr>
        <w:t xml:space="preserve">8. En Refrigeración, Drean lidera y la caída se frenó en 2026</w:t>
      </w:r>
      <w:r>
        <w:t xml:space="preserve"> </w:t>
      </w:r>
      <w:r>
        <w:t xml:space="preserve">(Refrigeración · Hecho · confianza Media)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MAT en unidades: 26,0% (ene-24) a 18,6% (dic-25), 18,5% (jul-26). El MAT subió en mayo, junio y julio de 2026, las primeras subidas desde octubre de 2024. Mensual jul-26: 20,2% vs 15,2% en jul-25 (+5,0 pp) y 17,7% en dic-25 (+2,5 pp).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histórico; mensual jul-26 vs jul-25 y vs dic-25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La tendencia pasó de caída a estabilidad con leve recuperación. Ene–jun 2025 mensual no está en la base, así que la comparación interanual mensual solo es posible para julio.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Sostener lo que funcionó en 2026 en Refrigeración y medir si la recuperación mensual se traslada al año móvil.</w:t>
      </w:r>
    </w:p>
    <w:p>
      <w:pPr>
        <w:pStyle w:val="FirstParagraph"/>
      </w:pPr>
      <w:r>
        <w:rPr>
          <w:bCs/>
          <w:b/>
        </w:rPr>
        <w:t xml:space="preserve">9. Drean vende Refrigeración por debajo del precio promedio del mercado</w:t>
      </w:r>
      <w:r>
        <w:t xml:space="preserve"> </w:t>
      </w:r>
      <w:r>
        <w:t xml:space="preserve">(Refrigeración · Hecho · confianza Alta)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Índice de precio MAT: 91 a 88; share en valor 16,2% vs 18,5% en unidades (MAT jul-26). Mensual 2026 entre 82 y 89.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Drean gana volumen con un precio promedio menor que el mercado: su participación en la facturación de la categoría es menor que en unidades.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Evaluar la mezcla de productos: el índice bajo viene sobre todo de la composición por segmento (ver hallazgo 15).</w:t>
      </w:r>
    </w:p>
    <w:p>
      <w:pPr>
        <w:pStyle w:val="FirstParagraph"/>
      </w:pPr>
      <w:r>
        <w:rPr>
          <w:bCs/>
          <w:b/>
        </w:rPr>
        <w:t xml:space="preserve">10. La fortaleza de Drean está en el segmento sin no-frost; en no-frost tiene poca presencia</w:t>
      </w:r>
      <w:r>
        <w:t xml:space="preserve"> </w:t>
      </w:r>
      <w:r>
        <w:t xml:space="preserve">(Refrigeración · Hecho · confianza Alta)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Sin no-frost: 28,7% MAT (#1; +0,7 pp; índice 117) y 29–34% mensual en 2026 vs 23,6–29,1% en abr–jul 2025. No-frost medio: 9,9% (#4). No-frost alto: 1,8% (#11).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jul-25; mensual 2026 vs 2025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Drean es líder y premium en el segmento básico, y marginal en no-frost.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El crecimiento en Refrigeración depende de entrar en no-frost; hoy ese mercado se lo reparten otras marcas.</w:t>
      </w:r>
    </w:p>
    <w:p>
      <w:pPr>
        <w:pStyle w:val="FirstParagraph"/>
      </w:pPr>
      <w:r>
        <w:rPr>
          <w:bCs/>
          <w:b/>
        </w:rPr>
        <w:t xml:space="preserve">11. En no-frost alto, Philco y BGH desplazan a Samsung y Whirlpool con precios 22–25% bajo el mercado</w:t>
      </w:r>
      <w:r>
        <w:t xml:space="preserve"> </w:t>
      </w:r>
      <w:r>
        <w:t xml:space="preserve">(Refrigeración · Hecho · confianza Alta)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Segmento alto MAT: Philco +7,7 pp (20,8%, índice 78), BGH +12,7 pp (14,8%, índice 75), Samsung −16,9 pp (14,3%, índice 140), Whirlpool −11,0 pp (12,2%).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Es el mismo patrón que en Lavado carga alta: el segmento premium se abarata y lo ganan los retadores de precio.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Hay una ventana de entrada en no-frost para una marca local con precio competitivo.</w:t>
      </w:r>
    </w:p>
    <w:p>
      <w:pPr>
        <w:pStyle w:val="FirstParagraph"/>
      </w:pPr>
      <w:r>
        <w:rPr>
          <w:bCs/>
          <w:b/>
        </w:rPr>
        <w:t xml:space="preserve">12. Cocción es la categoría donde Drean más crece: de 3,0% a 9,9% en un año</w:t>
      </w:r>
      <w:r>
        <w:t xml:space="preserve"> </w:t>
      </w:r>
      <w:r>
        <w:t xml:space="preserve">(Cocción · Hecho · confianza Alta)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MAT en unidades +6,9 pp (#3 entre marcas) y en valor 3,7% a 12,1% (+8,4 pp), el mayor avance de la categoría. Mensual: 7,5% en jul-25 y 11,7% en jul-26 (valor 15,8%). El MAT subió 19 meses seguidos.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jul-25; mensual jul-26 vs jul-25 y vs dic-25 (+3,4 pp)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Es una ganancia sostenida y no un pico.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Cocción es la plataforma de crecimiento: sostener la inversión y el surtido.</w:t>
      </w:r>
    </w:p>
    <w:p>
      <w:pPr>
        <w:pStyle w:val="FirstParagraph"/>
      </w:pPr>
      <w:r>
        <w:rPr>
          <w:bCs/>
          <w:b/>
        </w:rPr>
        <w:t xml:space="preserve">13. Drean crece en Cocción con precio premium y en los segmentos medio y alto</w:t>
      </w:r>
      <w:r>
        <w:t xml:space="preserve"> </w:t>
      </w:r>
      <w:r>
        <w:t xml:space="preserve">(Cocción · Hecho · confianza Alta)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Índice de precio total MAT 122 (jul-26 mensual: 136). Segmento medio (55–56 cm): 5,0% a 16,1% (#3, índice 113). Segmento alto (57 cm o más): 0,9% a 5,3% (índice 97). Segmento bajo: 0,1% (sale).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El crecimiento no se apoya en el precio: Drean se ubica en los anchos de más valor. Su share en valor (12,1%) supera al de unidades (9,9%).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Cuidar el posicionamiento premium mientras escala. El segmento bajo no es prioritario.</w:t>
      </w:r>
    </w:p>
    <w:p>
      <w:pPr>
        <w:pStyle w:val="FirstParagraph"/>
      </w:pPr>
      <w:r>
        <w:rPr>
          <w:bCs/>
          <w:b/>
        </w:rPr>
        <w:t xml:space="preserve">14. El líder Escorial pierde 7,6 pp, la mayor caída de la categoría</w:t>
      </w:r>
      <w:r>
        <w:t xml:space="preserve"> </w:t>
      </w:r>
      <w:r>
        <w:t xml:space="preserve">(Cocción · Correlación · confianza Media)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Escorial: 38,9% a 31,3% MAT (−7,6 pp); en el segmento bajo, 71,6% a 60,5%. En el segmento medio cede −6,2 pp, donde Drean gana +11,1.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En el segmento medio, lo que pierde Escorial y lo que gana Drean coinciden en el tiempo. Sin datos de sell-out no se puede afirmar que sea transferencia directa.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Escorial es el competidor a seguir en Cocción, segmento medio.</w:t>
      </w:r>
    </w:p>
    <w:p>
      <w:pPr>
        <w:pStyle w:val="FirstParagraph"/>
      </w:pPr>
      <w:r>
        <w:rPr>
          <w:bCs/>
          <w:b/>
        </w:rPr>
        <w:t xml:space="preserve">15. Drean es premium dentro de cada segmento, pero su índice total queda en 100 o menos por la mezcla</w:t>
      </w:r>
      <w:r>
        <w:t xml:space="preserve"> </w:t>
      </w:r>
      <w:r>
        <w:t xml:space="preserve">(Transversal · Hecho · confianza Alta)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Índices de Drean dentro de cada segmento (MAT): Lavado bajo 109 y medio 110; Refrigeración sin no-frost 117. Índice total: Lavado 98 y Refrigeración 88. En Cocción pasa lo inverso: 113 y 97 por segmento, 122 total.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Es un efecto de composición: Drean concentra su venta en los segmentos de menor precio de Lavado y Refrigeración, y en los de mayor precio de Cocción. El índice total no dice que Drean sea</w:t>
      </w:r>
      <w:r>
        <w:t xml:space="preserve"> </w:t>
      </w:r>
      <w:r>
        <w:t xml:space="preserve">“</w:t>
      </w:r>
      <w:r>
        <w:t xml:space="preserve">barato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Leer siempre el índice de precio por segmento, no solo el total.</w:t>
      </w:r>
    </w:p>
    <w:p>
      <w:pPr>
        <w:pStyle w:val="FirstParagraph"/>
      </w:pPr>
      <w:r>
        <w:rPr>
          <w:bCs/>
          <w:b/>
        </w:rPr>
        <w:t xml:space="preserve">16. Philco es el retador común: gana share en las tres categorías</w:t>
      </w:r>
      <w:r>
        <w:t xml:space="preserve"> </w:t>
      </w:r>
      <w:r>
        <w:t xml:space="preserve">(Transversal · Hecho · confianza Alta)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MAT en unidades: Lavado +9,2 pp, Refrigeración +2,5 pp y Cocción +3,0 pp. Es #2 en Lavado y #3 en Refrigeración.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Es el único competidor que avanza en las tres categorías a la vez.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Armar un seguimiento competitivo dedicado a Philco: precio, surtido, canales y pauta.</w:t>
      </w:r>
    </w:p>
    <w:p>
      <w:pPr>
        <w:pStyle w:val="FirstParagraph"/>
      </w:pPr>
      <w:r>
        <w:rPr>
          <w:bCs/>
          <w:b/>
        </w:rPr>
        <w:t xml:space="preserve">17. Las marcas premium globales retroceden en todo el mercado y ganan los retadores de precio</w:t>
      </w:r>
      <w:r>
        <w:t xml:space="preserve"> </w:t>
      </w:r>
      <w:r>
        <w:t xml:space="preserve">(Transversal · Hecho / hipótesis · confianza Media)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Samsung: Lavado −5,2 pp y Refrigeración −4,3 pp. Whirlpool: −4,3 y −2,7 pp. Ganan Midea (+2,8 y +3,9; índice 106 y 102) y Smartlife (+2,3 y +2,3; índice 99 y 93). BGH también gana (+1,7 y +3,2), aunque en Refrigeración con índice 125.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MAT jul-26 vs jul-25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La demanda se movió hacia marcas de precio medio y bajo. Es consistente con un consumidor más sensible al precio; los datos de share no miden esa causa.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En 2027 la competencia de Drean es cada vez más de precio y menos de marca global.</w:t>
      </w:r>
    </w:p>
    <w:p>
      <w:pPr>
        <w:pStyle w:val="FirstParagraph"/>
      </w:pPr>
      <w:r>
        <w:rPr>
          <w:bCs/>
          <w:b/>
        </w:rPr>
        <w:t xml:space="preserve">18. No se puede calcular un share global de Drean con la base actual</w:t>
      </w:r>
      <w:r>
        <w:t xml:space="preserve"> </w:t>
      </w:r>
      <w:r>
        <w:t xml:space="preserve">(Global · Limitación · confianza —)</w:t>
      </w:r>
    </w:p>
    <w:p>
      <w:pPr>
        <w:numPr>
          <w:ilvl w:val="0"/>
          <w:numId w:val="1025"/>
        </w:numPr>
        <w:pStyle w:val="Compact"/>
      </w:pPr>
      <w:r>
        <w:rPr>
          <w:iCs/>
          <w:i/>
        </w:rPr>
        <w:t xml:space="preserve">Evidencia:</w:t>
      </w:r>
      <w:r>
        <w:t xml:space="preserve"> </w:t>
      </w:r>
      <w:r>
        <w:t xml:space="preserve">mercado_share guarda solo participaciones e índices. No guarda unidades, facturación ni precio absoluto del mercado: la fila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de los exports de GfK se descarta al cargar.</w:t>
      </w:r>
    </w:p>
    <w:p>
      <w:pPr>
        <w:numPr>
          <w:ilvl w:val="0"/>
          <w:numId w:val="1025"/>
        </w:numPr>
        <w:pStyle w:val="Compact"/>
      </w:pPr>
      <w:r>
        <w:rPr>
          <w:iCs/>
          <w:i/>
        </w:rPr>
        <w:t xml:space="preserve">Comparación:</w:t>
      </w:r>
      <w:r>
        <w:t xml:space="preserve"> </w:t>
      </w:r>
      <w:r>
        <w:t xml:space="preserve">—</w:t>
      </w:r>
    </w:p>
    <w:p>
      <w:pPr>
        <w:numPr>
          <w:ilvl w:val="0"/>
          <w:numId w:val="1025"/>
        </w:numPr>
        <w:pStyle w:val="Compact"/>
      </w:pPr>
      <w:r>
        <w:rPr>
          <w:iCs/>
          <w:i/>
        </w:rPr>
        <w:t xml:space="preserve">Interpretación:</w:t>
      </w:r>
      <w:r>
        <w:t xml:space="preserve"> </w:t>
      </w:r>
      <w:r>
        <w:t xml:space="preserve">Sumar o promediar shares de categorías distintas daría un número sin sentido, por eso no se calcula.</w:t>
      </w:r>
    </w:p>
    <w:p>
      <w:pPr>
        <w:numPr>
          <w:ilvl w:val="0"/>
          <w:numId w:val="1025"/>
        </w:numPr>
        <w:pStyle w:val="Compact"/>
      </w:pPr>
      <w:r>
        <w:rPr>
          <w:iCs/>
          <w:i/>
        </w:rPr>
        <w:t xml:space="preserve">Implicancia:</w:t>
      </w:r>
      <w:r>
        <w:t xml:space="preserve"> </w:t>
      </w:r>
      <w:r>
        <w:t xml:space="preserve">Cargar la fila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(unidades y facturación del mercado) en la próxima carga de GfK. Con eso se calculan el share global, el índice ponderado y la contribución por categoría.</w:t>
      </w:r>
    </w:p>
    <w:bookmarkEnd w:id="28"/>
    <w:bookmarkStart w:id="35" w:name="anexo-tablas-de-cálculo"/>
    <w:p>
      <w:pPr>
        <w:pStyle w:val="Heading2"/>
      </w:pPr>
      <w:r>
        <w:t xml:space="preserve">Anexo — tablas de cálculo</w:t>
      </w:r>
    </w:p>
    <w:bookmarkStart w:id="29" w:name="Xffddf8a3272265d456e7e4ae5a0c4128ba9b46b"/>
    <w:p>
      <w:pPr>
        <w:pStyle w:val="Heading4"/>
      </w:pPr>
      <w:r>
        <w:t xml:space="preserve">Lavado — ranking MAT jul-26 (todas las marcas listadas)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Unid.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Índ. 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Jul-26 unid. (mes)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 dic-25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WHIRLPOOL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KANJIHOME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Marcas propias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-1,3</w:t>
            </w:r>
          </w:p>
        </w:tc>
      </w:tr>
    </w:tbl>
    <w:bookmarkEnd w:id="29"/>
    <w:bookmarkStart w:id="30" w:name="lavado-drean-mensual-2026-vs-2025-total"/>
    <w:p>
      <w:pPr>
        <w:pStyle w:val="Heading4"/>
      </w:pPr>
      <w:r>
        <w:t xml:space="preserve">Lavado — Drean mensual 2026 vs 2025 (Total)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</w:t>
            </w:r>
          </w:p>
        </w:tc>
      </w:tr>
    </w:tbl>
    <w:bookmarkEnd w:id="30"/>
    <w:bookmarkStart w:id="31" w:name="X267fdc747f2a0716ccff5a37fa8bf1f55315aa6"/>
    <w:p>
      <w:pPr>
        <w:pStyle w:val="Heading4"/>
      </w:pPr>
      <w:r>
        <w:t xml:space="preserve">Refrigeración — ranking MAT jul-26 (todas las marcas listadas)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Unid.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Índ. 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Jul-26 unid. (mes)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 dic-25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WHIRLPOOL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ELECTROLUX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TELEFUNKEN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Marcas propias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+3,9</w:t>
            </w:r>
          </w:p>
        </w:tc>
      </w:tr>
    </w:tbl>
    <w:bookmarkEnd w:id="31"/>
    <w:bookmarkStart w:id="32" w:name="X047c2b8e90d700fc56b2fa14eb0e277a5662d7d"/>
    <w:p>
      <w:pPr>
        <w:pStyle w:val="Heading4"/>
      </w:pPr>
      <w:r>
        <w:t xml:space="preserve">Refrigeración — Drean mensual 2026 vs 2025 (Total)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</w:t>
            </w:r>
          </w:p>
        </w:tc>
      </w:tr>
    </w:tbl>
    <w:bookmarkEnd w:id="32"/>
    <w:bookmarkStart w:id="33" w:name="X0dfb00964c451bf62c17a9b7214a0a33802e580"/>
    <w:p>
      <w:pPr>
        <w:pStyle w:val="Heading4"/>
      </w:pPr>
      <w:r>
        <w:t xml:space="preserve">Cocción — ranking MAT jul-26 (todas las marcas listadas)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Unid.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Índ. 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Jul-26 unid. (mes)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 dic-25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LONGVIE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WHIRLPOOL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ELECTROLUX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ORBIS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MORELLI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PEABODY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Marcas propias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</w:t>
            </w:r>
          </w:p>
        </w:tc>
      </w:tr>
    </w:tbl>
    <w:bookmarkEnd w:id="33"/>
    <w:bookmarkStart w:id="34" w:name="cocción-drean-mensual-2026-vs-2025-total"/>
    <w:p>
      <w:pPr>
        <w:pStyle w:val="Heading4"/>
      </w:pPr>
      <w:r>
        <w:t xml:space="preserve">Cocción — Drean mensual 2026 vs 2025 (Total)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125,0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Intelligence &amp; Competitive Performance 2026 — Diagnóstico</dc:title>
  <dc:creator/>
  <cp:keywords/>
  <dcterms:created xsi:type="dcterms:W3CDTF">2026-10-19T08:36:59Z</dcterms:created>
  <dcterms:modified xsi:type="dcterms:W3CDTF">2026-10-19T08:36:59Z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Drean · Lavado, Refrigeración y Cocción · GfK enero–julio 2026 vs 2025 e histórico</vt:lpwstr>
  </property>
</Properties>
</file>