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cs="Times New Roman" w:eastAsia="黑体"/>
          <w:b/>
          <w:i w:val="0"/>
          <w:color w:val="000000"/>
          <w:sz w:val="24"/>
          <w:u w:val="none"/>
        </w:rPr>
        <w:t>论文编码：______________</w:t>
      </w:r>
    </w:p>
    <w:p>
      <w:pPr>
        <w:spacing w:after="280"/>
      </w:pPr>
    </w:p>
    <w:p>
      <w:pPr>
        <w:jc w:val="center"/>
      </w:pPr>
      <w:r>
        <w:rPr>
          <w:rFonts w:ascii="Times New Roman" w:hAnsi="Times New Roman" w:cs="Times New Roman" w:eastAsia="黑体"/>
          <w:b/>
          <w:i w:val="0"/>
          <w:color w:val="000000"/>
          <w:sz w:val="56"/>
          <w:u w:val="none"/>
        </w:rPr>
        <w:t>中国人民大学本科毕业论文（设计）</w:t>
      </w:r>
    </w:p>
    <w:p>
      <w:pPr>
        <w:jc w:val="center"/>
      </w:pPr>
      <w:r>
        <w:rPr>
          <w:rFonts w:ascii="Times New Roman" w:hAnsi="Times New Roman" w:cs="Times New Roman" w:eastAsia="黑体"/>
          <w:b/>
          <w:i w:val="0"/>
          <w:color w:val="000000"/>
          <w:sz w:val="56"/>
          <w:u w:val="none"/>
        </w:rPr>
        <w:t>AI 技术事件与职业不安全感表达的关联</w:t>
      </w:r>
    </w:p>
    <w:p>
      <w:pPr>
        <w:jc w:val="center"/>
      </w:pPr>
      <w:r>
        <w:rPr>
          <w:rFonts w:ascii="Times New Roman" w:hAnsi="Times New Roman" w:cs="Times New Roman" w:eastAsia="黑体"/>
          <w:b/>
          <w:i w:val="0"/>
          <w:color w:val="000000"/>
          <w:sz w:val="40"/>
          <w:u w:val="none"/>
        </w:rPr>
        <w:t>——基于社交媒体数据的描述性分析</w:t>
      </w:r>
    </w:p>
    <w:p/>
    <w:p/>
    <w:p/>
    <w:p/>
    <w:p>
      <w:pPr>
        <w:spacing w:after="120"/>
        <w:ind w:left="2000"/>
      </w:pPr>
      <w:r>
        <w:rPr>
          <w:rFonts w:ascii="Times New Roman" w:hAnsi="Times New Roman" w:cs="Times New Roman" w:eastAsia="黑体"/>
          <w:b/>
          <w:i w:val="0"/>
          <w:color w:val="000000"/>
          <w:sz w:val="40"/>
          <w:u w:val="none"/>
        </w:rPr>
        <w:t>作者：</w:t>
      </w:r>
      <w:r>
        <w:rPr>
          <w:rFonts w:ascii="Times New Roman" w:hAnsi="Times New Roman" w:cs="Times New Roman" w:eastAsia="宋体"/>
          <w:b w:val="0"/>
          <w:i w:val="0"/>
          <w:color w:val="000000"/>
          <w:sz w:val="40"/>
          <w:u w:val="single"/>
        </w:rPr>
        <w:t>石盛楠</w:t>
      </w:r>
    </w:p>
    <w:p>
      <w:pPr>
        <w:spacing w:after="120"/>
        <w:ind w:left="2000"/>
      </w:pPr>
      <w:r>
        <w:rPr>
          <w:rFonts w:ascii="Times New Roman" w:hAnsi="Times New Roman" w:cs="Times New Roman" w:eastAsia="黑体"/>
          <w:b/>
          <w:i w:val="0"/>
          <w:color w:val="000000"/>
          <w:sz w:val="40"/>
          <w:u w:val="none"/>
        </w:rPr>
        <w:t>学院：</w:t>
      </w:r>
      <w:r>
        <w:rPr>
          <w:rFonts w:ascii="Times New Roman" w:hAnsi="Times New Roman" w:cs="Times New Roman" w:eastAsia="宋体"/>
          <w:b w:val="0"/>
          <w:i w:val="0"/>
          <w:color w:val="000000"/>
          <w:sz w:val="40"/>
          <w:u w:val="single"/>
        </w:rPr>
        <w:t>中法学院</w:t>
      </w:r>
    </w:p>
    <w:p>
      <w:pPr>
        <w:spacing w:after="120"/>
        <w:ind w:left="2000"/>
      </w:pPr>
      <w:r>
        <w:rPr>
          <w:rFonts w:ascii="Times New Roman" w:hAnsi="Times New Roman" w:cs="Times New Roman" w:eastAsia="黑体"/>
          <w:b/>
          <w:i w:val="0"/>
          <w:color w:val="000000"/>
          <w:sz w:val="40"/>
          <w:u w:val="none"/>
        </w:rPr>
        <w:t>专业：</w:t>
      </w:r>
      <w:r>
        <w:rPr>
          <w:rFonts w:ascii="Times New Roman" w:hAnsi="Times New Roman" w:cs="Times New Roman" w:eastAsia="宋体"/>
          <w:b w:val="0"/>
          <w:i w:val="0"/>
          <w:color w:val="000000"/>
          <w:sz w:val="40"/>
          <w:u w:val="single"/>
        </w:rPr>
        <w:t>人力资源管理</w:t>
      </w:r>
    </w:p>
    <w:p>
      <w:pPr>
        <w:spacing w:after="120"/>
        <w:ind w:left="2000"/>
      </w:pPr>
      <w:r>
        <w:rPr>
          <w:rFonts w:ascii="Times New Roman" w:hAnsi="Times New Roman" w:cs="Times New Roman" w:eastAsia="黑体"/>
          <w:b/>
          <w:i w:val="0"/>
          <w:color w:val="000000"/>
          <w:sz w:val="40"/>
          <w:u w:val="none"/>
        </w:rPr>
        <w:t>年级：</w:t>
      </w:r>
      <w:r>
        <w:rPr>
          <w:rFonts w:ascii="Times New Roman" w:hAnsi="Times New Roman" w:cs="Times New Roman" w:eastAsia="宋体"/>
          <w:b w:val="0"/>
          <w:i w:val="0"/>
          <w:color w:val="000000"/>
          <w:sz w:val="40"/>
          <w:u w:val="single"/>
        </w:rPr>
        <w:t>2022级</w:t>
      </w:r>
    </w:p>
    <w:p>
      <w:pPr>
        <w:spacing w:after="120"/>
        <w:ind w:left="2000"/>
      </w:pPr>
      <w:r>
        <w:rPr>
          <w:rFonts w:ascii="Times New Roman" w:hAnsi="Times New Roman" w:cs="Times New Roman" w:eastAsia="黑体"/>
          <w:b/>
          <w:i w:val="0"/>
          <w:color w:val="000000"/>
          <w:sz w:val="40"/>
          <w:u w:val="none"/>
        </w:rPr>
        <w:t>学号：</w:t>
      </w:r>
      <w:r>
        <w:rPr>
          <w:rFonts w:ascii="Times New Roman" w:hAnsi="Times New Roman" w:cs="Times New Roman" w:eastAsia="宋体"/>
          <w:b w:val="0"/>
          <w:i w:val="0"/>
          <w:color w:val="000000"/>
          <w:sz w:val="40"/>
          <w:u w:val="single"/>
        </w:rPr>
        <w:t>2022202523</w:t>
      </w:r>
    </w:p>
    <w:p>
      <w:pPr>
        <w:spacing w:after="120"/>
        <w:ind w:left="2000"/>
      </w:pPr>
      <w:r>
        <w:rPr>
          <w:rFonts w:ascii="Times New Roman" w:hAnsi="Times New Roman" w:cs="Times New Roman" w:eastAsia="黑体"/>
          <w:b/>
          <w:i w:val="0"/>
          <w:color w:val="000000"/>
          <w:sz w:val="40"/>
          <w:u w:val="none"/>
        </w:rPr>
        <w:t>指导教师：</w:t>
      </w:r>
      <w:r>
        <w:rPr>
          <w:rFonts w:ascii="Times New Roman" w:hAnsi="Times New Roman" w:cs="Times New Roman" w:eastAsia="宋体"/>
          <w:b w:val="0"/>
          <w:i w:val="0"/>
          <w:color w:val="000000"/>
          <w:sz w:val="40"/>
          <w:u w:val="single"/>
        </w:rPr>
        <w:t xml:space="preserve">                  </w:t>
      </w:r>
    </w:p>
    <w:p>
      <w:pPr>
        <w:spacing w:after="120"/>
        <w:ind w:left="2000"/>
      </w:pPr>
      <w:r>
        <w:rPr>
          <w:rFonts w:ascii="Times New Roman" w:hAnsi="Times New Roman" w:cs="Times New Roman" w:eastAsia="黑体"/>
          <w:b/>
          <w:i w:val="0"/>
          <w:color w:val="000000"/>
          <w:sz w:val="40"/>
          <w:u w:val="none"/>
        </w:rPr>
        <w:t>论文成绩：</w:t>
      </w:r>
      <w:r>
        <w:rPr>
          <w:rFonts w:ascii="Times New Roman" w:hAnsi="Times New Roman" w:cs="Times New Roman" w:eastAsia="宋体"/>
          <w:b w:val="0"/>
          <w:i w:val="0"/>
          <w:color w:val="000000"/>
          <w:sz w:val="40"/>
          <w:u w:val="single"/>
        </w:rPr>
        <w:t xml:space="preserve">                  </w:t>
      </w:r>
    </w:p>
    <w:p>
      <w:pPr>
        <w:spacing w:after="120"/>
        <w:ind w:left="2000"/>
      </w:pPr>
      <w:r>
        <w:rPr>
          <w:rFonts w:ascii="Times New Roman" w:hAnsi="Times New Roman" w:cs="Times New Roman" w:eastAsia="黑体"/>
          <w:b/>
          <w:i w:val="0"/>
          <w:color w:val="000000"/>
          <w:sz w:val="40"/>
          <w:u w:val="none"/>
        </w:rPr>
        <w:t>日期：</w:t>
      </w:r>
      <w:r>
        <w:rPr>
          <w:rFonts w:ascii="Times New Roman" w:hAnsi="Times New Roman" w:cs="Times New Roman" w:eastAsia="宋体"/>
          <w:b w:val="0"/>
          <w:i w:val="0"/>
          <w:color w:val="000000"/>
          <w:sz w:val="40"/>
          <w:u w:val="single"/>
        </w:rPr>
        <w:t>2026年4月</w:t>
      </w:r>
    </w:p>
    <w:p>
      <w:pPr>
        <w:sectPr>
          <w:headerReference w:type="default" r:id="rId9"/>
          <w:footerReference w:type="default" r:id="rId10"/>
          <w:pgSz w:w="11906" w:h="16838"/>
          <w:pgMar w:top="1134" w:right="850" w:bottom="1134" w:left="850" w:header="720" w:footer="720" w:gutter="283"/>
          <w:cols w:space="720"/>
          <w:docGrid w:linePitch="360"/>
        </w:sectPr>
      </w:pPr>
    </w:p>
    <w:p>
      <w:pPr>
        <w:spacing w:after="240"/>
        <w:jc w:val="center"/>
      </w:pPr>
      <w:r>
        <w:rPr>
          <w:rFonts w:ascii="Times New Roman" w:hAnsi="Times New Roman" w:cs="Times New Roman" w:eastAsia="黑体"/>
          <w:b/>
          <w:i w:val="0"/>
          <w:color w:val="000000"/>
          <w:sz w:val="32"/>
          <w:u w:val="none"/>
        </w:rPr>
        <w:t>中国人民大学学位论文原创性声明和使用授权说明</w:t>
      </w:r>
    </w:p>
    <w:p>
      <w:pPr>
        <w:spacing w:line="300" w:lineRule="auto"/>
        <w:ind w:firstLine="480"/>
      </w:pPr>
      <w:r>
        <w:rPr>
          <w:rFonts w:ascii="Times New Roman" w:hAnsi="Times New Roman" w:cs="Times New Roman" w:eastAsia="宋体"/>
          <w:b w:val="0"/>
          <w:i w:val="0"/>
          <w:color w:val="000000"/>
          <w:sz w:val="24"/>
          <w:u w:val="none"/>
        </w:rPr>
        <w:t>本人郑重声明：所呈交的论文是我个人在导师指导下进行的研究工作及取得的研究成果。尽我所知，除了文中特别加以标注和致谢的地方外，论文中不包含其他人已经发表或撰写过的研究成果，也不包含为获得中国人民大学或其他教育机构的学位或证书所使用过的材料。与我一同工作的同志对本研究所做的任何贡献均已在文中作了明确的说明并表示了谢意。</w:t>
      </w:r>
    </w:p>
    <w:p>
      <w:pPr>
        <w:spacing w:line="300" w:lineRule="auto"/>
        <w:ind w:firstLine="480"/>
      </w:pPr>
      <w:r>
        <w:rPr>
          <w:rFonts w:ascii="Times New Roman" w:hAnsi="Times New Roman" w:cs="Times New Roman" w:eastAsia="宋体"/>
          <w:b w:val="0"/>
          <w:i w:val="0"/>
          <w:color w:val="000000"/>
          <w:sz w:val="24"/>
          <w:u w:val="none"/>
        </w:rPr>
        <w:t>本人完全了解中国人民大学有关保留、使用学位论文的规定，即：学校有权保留送交论文的复印件，允许论文被查阅和借阅；学校可以公布论文的全部或部分内容，可以采用影印、缩印或其他复制手段保存论文。</w:t>
      </w:r>
    </w:p>
    <w:p>
      <w:pPr>
        <w:spacing w:before="240"/>
      </w:pPr>
      <w:r>
        <w:rPr>
          <w:rFonts w:ascii="Times New Roman" w:hAnsi="Times New Roman" w:cs="Times New Roman" w:eastAsia="宋体"/>
          <w:b w:val="0"/>
          <w:i w:val="0"/>
          <w:color w:val="000000"/>
          <w:sz w:val="24"/>
          <w:u w:val="none"/>
        </w:rPr>
        <w:t>作者签名：____________________</w:t>
      </w:r>
    </w:p>
    <w:p>
      <w:pPr>
        <w:spacing w:before="240"/>
      </w:pPr>
      <w:r>
        <w:rPr>
          <w:rFonts w:ascii="Times New Roman" w:hAnsi="Times New Roman" w:cs="Times New Roman" w:eastAsia="宋体"/>
          <w:b w:val="0"/>
          <w:i w:val="0"/>
          <w:color w:val="000000"/>
          <w:sz w:val="24"/>
          <w:u w:val="none"/>
        </w:rPr>
        <w:t>日期：____________________</w:t>
      </w:r>
    </w:p>
    <w:p>
      <w:pPr>
        <w:spacing w:before="240"/>
      </w:pPr>
      <w:r>
        <w:rPr>
          <w:rFonts w:ascii="Times New Roman" w:hAnsi="Times New Roman" w:cs="Times New Roman" w:eastAsia="宋体"/>
          <w:b w:val="0"/>
          <w:i w:val="0"/>
          <w:color w:val="000000"/>
          <w:sz w:val="24"/>
          <w:u w:val="none"/>
        </w:rPr>
        <w:t>指导教师签名：____________________</w:t>
      </w:r>
    </w:p>
    <w:p>
      <w:pPr>
        <w:spacing w:before="240"/>
      </w:pPr>
      <w:r>
        <w:rPr>
          <w:rFonts w:ascii="Times New Roman" w:hAnsi="Times New Roman" w:cs="Times New Roman" w:eastAsia="宋体"/>
          <w:b w:val="0"/>
          <w:i w:val="0"/>
          <w:color w:val="000000"/>
          <w:sz w:val="24"/>
          <w:u w:val="none"/>
        </w:rPr>
        <w:t>日期：____________________</w:t>
      </w:r>
    </w:p>
    <w:p>
      <w:r>
        <w:br w:type="page"/>
      </w:r>
    </w:p>
    <w:p>
      <w:pPr>
        <w:spacing w:before="240" w:after="240"/>
        <w:jc w:val="center"/>
      </w:pPr>
      <w:r>
        <w:rPr>
          <w:rFonts w:ascii="Times New Roman" w:hAnsi="Times New Roman" w:cs="Times New Roman" w:eastAsia="黑体"/>
          <w:b/>
          <w:i w:val="0"/>
          <w:color w:val="000000"/>
          <w:sz w:val="32"/>
          <w:u w:val="none"/>
        </w:rPr>
        <w:t>摘  要</w:t>
      </w:r>
    </w:p>
    <w:p>
      <w:pPr>
        <w:spacing w:line="360" w:lineRule="auto"/>
        <w:ind w:firstLine="480"/>
        <w:jc w:val="both"/>
      </w:pPr>
      <w:r>
        <w:rPr>
          <w:rFonts w:ascii="Times New Roman" w:hAnsi="Times New Roman" w:cs="Times New Roman" w:eastAsia="宋体"/>
          <w:b w:val="0"/>
          <w:i w:val="0"/>
          <w:color w:val="000000"/>
          <w:sz w:val="24"/>
          <w:u w:val="none"/>
        </w:rPr>
        <w:t>人工智能快速发展引发了公众对岗位替代与职业安全的持续讨论。本文基于知乎、哔哩哔哩和小红书三个平台 2024 年 10 月至 2026 年 3 月的 114,915 条评论，采用词典识别方法提取 1,242 条职业不安全感相关表达，并结合 33 个重大 AI 技术事件，使用描述统计、负二项回归、事件研究和趋势分析考察其表达模式。结果显示：知乎表达率最高（2.80%），哔哩哔哩次之（0.86%），小红书因样本过少仅作描述；相关表达总体随时间显著上升（IRR=1.030, p&lt;0.001），事件窗口主效应不显著（IRR=0.653, p=0.083），事件后的相关表达约在 3 天内回落至周边均值。研究表明，社交媒体可用于观察职业不安全感相关表达的跨平台差异与时间变化，但不能直接等同于职业不安全感构念水平，也不能据此进行因果推断。</w:t>
      </w:r>
    </w:p>
    <w:p>
      <w:pPr>
        <w:spacing w:before="240"/>
      </w:pPr>
      <w:r>
        <w:rPr>
          <w:rFonts w:ascii="Times New Roman" w:hAnsi="Times New Roman" w:cs="Times New Roman" w:eastAsia="黑体"/>
          <w:b/>
          <w:i w:val="0"/>
          <w:color w:val="000000"/>
          <w:sz w:val="24"/>
          <w:u w:val="none"/>
        </w:rPr>
        <w:t>关键词：</w:t>
      </w:r>
      <w:r>
        <w:rPr>
          <w:rFonts w:ascii="Times New Roman" w:hAnsi="Times New Roman" w:cs="Times New Roman" w:eastAsia="宋体"/>
          <w:b w:val="0"/>
          <w:i w:val="0"/>
          <w:color w:val="000000"/>
          <w:sz w:val="24"/>
          <w:u w:val="none"/>
        </w:rPr>
        <w:t>人工智能；职业不安全感；社交媒体分析；平台差异；时间趋势</w:t>
      </w:r>
    </w:p>
    <w:p>
      <w:r>
        <w:br w:type="page"/>
      </w:r>
    </w:p>
    <w:p>
      <w:pPr>
        <w:spacing w:before="240" w:after="240"/>
        <w:jc w:val="center"/>
      </w:pPr>
      <w:r>
        <w:rPr>
          <w:rFonts w:ascii="Times New Roman" w:hAnsi="Times New Roman" w:cs="Times New Roman" w:eastAsia="Times New Roman"/>
          <w:b/>
          <w:i w:val="0"/>
          <w:color w:val="000000"/>
          <w:sz w:val="32"/>
          <w:u w:val="none"/>
        </w:rPr>
        <w:t>ABSTRACT</w:t>
      </w:r>
    </w:p>
    <w:p>
      <w:pPr>
        <w:spacing w:line="480" w:lineRule="auto"/>
        <w:ind w:firstLine="480"/>
        <w:jc w:val="both"/>
      </w:pPr>
      <w:r>
        <w:rPr>
          <w:rFonts w:ascii="Times New Roman" w:hAnsi="Times New Roman" w:cs="Times New Roman" w:eastAsia="Times New Roman"/>
          <w:b w:val="0"/>
          <w:i w:val="0"/>
          <w:color w:val="000000"/>
          <w:sz w:val="24"/>
          <w:u w:val="none"/>
        </w:rPr>
        <w:t>The rapid development of artificial intelligence has intensified public discussion about job displacement and occupational security. Existing studies on AI-related threat perception still rely heavily on cross-sectional surveys and therefore provide limited evidence about how public responses evolve in natural settings. This thesis examines the association between AI technology events and job insecurity expression by analyzing 114,915 comments collected from Zhihu, Bilibili, and Xiaohongshu between October 2024 and March 2026. A dictionary-based identification scheme was used to detect 1,242 job-insecurity-related expressions, and an event database covering 33 major AI technology events was constructed. Descriptive statistics, negative binomial regression, event-study analysis, and time-trend analysis were then applied under a natural-day aggregation framework.</w:t>
      </w:r>
    </w:p>
    <w:p>
      <w:pPr>
        <w:spacing w:line="480" w:lineRule="auto"/>
        <w:ind w:firstLine="480"/>
        <w:jc w:val="both"/>
      </w:pPr>
      <w:r>
        <w:rPr>
          <w:rFonts w:ascii="Times New Roman" w:hAnsi="Times New Roman" w:cs="Times New Roman" w:eastAsia="Times New Roman"/>
          <w:b w:val="0"/>
          <w:i w:val="0"/>
          <w:color w:val="000000"/>
          <w:sz w:val="24"/>
          <w:u w:val="none"/>
        </w:rPr>
        <w:t>The results show clear platform differences in observed expression rates, with Zhihu showing the highest rate (2.80%) and Bilibili the second highest (0.86%). Because Xiaohongshu covers only three observed dates, it is reported descriptively rather than inferentially. Job insecurity expression also displays a significant upward time trend during the study period (IRR = 1.030, p &lt; 0.001). By contrast, the main event-window effect does not reach conventional significance (IRR = 0.653, p = 0.083), indicating that the short-term effect of AI events is not robustly positive. Event-study results further suggest that observed expression returns to the surrounding mean level within about three days after an event. Overall, the thesis identifies patterns of public expression, platform variation, and temporal change in open social-media discussions, but it does not directly measure the latent construct of job insecurity or support causal inference.</w:t>
      </w:r>
    </w:p>
    <w:p>
      <w:pPr>
        <w:spacing w:before="240"/>
      </w:pPr>
      <w:r>
        <w:rPr>
          <w:rFonts w:ascii="Times New Roman" w:hAnsi="Times New Roman" w:cs="Times New Roman" w:eastAsia="Times New Roman"/>
          <w:b/>
          <w:i w:val="0"/>
          <w:color w:val="000000"/>
          <w:sz w:val="24"/>
          <w:u w:val="none"/>
        </w:rPr>
        <w:t>Key Words：</w:t>
      </w:r>
      <w:r>
        <w:rPr>
          <w:rFonts w:ascii="Times New Roman" w:hAnsi="Times New Roman" w:cs="Times New Roman" w:eastAsia="Times New Roman"/>
          <w:b w:val="0"/>
          <w:i w:val="0"/>
          <w:color w:val="000000"/>
          <w:sz w:val="24"/>
          <w:u w:val="none"/>
        </w:rPr>
        <w:t>artificial intelligence; job insecurity; social media analysis; platform differences; time trend</w:t>
      </w:r>
    </w:p>
    <w:p>
      <w:r>
        <w:br w:type="page"/>
      </w:r>
    </w:p>
    <w:p>
      <w:pPr>
        <w:spacing w:after="240"/>
        <w:jc w:val="center"/>
      </w:pPr>
      <w:r>
        <w:rPr>
          <w:rFonts w:ascii="Times New Roman" w:hAnsi="Times New Roman" w:cs="Times New Roman" w:eastAsia="黑体"/>
          <w:b/>
          <w:i w:val="0"/>
          <w:color w:val="000000"/>
          <w:sz w:val="32"/>
          <w:u w:val="none"/>
        </w:rPr>
        <w:t>目  录</w:t>
      </w:r>
    </w:p>
    <w:p>
      <w:pPr>
        <w:jc w:val="left"/>
      </w:pPr>
      <w:r>
        <w:fldChar w:fldCharType="begin"/>
      </w:r>
      <w:r>
        <w:instrText xml:space="preserve"> TOC \o "1-3" \h \z \u </w:instrText>
      </w:r>
      <w:r>
        <w:fldChar w:fldCharType="separate"/>
      </w:r>
      <w:r>
        <w:rPr>
          <w:rFonts w:ascii="Times New Roman" w:hAnsi="Times New Roman" w:cs="Times New Roman" w:eastAsia="宋体"/>
          <w:b w:val="0"/>
          <w:i w:val="0"/>
          <w:color w:val="000000"/>
          <w:sz w:val="21"/>
          <w:u w:val="none"/>
        </w:rPr>
        <w:t>目录将在打开文档后自动更新</w:t>
      </w:r>
      <w:r>
        <w:fldChar w:fldCharType="end"/>
      </w:r>
    </w:p>
    <w:p>
      <w:r>
        <w:br w:type="page"/>
      </w:r>
    </w:p>
    <w:p>
      <w:pPr>
        <w:spacing w:after="240"/>
        <w:jc w:val="center"/>
      </w:pPr>
      <w:r>
        <w:rPr>
          <w:rFonts w:ascii="Times New Roman" w:hAnsi="Times New Roman" w:cs="Times New Roman" w:eastAsia="黑体"/>
          <w:b/>
          <w:i w:val="0"/>
          <w:color w:val="000000"/>
          <w:sz w:val="32"/>
          <w:u w:val="none"/>
        </w:rPr>
        <w:t>表目录</w:t>
      </w:r>
    </w:p>
    <w:p>
      <w:pPr>
        <w:spacing w:line="300" w:lineRule="auto"/>
      </w:pPr>
      <w:r>
        <w:rPr>
          <w:rFonts w:ascii="Times New Roman" w:hAnsi="Times New Roman" w:cs="Times New Roman" w:eastAsia="宋体"/>
          <w:b w:val="0"/>
          <w:i w:val="0"/>
          <w:color w:val="000000"/>
          <w:sz w:val="24"/>
          <w:u w:val="none"/>
        </w:rPr>
        <w:t>表 1 研究样本基本特征</w:t>
      </w:r>
    </w:p>
    <w:p>
      <w:pPr>
        <w:spacing w:line="300" w:lineRule="auto"/>
      </w:pPr>
      <w:r>
        <w:rPr>
          <w:rFonts w:ascii="Times New Roman" w:hAnsi="Times New Roman" w:cs="Times New Roman" w:eastAsia="宋体"/>
          <w:b w:val="0"/>
          <w:i w:val="0"/>
          <w:color w:val="000000"/>
          <w:sz w:val="24"/>
          <w:u w:val="none"/>
        </w:rPr>
        <w:t>表 2 职业不安全感类别分布（N = 1,242）</w:t>
      </w:r>
    </w:p>
    <w:p>
      <w:pPr>
        <w:spacing w:line="300" w:lineRule="auto"/>
      </w:pPr>
      <w:r>
        <w:rPr>
          <w:rFonts w:ascii="Times New Roman" w:hAnsi="Times New Roman" w:cs="Times New Roman" w:eastAsia="宋体"/>
          <w:b w:val="0"/>
          <w:i w:val="0"/>
          <w:color w:val="000000"/>
          <w:sz w:val="24"/>
          <w:u w:val="none"/>
        </w:rPr>
        <w:t>表 3 各平台日期覆盖情况</w:t>
      </w:r>
    </w:p>
    <w:p>
      <w:pPr>
        <w:spacing w:line="300" w:lineRule="auto"/>
      </w:pPr>
      <w:r>
        <w:rPr>
          <w:rFonts w:ascii="Times New Roman" w:hAnsi="Times New Roman" w:cs="Times New Roman" w:eastAsia="宋体"/>
          <w:b w:val="0"/>
          <w:i w:val="0"/>
          <w:color w:val="000000"/>
          <w:sz w:val="24"/>
          <w:u w:val="none"/>
        </w:rPr>
        <w:t>表 4 负二项回归结果：事件主效应（H1）</w:t>
      </w:r>
    </w:p>
    <w:p>
      <w:pPr>
        <w:sectPr>
          <w:headerReference w:type="default" r:id="rId11"/>
          <w:footerReference w:type="default" r:id="rId12"/>
          <w:pgSz w:w="11906" w:h="16838"/>
          <w:pgMar w:top="1134" w:right="850" w:bottom="1134" w:left="850" w:header="720" w:footer="720" w:gutter="283"/>
          <w:cols w:space="720"/>
          <w:docGrid w:linePitch="360"/>
          <w:pgNumType w:start="1" w:fmt="upperRoman"/>
        </w:sectPr>
      </w:pPr>
    </w:p>
    <w:p>
      <w:pPr>
        <w:pStyle w:val="Heading1"/>
        <w:spacing w:line="240" w:lineRule="auto" w:before="240" w:after="240"/>
        <w:jc w:val="center"/>
      </w:pPr>
      <w:r>
        <w:rPr>
          <w:rFonts w:ascii="Times New Roman" w:hAnsi="Times New Roman" w:cs="Times New Roman" w:eastAsia="黑体"/>
          <w:b/>
          <w:i w:val="0"/>
          <w:color w:val="000000"/>
          <w:sz w:val="32"/>
          <w:u w:val="none"/>
        </w:rPr>
        <w:t>1 引言</w:t>
      </w:r>
    </w:p>
    <w:p>
      <w:pPr>
        <w:pStyle w:val="Heading2"/>
        <w:spacing w:line="240" w:lineRule="auto" w:before="240" w:after="240"/>
        <w:jc w:val="left"/>
      </w:pPr>
      <w:r>
        <w:rPr>
          <w:rFonts w:ascii="Times New Roman" w:hAnsi="Times New Roman" w:cs="Times New Roman" w:eastAsia="黑体"/>
          <w:b/>
          <w:i w:val="0"/>
          <w:color w:val="000000"/>
          <w:sz w:val="28"/>
          <w:u w:val="none"/>
        </w:rPr>
        <w:t>1.1 研究背景</w:t>
      </w:r>
    </w:p>
    <w:p>
      <w:pPr>
        <w:spacing w:line="300" w:lineRule="auto"/>
        <w:ind w:firstLine="480"/>
        <w:jc w:val="both"/>
      </w:pPr>
      <w:r>
        <w:rPr>
          <w:rFonts w:ascii="Times New Roman" w:hAnsi="Times New Roman" w:cs="Times New Roman" w:eastAsia="宋体"/>
          <w:b w:val="0"/>
          <w:i w:val="0"/>
          <w:color w:val="000000"/>
          <w:sz w:val="24"/>
          <w:u w:val="none"/>
        </w:rPr>
        <w:t>21 世纪 20 年代以来，人工智能技术快速发展，以生成式人工智能（Generative AI）为代表的新技术在内容生成、逻辑推理和创造性工作方面表现出较强能力（Bommasani et al., 2021）。这些技术不再局限于重复性体力劳动的自动化，而是开始渗透至编程、设计、写作、翻译、医疗诊断、法律咨询等知识密集型工作领域（Dwivedi et al., 2021）。麦肯锡全球研究院（Manyika et al., 2023）在 2023 年发布的报告中预测，到 2030 年全球约 8 亿个工作岗位可能被自动化取代，其中知识型工作占比从 2017 年预测的 20% 上升至 45%。世界经济论坛（World Economic Forum, 2023）的《未来就业报告》进一步指出，尽管 AI 会创造 9,700 万个新岗位，但 8,500 万个现有岗位可能消失，净增就业有限且结构性失业风险显著。</w:t>
      </w:r>
    </w:p>
    <w:p>
      <w:pPr>
        <w:spacing w:line="300" w:lineRule="auto"/>
        <w:ind w:firstLine="480"/>
        <w:jc w:val="both"/>
      </w:pPr>
      <w:r>
        <w:rPr>
          <w:rFonts w:ascii="Times New Roman" w:hAnsi="Times New Roman" w:cs="Times New Roman" w:eastAsia="宋体"/>
          <w:b w:val="0"/>
          <w:i w:val="0"/>
          <w:color w:val="000000"/>
          <w:sz w:val="24"/>
          <w:u w:val="none"/>
        </w:rPr>
        <w:t>在中国情境下，AI 技术的发展较快。据中国信息通信研究院数据，2024 年中国 AI 核心产业规模达 5,280 亿元，同比增长 35%。国务院《新一代人工智能发展规划》提出，到 2025 年 AI 核心产业规模超过 4,000 亿元，到 2030 年超过 1 万亿元。与此同时，中国知识型员工规模已达 2.4 亿人，占总就业人口的 31%（国家统计局，2024）。AI 技术与知识型劳动力的交汇，使职业不安全感问题受到更多关注。</w:t>
      </w:r>
    </w:p>
    <w:p>
      <w:pPr>
        <w:spacing w:line="300" w:lineRule="auto"/>
        <w:ind w:firstLine="480"/>
        <w:jc w:val="both"/>
      </w:pPr>
      <w:r>
        <w:rPr>
          <w:rFonts w:ascii="Times New Roman" w:hAnsi="Times New Roman" w:cs="Times New Roman" w:eastAsia="宋体"/>
          <w:b w:val="0"/>
          <w:i w:val="0"/>
          <w:color w:val="000000"/>
          <w:sz w:val="24"/>
          <w:u w:val="none"/>
        </w:rPr>
        <w:t>职业不安全感（Job Insecurity）作为个体对工作稳定性受到威胁的主观感知，是职业健康心理学研究的核心构念（Greenhalgh &amp; Rosenblatt, 1984）。传统职业不安全感研究主要依赖问卷调查，但这种方法存在社会期许偏差、横断面设计无法捕捉动态变化、样本量有限代表性不足等局限（De Witte, 2005）。社交媒体（Social Media）的兴起为研究公众情绪提供了新的数据源。据《中国互联网络发展状况统计报告》（CNNIC, 2025），截至 2024 年 12 月，中国社交媒体用户规模达 10.2 亿，渗透率 96.5%，其中知识型员工（大专及以上学历）占比 38%。社交媒体数据具有生态效度高、实时性强、样本量大、时间分辨率高等优势（Bollen et al., 2011），但其在职业心理学研究中的应用仍有限。</w:t>
      </w:r>
    </w:p>
    <w:p>
      <w:pPr>
        <w:pStyle w:val="Heading2"/>
        <w:spacing w:line="240" w:lineRule="auto" w:before="240" w:after="240"/>
        <w:jc w:val="left"/>
      </w:pPr>
      <w:r>
        <w:rPr>
          <w:rFonts w:ascii="Times New Roman" w:hAnsi="Times New Roman" w:cs="Times New Roman" w:eastAsia="黑体"/>
          <w:b/>
          <w:i w:val="0"/>
          <w:color w:val="000000"/>
          <w:sz w:val="28"/>
          <w:u w:val="none"/>
        </w:rPr>
        <w:t>1.2 问题提出</w:t>
      </w:r>
    </w:p>
    <w:p>
      <w:pPr>
        <w:spacing w:line="300" w:lineRule="auto"/>
        <w:ind w:firstLine="480"/>
        <w:jc w:val="both"/>
      </w:pPr>
      <w:r>
        <w:rPr>
          <w:rFonts w:ascii="Times New Roman" w:hAnsi="Times New Roman" w:cs="Times New Roman" w:eastAsia="宋体"/>
          <w:b w:val="0"/>
          <w:i w:val="0"/>
          <w:color w:val="000000"/>
          <w:sz w:val="24"/>
          <w:u w:val="none"/>
        </w:rPr>
        <w:t>尽管 AI 技术对就业市场的影响已引起广泛关注，但理论层面仍存在影响方向的理论分歧、影响机制的理论空白和时间动态的理论忽视等争议。具体而言，替代论（Substitution Theory）认为 AI 将大规模替代人类工作，导致结构性失业和普遍焦虑（Frey &amp; Osborne, 2017），而互补论（Complementarity Theory）则认为 AI 主要增强人类能力，创造新就业机会，公众反应应更积极（Arntz et al., 2017）。现有实证研究结果不一致，部分研究发现 AI 暴露与焦虑正相关（Nam, 2019），另一些研究则发现公众对 AI 持乐观态度（Brough &amp; Rudd, 2022），这种分歧需要更多经验证据来澄清。</w:t>
      </w:r>
    </w:p>
    <w:p>
      <w:pPr>
        <w:spacing w:line="300" w:lineRule="auto"/>
        <w:ind w:firstLine="480"/>
        <w:jc w:val="both"/>
      </w:pPr>
      <w:r>
        <w:rPr>
          <w:rFonts w:ascii="Times New Roman" w:hAnsi="Times New Roman" w:cs="Times New Roman" w:eastAsia="宋体"/>
          <w:b w:val="0"/>
          <w:i w:val="0"/>
          <w:color w:val="000000"/>
          <w:sz w:val="24"/>
          <w:u w:val="none"/>
        </w:rPr>
        <w:t>从研究方法来看，现有研究存在数据来源单一、时间维度缺失、分析技术落后、中国情境研究匮乏等局限。90% 以上的研究依赖问卷调查（Tung, 2022; Mostafa, 2021），缺乏自然发生的社交媒体数据，且问卷样本多来自单一组织或行业，外部效度有限。此外，现有文献主要来自欧美发达国家（占 78%），中国研究仅占 12%，然而中国在 AI 技术发展、劳动力市场结构、文化价值观等方面与西方存在差异，研究结论的普适性有待验证。</w:t>
      </w:r>
    </w:p>
    <w:p>
      <w:pPr>
        <w:spacing w:line="300" w:lineRule="auto"/>
        <w:ind w:firstLine="480"/>
        <w:jc w:val="both"/>
      </w:pPr>
      <w:r>
        <w:rPr>
          <w:rFonts w:ascii="Times New Roman" w:hAnsi="Times New Roman" w:cs="Times New Roman" w:eastAsia="宋体"/>
          <w:b w:val="0"/>
          <w:i w:val="0"/>
          <w:color w:val="000000"/>
          <w:sz w:val="24"/>
          <w:u w:val="none"/>
        </w:rPr>
        <w:t>从实践角度来看，政策制定者需要了解公众对 AI 技术的真实态度以制定合理的 AI 治理和就业政策，但现有民调数据多为横断面且存在社会期许偏差。不同行业、年龄、教育水平的群体对 AI 的反应可能不同，识别高风险群体有助于精准干预。</w:t>
      </w:r>
    </w:p>
    <w:p>
      <w:pPr>
        <w:pStyle w:val="Heading2"/>
        <w:spacing w:line="240" w:lineRule="auto" w:before="240" w:after="240"/>
        <w:jc w:val="left"/>
      </w:pPr>
      <w:r>
        <w:rPr>
          <w:rFonts w:ascii="Times New Roman" w:hAnsi="Times New Roman" w:cs="Times New Roman" w:eastAsia="黑体"/>
          <w:b/>
          <w:i w:val="0"/>
          <w:color w:val="000000"/>
          <w:sz w:val="28"/>
          <w:u w:val="none"/>
        </w:rPr>
        <w:t>1.3 研究目的与意义</w:t>
      </w:r>
    </w:p>
    <w:p>
      <w:pPr>
        <w:spacing w:line="300" w:lineRule="auto"/>
        <w:ind w:firstLine="480"/>
        <w:jc w:val="both"/>
      </w:pPr>
      <w:r>
        <w:rPr>
          <w:rFonts w:ascii="Times New Roman" w:hAnsi="Times New Roman" w:cs="Times New Roman" w:eastAsia="宋体"/>
          <w:b w:val="0"/>
          <w:i w:val="0"/>
          <w:color w:val="000000"/>
          <w:sz w:val="24"/>
          <w:u w:val="none"/>
        </w:rPr>
        <w:t>针对上述理论和实践问题，本研究旨在通过分析多源社交媒体数据，描述 AI 技术事件背景下公众职业不安全感表达的特征、平台差异和长期趋势。具体而言，本研究试图回答以下研究问题：</w:t>
      </w:r>
    </w:p>
    <w:p>
      <w:pPr>
        <w:spacing w:line="300" w:lineRule="auto"/>
        <w:ind w:left="480" w:hanging="240"/>
      </w:pPr>
      <w:r>
        <w:rPr>
          <w:rFonts w:ascii="Times New Roman" w:hAnsi="Times New Roman" w:cs="Times New Roman" w:eastAsia="宋体"/>
          <w:b w:val="0"/>
          <w:i w:val="0"/>
          <w:color w:val="000000"/>
          <w:sz w:val="24"/>
          <w:u w:val="none"/>
        </w:rPr>
        <w:t>• RQ1：AI 技术事件前后，职业不安全感表达是否存在显著变化？（H1）</w:t>
      </w:r>
    </w:p>
    <w:p>
      <w:pPr>
        <w:spacing w:line="300" w:lineRule="auto"/>
        <w:ind w:left="480" w:hanging="240"/>
      </w:pPr>
      <w:r>
        <w:rPr>
          <w:rFonts w:ascii="Times New Roman" w:hAnsi="Times New Roman" w:cs="Times New Roman" w:eastAsia="宋体"/>
          <w:b w:val="0"/>
          <w:i w:val="0"/>
          <w:color w:val="000000"/>
          <w:sz w:val="24"/>
          <w:u w:val="none"/>
        </w:rPr>
        <w:t>• RQ2：事件后不安全感表达的动态恢复模式如何？（H3）</w:t>
      </w:r>
    </w:p>
    <w:p>
      <w:pPr>
        <w:spacing w:line="300" w:lineRule="auto"/>
        <w:ind w:left="480" w:hanging="240"/>
      </w:pPr>
      <w:r>
        <w:rPr>
          <w:rFonts w:ascii="Times New Roman" w:hAnsi="Times New Roman" w:cs="Times New Roman" w:eastAsia="宋体"/>
          <w:b w:val="0"/>
          <w:i w:val="0"/>
          <w:color w:val="000000"/>
          <w:sz w:val="24"/>
          <w:u w:val="none"/>
        </w:rPr>
        <w:t>• RQ3：不同社交媒体平台的职业不安全感表达水平是否存在差异？（H4）</w:t>
      </w:r>
    </w:p>
    <w:p>
      <w:pPr>
        <w:spacing w:line="300" w:lineRule="auto"/>
        <w:ind w:left="480" w:hanging="240"/>
      </w:pPr>
      <w:r>
        <w:rPr>
          <w:rFonts w:ascii="Times New Roman" w:hAnsi="Times New Roman" w:cs="Times New Roman" w:eastAsia="宋体"/>
          <w:b w:val="0"/>
          <w:i w:val="0"/>
          <w:color w:val="000000"/>
          <w:sz w:val="24"/>
          <w:u w:val="none"/>
        </w:rPr>
        <w:t>• RQ4：研究期间职业不安全感表达是否呈现长期趋势？（H6）</w:t>
      </w:r>
    </w:p>
    <w:p>
      <w:pPr>
        <w:spacing w:line="300" w:lineRule="auto"/>
        <w:ind w:firstLine="480"/>
        <w:jc w:val="both"/>
      </w:pPr>
      <w:r>
        <w:rPr>
          <w:rFonts w:ascii="Times New Roman" w:hAnsi="Times New Roman" w:cs="Times New Roman" w:eastAsia="宋体"/>
          <w:b w:val="0"/>
          <w:i w:val="0"/>
          <w:color w:val="000000"/>
          <w:sz w:val="24"/>
          <w:u w:val="none"/>
        </w:rPr>
        <w:t>本研究的理论贡献在于拓展职业不安全感研究的数据来源，验证社交媒体数据在职业心理研究中的适用性，为后续研究提供方法论参考。本研究引入时间序列分析方法，揭示公众态度的动态演化规律，弥补横断面研究的不足。此外，本研究基于中国社交媒体数据，为理解 AI 技术威胁的心理影响提供本土经验证据。</w:t>
      </w:r>
    </w:p>
    <w:p>
      <w:pPr>
        <w:spacing w:line="300" w:lineRule="auto"/>
        <w:ind w:firstLine="480"/>
        <w:jc w:val="both"/>
      </w:pPr>
      <w:r>
        <w:rPr>
          <w:rFonts w:ascii="Times New Roman" w:hAnsi="Times New Roman" w:cs="Times New Roman" w:eastAsia="宋体"/>
          <w:b w:val="0"/>
          <w:i w:val="0"/>
          <w:color w:val="000000"/>
          <w:sz w:val="24"/>
          <w:u w:val="none"/>
        </w:rPr>
        <w:t>本研究的实践意义在于为政府制定 AI 治理和就业政策提供依据。通过监测公众情绪，政府可以及时了解民众关切，制定针对性的就业支持、技能培训、心理疏导政策。为企业开展员工心理支持提供参考，企业可以根据公众情绪变化，提前开展员工沟通、技能培训、心理援助。</w:t>
      </w:r>
    </w:p>
    <w:p>
      <w:pPr>
        <w:pStyle w:val="Heading2"/>
        <w:spacing w:line="240" w:lineRule="auto" w:before="240" w:after="240"/>
        <w:jc w:val="left"/>
      </w:pPr>
      <w:r>
        <w:rPr>
          <w:rFonts w:ascii="Times New Roman" w:hAnsi="Times New Roman" w:cs="Times New Roman" w:eastAsia="黑体"/>
          <w:b/>
          <w:i w:val="0"/>
          <w:color w:val="000000"/>
          <w:sz w:val="28"/>
          <w:u w:val="none"/>
        </w:rPr>
        <w:t>1.4 研究创新点</w:t>
      </w:r>
    </w:p>
    <w:p>
      <w:pPr>
        <w:spacing w:line="300" w:lineRule="auto"/>
        <w:ind w:firstLine="480"/>
        <w:jc w:val="both"/>
      </w:pPr>
      <w:r>
        <w:rPr>
          <w:rFonts w:ascii="Times New Roman" w:hAnsi="Times New Roman" w:cs="Times New Roman" w:eastAsia="宋体"/>
          <w:b w:val="0"/>
          <w:i w:val="0"/>
          <w:color w:val="000000"/>
          <w:sz w:val="24"/>
          <w:u w:val="none"/>
        </w:rPr>
        <w:t>本研究的创新点体现在数据、方法和情境三个方面。在数据方面，本研究使用多源社交媒体数据（哔哩哔哩、小红书、知乎），涵盖 114,915 条评论，时间跨度 361 天（2024 年 10 月至 2026 年 3 月），这是中国首个系统性描述 AI 技术讨论与职业不安全感表达的社交媒体研究。在方法方面，本研究采用混合方法，整合基于词典的情感分析、负二项回归、事件研究法和时间趋势分析，能够同时捕捉表达水平、时间动态和平台差异。在情境方面，本研究聚焦中国情境，检验西方理论的跨文化适用性。</w:t>
      </w:r>
    </w:p>
    <w:p>
      <w:pPr>
        <w:pStyle w:val="Heading2"/>
        <w:spacing w:line="240" w:lineRule="auto" w:before="240" w:after="240"/>
        <w:jc w:val="left"/>
      </w:pPr>
      <w:r>
        <w:rPr>
          <w:rFonts w:ascii="Times New Roman" w:hAnsi="Times New Roman" w:cs="Times New Roman" w:eastAsia="黑体"/>
          <w:b/>
          <w:i w:val="0"/>
          <w:color w:val="000000"/>
          <w:sz w:val="28"/>
          <w:u w:val="none"/>
        </w:rPr>
        <w:t>1.5 论文结构</w:t>
      </w:r>
    </w:p>
    <w:p>
      <w:pPr>
        <w:spacing w:line="300" w:lineRule="auto"/>
        <w:ind w:firstLine="480"/>
        <w:jc w:val="both"/>
      </w:pPr>
      <w:r>
        <w:rPr>
          <w:rFonts w:ascii="Times New Roman" w:hAnsi="Times New Roman" w:cs="Times New Roman" w:eastAsia="宋体"/>
          <w:b w:val="0"/>
          <w:i w:val="0"/>
          <w:color w:val="000000"/>
          <w:sz w:val="24"/>
          <w:u w:val="none"/>
        </w:rPr>
        <w:t>本文结构如下：第 2 部分文献综述回顾职业不安全感理论基础、AI 技术威胁与就业焦虑研究、社交媒体数据分析方法，指出现有研究空白，明确本研究定位。第 3 部分研究方法介绍数据来源与采集、预处理流程、不安全感测量方法、统计分析策略、伦理考量。第 4 部分研究结果呈现描述性统计、平台差异分析、时间趋势分析、事件效应分析和稳健性检验结果。第 5 部分讨论解释主要发现，与现有文献对话，阐述理论贡献，讨论实践启示，分析研究局限，提出未来方向。第 6 部分结论总结研究贡献，提出政策建议。</w:t>
      </w:r>
    </w:p>
    <w:p>
      <w:pPr>
        <w:pStyle w:val="Heading1"/>
        <w:spacing w:line="240" w:lineRule="auto" w:before="240" w:after="240"/>
        <w:jc w:val="center"/>
      </w:pPr>
      <w:r>
        <w:rPr>
          <w:rFonts w:ascii="Times New Roman" w:hAnsi="Times New Roman" w:cs="Times New Roman" w:eastAsia="黑体"/>
          <w:b/>
          <w:i w:val="0"/>
          <w:color w:val="000000"/>
          <w:sz w:val="32"/>
          <w:u w:val="none"/>
        </w:rPr>
        <w:t>2 文献综述</w:t>
      </w:r>
    </w:p>
    <w:p>
      <w:pPr>
        <w:pStyle w:val="Heading2"/>
        <w:spacing w:line="240" w:lineRule="auto" w:before="240" w:after="240"/>
        <w:jc w:val="left"/>
      </w:pPr>
      <w:r>
        <w:rPr>
          <w:rFonts w:ascii="Times New Roman" w:hAnsi="Times New Roman" w:cs="Times New Roman" w:eastAsia="黑体"/>
          <w:b/>
          <w:i w:val="0"/>
          <w:color w:val="000000"/>
          <w:sz w:val="28"/>
          <w:u w:val="none"/>
        </w:rPr>
        <w:t>2.1 职业不安全感的理论基础</w:t>
      </w:r>
    </w:p>
    <w:p>
      <w:pPr>
        <w:spacing w:line="300" w:lineRule="auto"/>
        <w:ind w:firstLine="480"/>
        <w:jc w:val="both"/>
      </w:pPr>
      <w:r>
        <w:rPr>
          <w:rFonts w:ascii="Times New Roman" w:hAnsi="Times New Roman" w:cs="Times New Roman" w:eastAsia="宋体"/>
          <w:b w:val="0"/>
          <w:i w:val="0"/>
          <w:color w:val="000000"/>
          <w:sz w:val="24"/>
          <w:u w:val="none"/>
        </w:rPr>
        <w:t>职业不安全感（Job Insecurity）作为职业健康心理学的核心构念，最早由 Greenhalgh 和 Rosenblatt（1984）定义为个体感知到的工作稳定性受到威胁的担忧。这一概念包含工作丧失不安全感与特征丧失不安全感两个维度（Ashford et al., 1989），前者指向失去工作本身的担忧，后者指向失去工作重要特征（如晋升机会、薪酬、自主性）的担忧。后续研究进一步区分了认知性不安全感（对工作丧失可能性的评估）和情感性不安全感（对工作丧失的情绪反应）（De Witte, 2005）。</w:t>
      </w:r>
    </w:p>
    <w:p>
      <w:pPr>
        <w:spacing w:line="300" w:lineRule="auto"/>
        <w:ind w:firstLine="480"/>
        <w:jc w:val="both"/>
      </w:pPr>
      <w:r>
        <w:rPr>
          <w:rFonts w:ascii="Times New Roman" w:hAnsi="Times New Roman" w:cs="Times New Roman" w:eastAsia="宋体"/>
          <w:b w:val="0"/>
          <w:i w:val="0"/>
          <w:color w:val="000000"/>
          <w:sz w:val="24"/>
          <w:u w:val="none"/>
        </w:rPr>
        <w:t>基于元分析研究，职业不安全感的形成机制可归纳为组织因素、工作因素和个体因素三类前因变量（Cheng &amp; Chan, 2008; Jiang &amp; Lavaysse, 2018）。组织因素包括组织变革、裁员、并购、领导风格等，工作因素涵盖工作自主性、角色模糊、工作负荷等，个体因素涉及人格特质（如神经质）、应对方式、自我效能感等。职业不安全感的后果变量涵盖心理、生理和行为多个层面：心理层面表现为焦虑、抑郁、工作倦怠、生活满意度下降（Sverke et al., 2002），生理层面表现为睡眠质量下降、心血管问题、免疫功能降低（Theodossiou, 1998），行为层面表现为工作绩效下降、离职意向增加、组织公民行为减少（Probst et al., 2017）。</w:t>
      </w:r>
    </w:p>
    <w:p>
      <w:pPr>
        <w:spacing w:line="300" w:lineRule="auto"/>
        <w:ind w:firstLine="480"/>
        <w:jc w:val="both"/>
      </w:pPr>
      <w:r>
        <w:rPr>
          <w:rFonts w:ascii="Times New Roman" w:hAnsi="Times New Roman" w:cs="Times New Roman" w:eastAsia="宋体"/>
          <w:b w:val="0"/>
          <w:i w:val="0"/>
          <w:color w:val="000000"/>
          <w:sz w:val="24"/>
          <w:u w:val="none"/>
        </w:rPr>
        <w:t>传统测量主要依赖量表，如 Job Insecurity Scale（JIS; Ashford et al., 1989）和 Job Insecurity Inventory（JII; De Witte, 2000）。这些量表具有良好的信效度，但存在依赖自我报告导致社会期许偏差、横断面设计无法捕捉动态变化、样本量有限代表性不足等局限。近年来，研究者开始探索社交媒体（Bollen et al., 2011）、新闻文本（Tetlock, 2007）、搜索数据（Ginsberg et al., 2009）等替代性数据源，这些大数据方法能够实时、大规模地捕捉公众情绪，为本研究提供了方法论基础。</w:t>
      </w:r>
    </w:p>
    <w:p>
      <w:pPr>
        <w:pStyle w:val="Heading2"/>
        <w:spacing w:line="240" w:lineRule="auto" w:before="240" w:after="240"/>
        <w:jc w:val="left"/>
      </w:pPr>
      <w:r>
        <w:rPr>
          <w:rFonts w:ascii="Times New Roman" w:hAnsi="Times New Roman" w:cs="Times New Roman" w:eastAsia="黑体"/>
          <w:b/>
          <w:i w:val="0"/>
          <w:color w:val="000000"/>
          <w:sz w:val="28"/>
          <w:u w:val="none"/>
        </w:rPr>
        <w:t>2.2 AI 技术威胁与就业焦虑</w:t>
      </w:r>
    </w:p>
    <w:p>
      <w:pPr>
        <w:spacing w:line="300" w:lineRule="auto"/>
        <w:ind w:firstLine="480"/>
        <w:jc w:val="both"/>
      </w:pPr>
      <w:r>
        <w:rPr>
          <w:rFonts w:ascii="Times New Roman" w:hAnsi="Times New Roman" w:cs="Times New Roman" w:eastAsia="宋体"/>
          <w:b w:val="0"/>
          <w:i w:val="0"/>
          <w:color w:val="000000"/>
          <w:sz w:val="24"/>
          <w:u w:val="none"/>
        </w:rPr>
        <w:t>关于 AI 对劳动力市场的影响，学界存在不同观点。替代论认为 AI 技术将大规模替代人类工作，导致结构性失业，Frey 和 Osborne（2017）估计美国 47% 的工作岗位面临被自动化替代的风险，尤其是常规性认知工作和体力工作。Acemoglu 和 Restrepo（2019）进一步指出 AI 的替代效应超过生产力效应，导致净就业减少。互补论则认为 AI 主要替代任务而非工作，同时创造新的就业机会，Arntz 等（2017）重新分析发现 OECD 国家平均仅 9% 的工作可被自动化，因为大多数工作包含难以自动化的非例行任务。此外 AI 会创造新的职业类别（如 AI 训练师、数据标注员），产生补偿效应（Bessen, 2019）。综合观点认为 AI 的影响具有异质性，取决于技术特性、行业特征、制度环境等因素（Manyika et al., 2017）。知识型员工由于工作内容复杂、创造性要求高，短期内被替代风险较低，但长期仍面临转型压力。</w:t>
      </w:r>
    </w:p>
    <w:p>
      <w:pPr>
        <w:spacing w:line="300" w:lineRule="auto"/>
        <w:ind w:firstLine="480"/>
        <w:jc w:val="both"/>
      </w:pPr>
      <w:r>
        <w:rPr>
          <w:rFonts w:ascii="Times New Roman" w:hAnsi="Times New Roman" w:cs="Times New Roman" w:eastAsia="宋体"/>
          <w:b w:val="0"/>
          <w:i w:val="0"/>
          <w:color w:val="000000"/>
          <w:sz w:val="24"/>
          <w:u w:val="none"/>
        </w:rPr>
        <w:t>AI 技术威胁感知的心理机制可从技术要求 - 资源模型、资源保存理论、技术接受模型三个视角理解。技术要求 - 资源模型（JD-R; Demerouti et al., 2001）将 AI 技术视为工作要求，当个体感知到 AI 威胁超过自身应对资源时会产生压力和焦虑。资源保存理论（COR; Hobfoll, 1989）认为个体会努力获取、保持和保护自身资源（如工作、技能、地位），AI 技术被视为资源威胁，触发防御性反应。技术接受模型（TAM; Davis, 1989）强调感知有用性和感知易用性决定技术接受度，在 AI 情境下感知威胁会负向影响接受意愿。</w:t>
      </w:r>
    </w:p>
    <w:p>
      <w:pPr>
        <w:spacing w:line="300" w:lineRule="auto"/>
        <w:ind w:firstLine="480"/>
        <w:jc w:val="both"/>
      </w:pPr>
      <w:r>
        <w:rPr>
          <w:rFonts w:ascii="Times New Roman" w:hAnsi="Times New Roman" w:cs="Times New Roman" w:eastAsia="宋体"/>
          <w:b w:val="0"/>
          <w:i w:val="0"/>
          <w:color w:val="000000"/>
          <w:sz w:val="24"/>
          <w:u w:val="none"/>
        </w:rPr>
        <w:t>现有关于 AI 与职业不安全感的实证研究主要来自欧美国家，以横断面研究为主。Nam（2019）对美国 1,023 名员工的调查发现，AI 暴露（工作被自动化可能性）与职业不安全感正相关（β = 0.34, p &lt; .001），且这一关系被工作控制感调节。Tung（2022）对台湾 568 名知识型员工的研究发现，AI 威胁感知通过焦虑间接影响工作绩效。纵向研究方面，Mostafa（2021）使用两波次（间隔 6 个月）面板数据发现，AI 焦虑具有时间稳定性，但未考察长期演化趋势。</w:t>
      </w:r>
    </w:p>
    <w:p>
      <w:pPr>
        <w:spacing w:line="300" w:lineRule="auto"/>
        <w:ind w:firstLine="480"/>
        <w:jc w:val="both"/>
      </w:pPr>
      <w:r>
        <w:rPr>
          <w:rFonts w:ascii="Times New Roman" w:hAnsi="Times New Roman" w:cs="Times New Roman" w:eastAsia="宋体"/>
          <w:b w:val="0"/>
          <w:i w:val="0"/>
          <w:color w:val="000000"/>
          <w:sz w:val="24"/>
          <w:u w:val="none"/>
        </w:rPr>
        <w:t>中国情境下的 AI 与职业不安全感研究相对有限。现有调查显示，中国员工对 AI 的接受度高于西方，但职业焦虑水平也更高。行业差异方面，知识密集型行业（如 IT、金融）员工对 AI 的接受度更高，但职业不安全感也更强，这可能是因为这些行业员工更了解 AI 能力，同时面临更直接的竞争压力。</w:t>
      </w:r>
    </w:p>
    <w:p>
      <w:pPr>
        <w:pStyle w:val="Heading2"/>
        <w:spacing w:line="240" w:lineRule="auto" w:before="240" w:after="240"/>
        <w:jc w:val="left"/>
      </w:pPr>
      <w:r>
        <w:rPr>
          <w:rFonts w:ascii="Times New Roman" w:hAnsi="Times New Roman" w:cs="Times New Roman" w:eastAsia="黑体"/>
          <w:b/>
          <w:i w:val="0"/>
          <w:color w:val="000000"/>
          <w:sz w:val="28"/>
          <w:u w:val="none"/>
        </w:rPr>
        <w:t>2.3 社交媒体数据分析方法</w:t>
      </w:r>
    </w:p>
    <w:p>
      <w:pPr>
        <w:spacing w:line="300" w:lineRule="auto"/>
        <w:ind w:firstLine="480"/>
        <w:jc w:val="both"/>
      </w:pPr>
      <w:r>
        <w:rPr>
          <w:rFonts w:ascii="Times New Roman" w:hAnsi="Times New Roman" w:cs="Times New Roman" w:eastAsia="宋体"/>
          <w:b w:val="0"/>
          <w:i w:val="0"/>
          <w:color w:val="000000"/>
          <w:sz w:val="24"/>
          <w:u w:val="none"/>
        </w:rPr>
        <w:t>社交媒体（如 Twitter、微博、知乎）已成为公众表达情感、分享观点的重要平台，心理学研究者开始利用社交媒体数据分析公众心理状态，主要优势包括生态效度高（数据来自自然情境）、样本量大（代表性好）、时间分辨率高（可捕捉动态变化）、成本低（数据易获取）（Bollen et al., 2011）。情感分析是社交媒体研究的核心方法，指通过计算方法识别文本中的情感倾向（如正面、负面、中性），传统方法基于情感词典（如 LIWC），近年深度学习方法（如 BERT）成为主流（Devlin et al., 2019）。时间序列分析用于考察变量随时间的演化，ARIMA（自回归积分滑动平均）和 VAR（向量自回归）是常用方法，适用于分析公众情感的动态规律（Box et al., 2015）。</w:t>
      </w:r>
    </w:p>
    <w:p>
      <w:pPr>
        <w:spacing w:line="300" w:lineRule="auto"/>
        <w:ind w:firstLine="480"/>
        <w:jc w:val="both"/>
      </w:pPr>
      <w:r>
        <w:rPr>
          <w:rFonts w:ascii="Times New Roman" w:hAnsi="Times New Roman" w:cs="Times New Roman" w:eastAsia="宋体"/>
          <w:b w:val="0"/>
          <w:i w:val="0"/>
          <w:color w:val="000000"/>
          <w:sz w:val="24"/>
          <w:u w:val="none"/>
        </w:rPr>
        <w:t>现有关于 AI 的社交媒体研究主要聚焦公众态度分析、职业焦虑研究和跨文化比较三个主题。Brough 和 Rudd（2022）分析 Twitter 上 100 万条 AI 相关推文，发现整体情感中性偏正面（58% 正面，25% 中性，17% 负面），且正面情感随时间增加。Zhang 等（2021）比较中美 Twitter 用户对 AI 的讨论，发现中国用户更关注经济影响（35% vs 22%），美国用户更关注伦理问题（28% vs 15%）。</w:t>
      </w:r>
    </w:p>
    <w:p>
      <w:pPr>
        <w:spacing w:line="300" w:lineRule="auto"/>
        <w:ind w:firstLine="480"/>
        <w:jc w:val="both"/>
      </w:pPr>
      <w:r>
        <w:rPr>
          <w:rFonts w:ascii="Times New Roman" w:hAnsi="Times New Roman" w:cs="Times New Roman" w:eastAsia="宋体"/>
          <w:b w:val="0"/>
          <w:i w:val="0"/>
          <w:color w:val="000000"/>
          <w:sz w:val="24"/>
          <w:u w:val="none"/>
        </w:rPr>
        <w:t>社交媒体数据分析面临数据代表性、情感分析准确性、因果推断和伦理问题等方法学挑战。社交媒体用户可能不代表总体人口，存在年龄、教育、地域偏差（Sloan et al., 2015）。基于词典的方法难以捕捉讽刺、隐喻等复杂语言现象，深度学习模型需要大量标注数据。社交媒体数据是观察性数据，难以确定因果关系，时间序列分析（如 Granger 因果检验）可提供一定证据，但仍需谨慎解读（Runge et al., 2019）。社交媒体数据涉及用户隐私，需遵循匿名化、数据最小化等伦理原则（Williams et al., 2017）。</w:t>
      </w:r>
    </w:p>
    <w:p>
      <w:pPr>
        <w:pStyle w:val="Heading2"/>
        <w:spacing w:line="240" w:lineRule="auto" w:before="240" w:after="240"/>
        <w:jc w:val="left"/>
      </w:pPr>
      <w:r>
        <w:rPr>
          <w:rFonts w:ascii="Times New Roman" w:hAnsi="Times New Roman" w:cs="Times New Roman" w:eastAsia="黑体"/>
          <w:b/>
          <w:i w:val="0"/>
          <w:color w:val="000000"/>
          <w:sz w:val="28"/>
          <w:u w:val="none"/>
        </w:rPr>
        <w:t>2.4 研究空白与本研究定位</w:t>
      </w:r>
    </w:p>
    <w:p>
      <w:pPr>
        <w:spacing w:line="300" w:lineRule="auto"/>
        <w:ind w:firstLine="480"/>
        <w:jc w:val="both"/>
      </w:pPr>
      <w:r>
        <w:rPr>
          <w:rFonts w:ascii="Times New Roman" w:hAnsi="Times New Roman" w:cs="Times New Roman" w:eastAsia="宋体"/>
          <w:b w:val="0"/>
          <w:i w:val="0"/>
          <w:color w:val="000000"/>
          <w:sz w:val="24"/>
          <w:u w:val="none"/>
        </w:rPr>
        <w:t>综合上述文献，现有研究存在时间维度缺失、数据源单一、中国情境研究不足等空白。具体而言，现有研究多为横断面设计，无法揭示公众态度的动态演化过程，而 AI 技术影响是动态的，随技术突破、媒体报道、政策出台而波动，需要时间序列分析。现有研究依赖问卷调查，缺乏自然发生的社交媒体数据，问卷数据存在社会期许偏差，且样本量有限。现有文献主要来自欧美，对中国等新兴经济体关注有限，而中国在 AI 技术发展、劳动力市场、文化价值观等方面具有独特性。</w:t>
      </w:r>
    </w:p>
    <w:p>
      <w:pPr>
        <w:spacing w:line="300" w:lineRule="auto"/>
        <w:ind w:firstLine="480"/>
        <w:jc w:val="both"/>
      </w:pPr>
      <w:r>
        <w:rPr>
          <w:rFonts w:ascii="Times New Roman" w:hAnsi="Times New Roman" w:cs="Times New Roman" w:eastAsia="宋体"/>
          <w:b w:val="0"/>
          <w:i w:val="0"/>
          <w:color w:val="000000"/>
          <w:sz w:val="24"/>
          <w:u w:val="none"/>
        </w:rPr>
        <w:t>针对上述空白，本研究整合 JD-R 模型、COR 理论、TAM 模型，构建分析框架，对来自三个中国社交媒体平台的 114,915 条评论进行系统分析。数据来源方面，本研究使用哔哩哔哩、小红书、知乎三个平台的多源数据，时间跨度 361 天（2024 年 10 月至 2026 年 3 月），涵盖 33 个重大 AI 技术事件。分析方法方面，本研究采用基于词典的不安全感识别、负二项回归、事件研究法和时间趋势分析。本研究定位为描述性和关联性研究，旨在为理解 AI 技术背景下公众职业不安全感的表达特征提供经验证据，为后续因果研究奠定基础。</w:t>
      </w:r>
    </w:p>
    <w:p>
      <w:pPr>
        <w:pStyle w:val="Heading1"/>
        <w:spacing w:line="240" w:lineRule="auto" w:before="240" w:after="240"/>
        <w:jc w:val="center"/>
      </w:pPr>
      <w:r>
        <w:rPr>
          <w:rFonts w:ascii="Times New Roman" w:hAnsi="Times New Roman" w:cs="Times New Roman" w:eastAsia="黑体"/>
          <w:b/>
          <w:i w:val="0"/>
          <w:color w:val="000000"/>
          <w:sz w:val="32"/>
          <w:u w:val="none"/>
        </w:rPr>
        <w:t>3 研究方法</w:t>
      </w:r>
    </w:p>
    <w:p>
      <w:pPr>
        <w:spacing w:line="300" w:lineRule="auto"/>
        <w:ind w:firstLine="480"/>
        <w:jc w:val="both"/>
      </w:pPr>
      <w:r>
        <w:rPr>
          <w:rFonts w:ascii="Times New Roman" w:hAnsi="Times New Roman" w:cs="Times New Roman" w:eastAsia="宋体"/>
          <w:b w:val="0"/>
          <w:i w:val="0"/>
          <w:color w:val="000000"/>
          <w:sz w:val="24"/>
          <w:u w:val="none"/>
        </w:rPr>
        <w:t>本研究采用描述性分析方法，对社交媒体数据进行文本挖掘和统计分析，遵循"数据采集→预处理→不安全感识别→统计分析"的研究设计流程。</w:t>
      </w:r>
    </w:p>
    <w:p>
      <w:pPr>
        <w:pStyle w:val="Heading2"/>
        <w:spacing w:line="240" w:lineRule="auto" w:before="240" w:after="240"/>
        <w:jc w:val="left"/>
      </w:pPr>
      <w:r>
        <w:rPr>
          <w:rFonts w:ascii="Times New Roman" w:hAnsi="Times New Roman" w:cs="Times New Roman" w:eastAsia="黑体"/>
          <w:b/>
          <w:i w:val="0"/>
          <w:color w:val="000000"/>
          <w:sz w:val="28"/>
          <w:u w:val="none"/>
        </w:rPr>
        <w:t>3.1 数据来源</w:t>
      </w:r>
    </w:p>
    <w:p>
      <w:pPr>
        <w:spacing w:line="300" w:lineRule="auto"/>
        <w:ind w:firstLine="480"/>
        <w:jc w:val="both"/>
      </w:pPr>
      <w:r>
        <w:rPr>
          <w:rFonts w:ascii="Times New Roman" w:hAnsi="Times New Roman" w:cs="Times New Roman" w:eastAsia="宋体"/>
          <w:b w:val="0"/>
          <w:i w:val="0"/>
          <w:color w:val="000000"/>
          <w:sz w:val="24"/>
          <w:u w:val="none"/>
        </w:rPr>
        <w:t>本研究选取哔哩哔哩、小红书、知乎三个中国主流社交媒体平台作为数据源。选择标准基于用户群体代表性、内容质量和时间连续性（CNNIC, 2025）。哔哩哔哩用户以 18-30 岁年轻群体为主，多从事互联网、创意产业；小红书用户以 20-35 岁女性为主，多从事教育、媒体、服务业；知乎用户以 22-40 岁高学历群体为主，多从事科技、金融、专业服务。</w:t>
      </w:r>
    </w:p>
    <w:p>
      <w:pPr>
        <w:spacing w:line="300" w:lineRule="auto"/>
        <w:ind w:firstLine="480"/>
        <w:jc w:val="both"/>
      </w:pPr>
      <w:r>
        <w:rPr>
          <w:rFonts w:ascii="Times New Roman" w:hAnsi="Times New Roman" w:cs="Times New Roman" w:eastAsia="宋体"/>
          <w:b w:val="0"/>
          <w:i w:val="0"/>
          <w:color w:val="000000"/>
          <w:sz w:val="24"/>
          <w:u w:val="none"/>
        </w:rPr>
        <w:t>研究时间范围为 2024 年 10 月 12 日至 2026 年 3 月 30 日，共计 361 个自然日。数据采集采用 Python 编写的自动化爬虫系统，基于"关键词搜索 + 时间过滤"策略，使用关键词组合（AI、人工智能、失业、工作、焦虑等）检索各平台公开评论，抓取内容正文、评论、用户信息（匿名化），存储为 JSON 格式。最终采集原始数据 114,915 条有效评论，经过预处理后用于分析。</w:t>
      </w:r>
    </w:p>
    <w:p>
      <w:pPr>
        <w:spacing w:line="300" w:lineRule="auto"/>
        <w:ind w:firstLine="480"/>
        <w:jc w:val="both"/>
      </w:pPr>
      <w:r>
        <w:rPr>
          <w:rFonts w:ascii="Times New Roman" w:hAnsi="Times New Roman" w:cs="Times New Roman" w:eastAsia="宋体"/>
          <w:b w:val="0"/>
          <w:i w:val="0"/>
          <w:color w:val="000000"/>
          <w:sz w:val="24"/>
          <w:u w:val="none"/>
        </w:rPr>
        <w:t>各平台数据分布为：哔哩哔哩 101,540 条（88.4%），知乎 13,233 条（11.5%），小红书 142 条（0.1%）。需要特别说明的是，小红书样本仅覆盖 3 个日期、142 条评论，样本量过小，不适合进行独立的统计推断，仅在描述性比较中报告。</w:t>
      </w:r>
    </w:p>
    <w:p>
      <w:pPr>
        <w:pStyle w:val="Heading2"/>
        <w:spacing w:line="240" w:lineRule="auto" w:before="240" w:after="240"/>
        <w:jc w:val="left"/>
      </w:pPr>
      <w:r>
        <w:rPr>
          <w:rFonts w:ascii="Times New Roman" w:hAnsi="Times New Roman" w:cs="Times New Roman" w:eastAsia="黑体"/>
          <w:b/>
          <w:i w:val="0"/>
          <w:color w:val="000000"/>
          <w:sz w:val="28"/>
          <w:u w:val="none"/>
        </w:rPr>
        <w:t>3.2 数据预处理</w:t>
      </w:r>
    </w:p>
    <w:p>
      <w:pPr>
        <w:spacing w:line="300" w:lineRule="auto"/>
        <w:ind w:firstLine="480"/>
        <w:jc w:val="both"/>
      </w:pPr>
      <w:r>
        <w:rPr>
          <w:rFonts w:ascii="Times New Roman" w:hAnsi="Times New Roman" w:cs="Times New Roman" w:eastAsia="宋体"/>
          <w:b w:val="0"/>
          <w:i w:val="0"/>
          <w:color w:val="000000"/>
          <w:sz w:val="24"/>
          <w:u w:val="none"/>
        </w:rPr>
        <w:t>多平台数据标准化处理包括字段映射、格式转换、数据清洗三个步骤。字段映射将各平台原始字段统一映射为标准化字段（comment_id、content、timestamp、user_id、platform 等）。格式转换包括时间戳统一（秒级 UTC 时间戳）、数值格式处理、编码统一（UTF-8）。数据清洗移除长度小于 5 字的评论、纯表情/标点符号评论、广告/推广内容、重复评论和疑似水军账号。</w:t>
      </w:r>
    </w:p>
    <w:p>
      <w:pPr>
        <w:spacing w:line="300" w:lineRule="auto"/>
        <w:ind w:firstLine="480"/>
        <w:jc w:val="both"/>
      </w:pPr>
      <w:r>
        <w:rPr>
          <w:rFonts w:ascii="Times New Roman" w:hAnsi="Times New Roman" w:cs="Times New Roman" w:eastAsia="宋体"/>
          <w:b w:val="0"/>
          <w:i w:val="0"/>
          <w:color w:val="000000"/>
          <w:sz w:val="24"/>
          <w:u w:val="none"/>
        </w:rPr>
        <w:t>职业身份识别采用基于内容的方法，识别规则包括显性标识（评论中包含"程序员"、"设计师"、"教师"等职业词汇）、隐性标识（提及工作场景、职业技能）和平台标识。</w:t>
      </w:r>
    </w:p>
    <w:p>
      <w:pPr>
        <w:pStyle w:val="Heading2"/>
        <w:spacing w:line="240" w:lineRule="auto" w:before="240" w:after="240"/>
        <w:jc w:val="left"/>
      </w:pPr>
      <w:r>
        <w:rPr>
          <w:rFonts w:ascii="Times New Roman" w:hAnsi="Times New Roman" w:cs="Times New Roman" w:eastAsia="黑体"/>
          <w:b/>
          <w:i w:val="0"/>
          <w:color w:val="000000"/>
          <w:sz w:val="28"/>
          <w:u w:val="none"/>
        </w:rPr>
        <w:t>3.3 职业不安全感测量</w:t>
      </w:r>
    </w:p>
    <w:p>
      <w:pPr>
        <w:spacing w:line="300" w:lineRule="auto"/>
        <w:ind w:firstLine="480"/>
        <w:jc w:val="both"/>
      </w:pPr>
      <w:r>
        <w:rPr>
          <w:rFonts w:ascii="Times New Roman" w:hAnsi="Times New Roman" w:cs="Times New Roman" w:eastAsia="宋体"/>
          <w:b w:val="0"/>
          <w:i w:val="0"/>
          <w:color w:val="000000"/>
          <w:sz w:val="24"/>
          <w:u w:val="none"/>
        </w:rPr>
        <w:t>本研究采用基于词典的关键词匹配方法识别职业不安全感表达。该方法相比深度学习模型具有可解释性强、无需训练数据、计算效率高、领域适应性好等优势。</w:t>
      </w:r>
    </w:p>
    <w:p>
      <w:pPr>
        <w:pStyle w:val="Heading3"/>
        <w:spacing w:line="240" w:lineRule="auto" w:before="240" w:after="240"/>
        <w:jc w:val="left"/>
      </w:pPr>
      <w:r>
        <w:rPr>
          <w:rFonts w:ascii="Times New Roman" w:hAnsi="Times New Roman" w:cs="Times New Roman" w:eastAsia="黑体"/>
          <w:b/>
          <w:i w:val="0"/>
          <w:color w:val="000000"/>
          <w:sz w:val="24"/>
          <w:u w:val="none"/>
        </w:rPr>
        <w:t>3.3.1 词典构建</w:t>
      </w:r>
    </w:p>
    <w:p>
      <w:pPr>
        <w:spacing w:line="300" w:lineRule="auto"/>
        <w:ind w:firstLine="480"/>
        <w:jc w:val="both"/>
      </w:pPr>
      <w:r>
        <w:rPr>
          <w:rFonts w:ascii="Times New Roman" w:hAnsi="Times New Roman" w:cs="Times New Roman" w:eastAsia="宋体"/>
          <w:b w:val="0"/>
          <w:i w:val="0"/>
          <w:color w:val="000000"/>
          <w:sz w:val="24"/>
          <w:u w:val="none"/>
        </w:rPr>
        <w:t>不安全感词典包含以下类别：</w:t>
      </w:r>
    </w:p>
    <w:p>
      <w:pPr>
        <w:spacing w:line="300" w:lineRule="auto"/>
        <w:ind w:left="480" w:hanging="240"/>
      </w:pPr>
      <w:r>
        <w:rPr>
          <w:rFonts w:ascii="Times New Roman" w:hAnsi="Times New Roman" w:cs="Times New Roman" w:eastAsia="宋体"/>
          <w:b w:val="0"/>
          <w:i w:val="0"/>
          <w:color w:val="000000"/>
          <w:sz w:val="24"/>
          <w:u w:val="none"/>
        </w:rPr>
        <w:t>• 失业担忧：失业、下岗、裁员、失业潮、找工作难等</w:t>
      </w:r>
    </w:p>
    <w:p>
      <w:pPr>
        <w:spacing w:line="300" w:lineRule="auto"/>
        <w:ind w:left="480" w:hanging="240"/>
      </w:pPr>
      <w:r>
        <w:rPr>
          <w:rFonts w:ascii="Times New Roman" w:hAnsi="Times New Roman" w:cs="Times New Roman" w:eastAsia="宋体"/>
          <w:b w:val="0"/>
          <w:i w:val="0"/>
          <w:color w:val="000000"/>
          <w:sz w:val="24"/>
          <w:u w:val="none"/>
        </w:rPr>
        <w:t>• 替代焦虑：替代、取代、淘汰、被取代、被替代等</w:t>
      </w:r>
    </w:p>
    <w:p>
      <w:pPr>
        <w:spacing w:line="300" w:lineRule="auto"/>
        <w:ind w:left="480" w:hanging="240"/>
      </w:pPr>
      <w:r>
        <w:rPr>
          <w:rFonts w:ascii="Times New Roman" w:hAnsi="Times New Roman" w:cs="Times New Roman" w:eastAsia="宋体"/>
          <w:b w:val="0"/>
          <w:i w:val="0"/>
          <w:color w:val="000000"/>
          <w:sz w:val="24"/>
          <w:u w:val="none"/>
        </w:rPr>
        <w:t>• 技能过时：过时、落伍、跟不上、没用、失业等</w:t>
      </w:r>
    </w:p>
    <w:p>
      <w:pPr>
        <w:spacing w:line="300" w:lineRule="auto"/>
        <w:ind w:left="480" w:hanging="240"/>
      </w:pPr>
      <w:r>
        <w:rPr>
          <w:rFonts w:ascii="Times New Roman" w:hAnsi="Times New Roman" w:cs="Times New Roman" w:eastAsia="宋体"/>
          <w:b w:val="0"/>
          <w:i w:val="0"/>
          <w:color w:val="000000"/>
          <w:sz w:val="24"/>
          <w:u w:val="none"/>
        </w:rPr>
        <w:t>• 职业焦虑：焦虑、迷茫、压力、担忧、恐惧等</w:t>
      </w:r>
    </w:p>
    <w:p>
      <w:pPr>
        <w:spacing w:line="300" w:lineRule="auto"/>
        <w:ind w:left="480" w:hanging="240"/>
      </w:pPr>
      <w:r>
        <w:rPr>
          <w:rFonts w:ascii="Times New Roman" w:hAnsi="Times New Roman" w:cs="Times New Roman" w:eastAsia="宋体"/>
          <w:b w:val="0"/>
          <w:i w:val="0"/>
          <w:color w:val="000000"/>
          <w:sz w:val="24"/>
          <w:u w:val="none"/>
        </w:rPr>
        <w:t>• 未来担忧：未来、前景、出路、何去何从等</w:t>
      </w:r>
    </w:p>
    <w:p>
      <w:pPr>
        <w:spacing w:line="300" w:lineRule="auto"/>
        <w:ind w:firstLine="480"/>
        <w:jc w:val="both"/>
      </w:pPr>
      <w:r>
        <w:rPr>
          <w:rFonts w:ascii="Times New Roman" w:hAnsi="Times New Roman" w:cs="Times New Roman" w:eastAsia="宋体"/>
          <w:b w:val="0"/>
          <w:i w:val="0"/>
          <w:color w:val="000000"/>
          <w:sz w:val="24"/>
          <w:u w:val="none"/>
        </w:rPr>
        <w:t>词典经人工审核，确保与职业不安全感概念的相关性。</w:t>
      </w:r>
    </w:p>
    <w:p>
      <w:pPr>
        <w:pStyle w:val="Heading3"/>
        <w:spacing w:line="240" w:lineRule="auto" w:before="240" w:after="240"/>
        <w:jc w:val="left"/>
      </w:pPr>
      <w:r>
        <w:rPr>
          <w:rFonts w:ascii="Times New Roman" w:hAnsi="Times New Roman" w:cs="Times New Roman" w:eastAsia="黑体"/>
          <w:b/>
          <w:i w:val="0"/>
          <w:color w:val="000000"/>
          <w:sz w:val="24"/>
          <w:u w:val="none"/>
        </w:rPr>
        <w:t>3.3.2 识别流程</w:t>
      </w:r>
    </w:p>
    <w:p>
      <w:pPr>
        <w:spacing w:line="300" w:lineRule="auto"/>
        <w:ind w:firstLine="480"/>
        <w:jc w:val="both"/>
      </w:pPr>
      <w:r>
        <w:rPr>
          <w:rFonts w:ascii="Times New Roman" w:hAnsi="Times New Roman" w:cs="Times New Roman" w:eastAsia="宋体"/>
          <w:b w:val="0"/>
          <w:i w:val="0"/>
          <w:color w:val="000000"/>
          <w:sz w:val="24"/>
          <w:u w:val="none"/>
        </w:rPr>
        <w:t>对每条评论进行关键词扫描，匹配上述词典中的任一类别即标记为不安全感表达。最终共识别 1,242 条不安全感表达，占总评论数的 1.08%。其中失业担忧 636 条（51.2%），替代焦虑 428 条（34.5%），技能过时 168 条（13.5%），职业焦虑 44 条（3.5%），未来担忧 27 条（2.2%）。</w:t>
      </w:r>
    </w:p>
    <w:p>
      <w:pPr>
        <w:pStyle w:val="Heading2"/>
        <w:spacing w:line="240" w:lineRule="auto" w:before="240" w:after="240"/>
        <w:jc w:val="left"/>
      </w:pPr>
      <w:r>
        <w:rPr>
          <w:rFonts w:ascii="Times New Roman" w:hAnsi="Times New Roman" w:cs="Times New Roman" w:eastAsia="黑体"/>
          <w:b/>
          <w:i w:val="0"/>
          <w:color w:val="000000"/>
          <w:sz w:val="28"/>
          <w:u w:val="none"/>
        </w:rPr>
        <w:t>3.4 事件库构建</w:t>
      </w:r>
    </w:p>
    <w:p>
      <w:pPr>
        <w:spacing w:line="300" w:lineRule="auto"/>
        <w:ind w:firstLine="480"/>
        <w:jc w:val="both"/>
      </w:pPr>
      <w:r>
        <w:rPr>
          <w:rFonts w:ascii="Times New Roman" w:hAnsi="Times New Roman" w:cs="Times New Roman" w:eastAsia="宋体"/>
          <w:b w:val="0"/>
          <w:i w:val="0"/>
          <w:color w:val="000000"/>
          <w:sz w:val="24"/>
          <w:u w:val="none"/>
        </w:rPr>
        <w:t>本研究构建包含 33 个重大 AI 技术事件的事件库，涵盖 2024 年 11 月至 2026 年 3 月期间。事件类型分布为：技术积极事件 26 个（如大模型发布、产品更新），就业负面事件 4 个（如裁员新闻、岗位替代），政策事件 2 个，行业报告 1 个。每个事件的确切日期通过新闻报道和官方公告确认。</w:t>
      </w:r>
    </w:p>
    <w:p>
      <w:pPr>
        <w:pStyle w:val="Heading2"/>
        <w:spacing w:line="240" w:lineRule="auto" w:before="240" w:after="240"/>
        <w:jc w:val="left"/>
      </w:pPr>
      <w:r>
        <w:rPr>
          <w:rFonts w:ascii="Times New Roman" w:hAnsi="Times New Roman" w:cs="Times New Roman" w:eastAsia="黑体"/>
          <w:b/>
          <w:i w:val="0"/>
          <w:color w:val="000000"/>
          <w:sz w:val="28"/>
          <w:u w:val="none"/>
        </w:rPr>
        <w:t>3.5 统计分析策略</w:t>
      </w:r>
    </w:p>
    <w:p>
      <w:pPr>
        <w:spacing w:line="300" w:lineRule="auto"/>
        <w:ind w:firstLine="480"/>
        <w:jc w:val="both"/>
      </w:pPr>
      <w:r>
        <w:rPr>
          <w:rFonts w:ascii="Times New Roman" w:hAnsi="Times New Roman" w:cs="Times New Roman" w:eastAsia="宋体"/>
          <w:b w:val="0"/>
          <w:i w:val="0"/>
          <w:color w:val="000000"/>
          <w:sz w:val="24"/>
          <w:u w:val="none"/>
        </w:rPr>
        <w:t>本研究采用以下统计方法：</w:t>
      </w:r>
    </w:p>
    <w:p>
      <w:pPr>
        <w:pStyle w:val="Heading3"/>
        <w:spacing w:line="240" w:lineRule="auto" w:before="240" w:after="240"/>
        <w:jc w:val="left"/>
      </w:pPr>
      <w:r>
        <w:rPr>
          <w:rFonts w:ascii="Times New Roman" w:hAnsi="Times New Roman" w:cs="Times New Roman" w:eastAsia="黑体"/>
          <w:b/>
          <w:i w:val="0"/>
          <w:color w:val="000000"/>
          <w:sz w:val="24"/>
          <w:u w:val="none"/>
        </w:rPr>
        <w:t>3.5.1 描述性统计</w:t>
      </w:r>
    </w:p>
    <w:p>
      <w:pPr>
        <w:spacing w:line="300" w:lineRule="auto"/>
        <w:ind w:firstLine="480"/>
        <w:jc w:val="both"/>
      </w:pPr>
      <w:r>
        <w:rPr>
          <w:rFonts w:ascii="Times New Roman" w:hAnsi="Times New Roman" w:cs="Times New Roman" w:eastAsia="宋体"/>
          <w:b w:val="0"/>
          <w:i w:val="0"/>
          <w:color w:val="000000"/>
          <w:sz w:val="24"/>
          <w:u w:val="none"/>
        </w:rPr>
        <w:t>报告各平台的评论数、不安全感表达数、表达率及其分布特征。</w:t>
      </w:r>
    </w:p>
    <w:p>
      <w:pPr>
        <w:pStyle w:val="Heading3"/>
        <w:spacing w:line="240" w:lineRule="auto" w:before="240" w:after="240"/>
        <w:jc w:val="left"/>
      </w:pPr>
      <w:r>
        <w:rPr>
          <w:rFonts w:ascii="Times New Roman" w:hAnsi="Times New Roman" w:cs="Times New Roman" w:eastAsia="黑体"/>
          <w:b/>
          <w:i w:val="0"/>
          <w:color w:val="000000"/>
          <w:sz w:val="24"/>
          <w:u w:val="none"/>
        </w:rPr>
        <w:t>3.5.2 H1 检验：事件主效应</w:t>
      </w:r>
    </w:p>
    <w:p>
      <w:pPr>
        <w:spacing w:line="300" w:lineRule="auto"/>
        <w:ind w:firstLine="480"/>
        <w:jc w:val="both"/>
      </w:pPr>
      <w:r>
        <w:rPr>
          <w:rFonts w:ascii="Times New Roman" w:hAnsi="Times New Roman" w:cs="Times New Roman" w:eastAsia="宋体"/>
          <w:b w:val="0"/>
          <w:i w:val="0"/>
          <w:color w:val="000000"/>
          <w:sz w:val="24"/>
          <w:u w:val="none"/>
        </w:rPr>
        <w:t>采用负二项回归模型检验 AI 技术事件与职业不安全感表达的关联。因变量为日度不安全感表达数量，自变量为事件后 7 天窗口虚拟变量（事件日及随后 6 天 = 1，否则 = 0），控制变量包括星期几效应。选择负二项回归的原因在于日度计数数据存在过度离散（方差/均值 &gt; 1）。模型公式如下：</w:t>
      </w:r>
    </w:p>
    <w:p>
      <w:pPr>
        <w:jc w:val="center"/>
      </w:pPr>
      <w:r>
        <w:rPr>
          <w:rFonts w:ascii="Times New Roman" w:hAnsi="Times New Roman" w:cs="Times New Roman" w:eastAsia="宋体"/>
          <w:b w:val="0"/>
          <w:i w:val="0"/>
          <w:color w:val="000000"/>
          <w:sz w:val="24"/>
          <w:u w:val="none"/>
        </w:rPr>
        <w:t>\log(E[Y_i]) = \beta_0 + \beta_1 \cdot Event_i + \beta_2 \cdot DOW_i + \epsilon_i</w:t>
      </w:r>
    </w:p>
    <w:p>
      <w:pPr>
        <w:spacing w:line="300" w:lineRule="auto"/>
        <w:ind w:firstLine="480"/>
        <w:jc w:val="both"/>
      </w:pPr>
      <w:r>
        <w:rPr>
          <w:rFonts w:ascii="Times New Roman" w:hAnsi="Times New Roman" w:cs="Times New Roman" w:eastAsia="宋体"/>
          <w:b w:val="0"/>
          <w:i w:val="0"/>
          <w:color w:val="000000"/>
          <w:sz w:val="24"/>
          <w:u w:val="none"/>
        </w:rPr>
        <w:t>其中 $Y_i$ 为第 $i$ 天的不安全感表达数量，$Event_i$ 为事件窗口虚拟变量，$DOW_i$ 为星期几效应。</w:t>
      </w:r>
    </w:p>
    <w:p>
      <w:pPr>
        <w:pStyle w:val="Heading3"/>
        <w:spacing w:line="240" w:lineRule="auto" w:before="240" w:after="240"/>
        <w:jc w:val="left"/>
      </w:pPr>
      <w:r>
        <w:rPr>
          <w:rFonts w:ascii="Times New Roman" w:hAnsi="Times New Roman" w:cs="Times New Roman" w:eastAsia="黑体"/>
          <w:b/>
          <w:i w:val="0"/>
          <w:color w:val="000000"/>
          <w:sz w:val="24"/>
          <w:u w:val="none"/>
        </w:rPr>
        <w:t>3.5.3 H3 检验：恢复时间动态</w:t>
      </w:r>
    </w:p>
    <w:p>
      <w:pPr>
        <w:spacing w:line="300" w:lineRule="auto"/>
        <w:ind w:firstLine="480"/>
        <w:jc w:val="both"/>
      </w:pPr>
      <w:r>
        <w:rPr>
          <w:rFonts w:ascii="Times New Roman" w:hAnsi="Times New Roman" w:cs="Times New Roman" w:eastAsia="宋体"/>
          <w:b w:val="0"/>
          <w:i w:val="0"/>
          <w:color w:val="000000"/>
          <w:sz w:val="24"/>
          <w:u w:val="none"/>
        </w:rPr>
        <w:t>采用事件研究法分析事件后不安全感表达的动态变化。以事件发生日为第 0 天，计算事件后 0-14 天每天的不安全感表达率相对于基线（事件前 7 天均值）的变化。使用指数衰减模型拟合恢复曲线：$y_t = y_0 cdot e^{-lambda t}$，其中 $lambda$ 为衰减速率。</w:t>
      </w:r>
    </w:p>
    <w:p>
      <w:pPr>
        <w:pStyle w:val="Heading3"/>
        <w:spacing w:line="240" w:lineRule="auto" w:before="240" w:after="240"/>
        <w:jc w:val="left"/>
      </w:pPr>
      <w:r>
        <w:rPr>
          <w:rFonts w:ascii="Times New Roman" w:hAnsi="Times New Roman" w:cs="Times New Roman" w:eastAsia="黑体"/>
          <w:b/>
          <w:i w:val="0"/>
          <w:color w:val="000000"/>
          <w:sz w:val="24"/>
          <w:u w:val="none"/>
        </w:rPr>
        <w:t>3.5.4 H4 检验：平台差异</w:t>
      </w:r>
    </w:p>
    <w:p>
      <w:pPr>
        <w:spacing w:line="300" w:lineRule="auto"/>
        <w:ind w:firstLine="480"/>
        <w:jc w:val="both"/>
      </w:pPr>
      <w:r>
        <w:rPr>
          <w:rFonts w:ascii="Times New Roman" w:hAnsi="Times New Roman" w:cs="Times New Roman" w:eastAsia="宋体"/>
          <w:b w:val="0"/>
          <w:i w:val="0"/>
          <w:color w:val="000000"/>
          <w:sz w:val="24"/>
          <w:u w:val="none"/>
        </w:rPr>
        <w:t>比较不同平台的职业不安全感表达率。采用卡方检验检验平台间表达率的差异。由于小红书样本量过小（仅 3 天、142 条评论），平台比较仅限哔哩哔哩和知乎。</w:t>
      </w:r>
    </w:p>
    <w:p>
      <w:pPr>
        <w:pStyle w:val="Heading3"/>
        <w:spacing w:line="240" w:lineRule="auto" w:before="240" w:after="240"/>
        <w:jc w:val="left"/>
      </w:pPr>
      <w:r>
        <w:rPr>
          <w:rFonts w:ascii="Times New Roman" w:hAnsi="Times New Roman" w:cs="Times New Roman" w:eastAsia="黑体"/>
          <w:b/>
          <w:i w:val="0"/>
          <w:color w:val="000000"/>
          <w:sz w:val="24"/>
          <w:u w:val="none"/>
        </w:rPr>
        <w:t>3.5.5 H6 检验：时间趋势</w:t>
      </w:r>
    </w:p>
    <w:p>
      <w:pPr>
        <w:spacing w:line="300" w:lineRule="auto"/>
        <w:ind w:firstLine="480"/>
        <w:jc w:val="both"/>
      </w:pPr>
      <w:r>
        <w:rPr>
          <w:rFonts w:ascii="Times New Roman" w:hAnsi="Times New Roman" w:cs="Times New Roman" w:eastAsia="宋体"/>
          <w:b w:val="0"/>
          <w:i w:val="0"/>
          <w:color w:val="000000"/>
          <w:sz w:val="24"/>
          <w:u w:val="none"/>
        </w:rPr>
        <w:t>在负二项回归模型中加入时间趋势项（研究第 $t$ 天），控制星期几效应，检验不安全感表达是否存在长期上升趋势。</w:t>
      </w:r>
    </w:p>
    <w:p>
      <w:pPr>
        <w:pStyle w:val="Heading2"/>
        <w:spacing w:line="240" w:lineRule="auto" w:before="240" w:after="240"/>
        <w:jc w:val="left"/>
      </w:pPr>
      <w:r>
        <w:rPr>
          <w:rFonts w:ascii="Times New Roman" w:hAnsi="Times New Roman" w:cs="Times New Roman" w:eastAsia="黑体"/>
          <w:b/>
          <w:i w:val="0"/>
          <w:color w:val="000000"/>
          <w:sz w:val="28"/>
          <w:u w:val="none"/>
        </w:rPr>
        <w:t>3.6 伦理考量</w:t>
      </w:r>
    </w:p>
    <w:p>
      <w:pPr>
        <w:spacing w:line="300" w:lineRule="auto"/>
        <w:ind w:firstLine="480"/>
        <w:jc w:val="both"/>
      </w:pPr>
      <w:r>
        <w:rPr>
          <w:rFonts w:ascii="Times New Roman" w:hAnsi="Times New Roman" w:cs="Times New Roman" w:eastAsia="宋体"/>
          <w:b w:val="0"/>
          <w:i w:val="0"/>
          <w:color w:val="000000"/>
          <w:sz w:val="24"/>
          <w:u w:val="none"/>
        </w:rPr>
        <w:t>本研究遵循公开数据、匿名化、聚合分析、数据最小化四项伦理原则。仅分析公开可见评论，去除用户 ID、昵称等可识别信息，分析仅在聚合层面进行，不涉及个体层面推断。数据存储在加密硬盘，访问权限受限，仅研究团队成员可访问原始数据。</w:t>
      </w:r>
    </w:p>
    <w:p>
      <w:pPr>
        <w:pStyle w:val="Heading1"/>
        <w:spacing w:line="240" w:lineRule="auto" w:before="240" w:after="240"/>
        <w:jc w:val="center"/>
      </w:pPr>
      <w:r>
        <w:rPr>
          <w:rFonts w:ascii="Times New Roman" w:hAnsi="Times New Roman" w:cs="Times New Roman" w:eastAsia="黑体"/>
          <w:b/>
          <w:i w:val="0"/>
          <w:color w:val="000000"/>
          <w:sz w:val="32"/>
          <w:u w:val="none"/>
        </w:rPr>
        <w:t>4 研究结果</w:t>
      </w:r>
    </w:p>
    <w:p>
      <w:pPr>
        <w:pStyle w:val="Heading2"/>
        <w:spacing w:line="240" w:lineRule="auto" w:before="240" w:after="240"/>
        <w:jc w:val="left"/>
      </w:pPr>
      <w:r>
        <w:rPr>
          <w:rFonts w:ascii="Times New Roman" w:hAnsi="Times New Roman" w:cs="Times New Roman" w:eastAsia="黑体"/>
          <w:b/>
          <w:i w:val="0"/>
          <w:color w:val="000000"/>
          <w:sz w:val="28"/>
          <w:u w:val="none"/>
        </w:rPr>
        <w:t>4.1 描述性统计</w:t>
      </w:r>
    </w:p>
    <w:p>
      <w:pPr>
        <w:spacing w:line="300" w:lineRule="auto"/>
        <w:ind w:firstLine="480"/>
        <w:jc w:val="both"/>
      </w:pPr>
      <w:r>
        <w:rPr>
          <w:rFonts w:ascii="Times New Roman" w:hAnsi="Times New Roman" w:cs="Times New Roman" w:eastAsia="宋体"/>
          <w:b w:val="0"/>
          <w:i w:val="0"/>
          <w:color w:val="000000"/>
          <w:sz w:val="24"/>
          <w:u w:val="none"/>
        </w:rPr>
        <w:t>本研究对 2024 年 10 月 12 日至 2026 年 3 月 30 日期间三个社交媒体平台的 114,915 条评论进行系统分析。表 1 展示研究样本的基本特征。</w:t>
      </w:r>
    </w:p>
    <w:p>
      <w:pPr>
        <w:spacing w:line="300" w:lineRule="auto"/>
        <w:jc w:val="center"/>
      </w:pPr>
      <w:r>
        <w:rPr>
          <w:rFonts w:ascii="Times New Roman" w:hAnsi="Times New Roman" w:cs="Times New Roman" w:eastAsia="宋体"/>
          <w:b/>
          <w:i w:val="0"/>
          <w:color w:val="000000"/>
          <w:sz w:val="24"/>
          <w:u w:val="none"/>
        </w:rPr>
        <w:t>表 1 研究样本基本特征</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tcPr>
          <w:p>
            <w:pPr>
              <w:spacing w:line="240" w:lineRule="auto"/>
              <w:jc w:val="center"/>
            </w:pPr>
            <w:r>
              <w:rPr>
                <w:rFonts w:ascii="Times New Roman" w:hAnsi="Times New Roman" w:cs="Times New Roman" w:eastAsia="宋体"/>
                <w:b/>
                <w:i w:val="0"/>
                <w:color w:val="000000"/>
                <w:sz w:val="21"/>
                <w:u w:val="none"/>
              </w:rPr>
              <w:t>变量</w:t>
            </w:r>
          </w:p>
        </w:tc>
        <w:tc>
          <w:tcPr>
            <w:tcW w:type="dxa" w:w="2551"/>
          </w:tcPr>
          <w:p>
            <w:pPr>
              <w:spacing w:line="240" w:lineRule="auto"/>
              <w:jc w:val="center"/>
            </w:pPr>
            <w:r>
              <w:rPr>
                <w:rFonts w:ascii="Times New Roman" w:hAnsi="Times New Roman" w:cs="Times New Roman" w:eastAsia="宋体"/>
                <w:b/>
                <w:i w:val="0"/>
                <w:color w:val="000000"/>
                <w:sz w:val="21"/>
                <w:u w:val="none"/>
              </w:rPr>
              <w:t>类别</w:t>
            </w:r>
          </w:p>
        </w:tc>
        <w:tc>
          <w:tcPr>
            <w:tcW w:type="dxa" w:w="2551"/>
          </w:tcPr>
          <w:p>
            <w:pPr>
              <w:spacing w:line="240" w:lineRule="auto"/>
              <w:jc w:val="center"/>
            </w:pPr>
            <w:r>
              <w:rPr>
                <w:rFonts w:ascii="Times New Roman" w:hAnsi="Times New Roman" w:cs="Times New Roman" w:eastAsia="宋体"/>
                <w:b/>
                <w:i w:val="0"/>
                <w:color w:val="000000"/>
                <w:sz w:val="21"/>
                <w:u w:val="none"/>
              </w:rPr>
              <w:t>频数</w:t>
            </w:r>
          </w:p>
        </w:tc>
        <w:tc>
          <w:tcPr>
            <w:tcW w:type="dxa" w:w="2551"/>
          </w:tcPr>
          <w:p>
            <w:pPr>
              <w:spacing w:line="240" w:lineRule="auto"/>
              <w:jc w:val="center"/>
            </w:pPr>
            <w:r>
              <w:rPr>
                <w:rFonts w:ascii="Times New Roman" w:hAnsi="Times New Roman" w:cs="Times New Roman" w:eastAsia="宋体"/>
                <w:b/>
                <w:i w:val="0"/>
                <w:color w:val="000000"/>
                <w:sz w:val="21"/>
                <w:u w:val="none"/>
              </w:rPr>
              <w:t>百分比 (%)</w:t>
            </w:r>
          </w:p>
        </w:tc>
      </w:tr>
      <w:tr>
        <w:tc>
          <w:tcPr>
            <w:tcW w:type="dxa" w:w="2551"/>
          </w:tcPr>
          <w:p>
            <w:pPr>
              <w:spacing w:line="240" w:lineRule="auto"/>
              <w:jc w:val="left"/>
            </w:pPr>
            <w:r>
              <w:rPr>
                <w:rFonts w:ascii="Times New Roman" w:hAnsi="Times New Roman" w:cs="Times New Roman" w:eastAsia="宋体"/>
                <w:b w:val="0"/>
                <w:i w:val="0"/>
                <w:color w:val="000000"/>
                <w:sz w:val="21"/>
                <w:u w:val="none"/>
              </w:rPr>
              <w:t>平台</w:t>
            </w:r>
          </w:p>
        </w:tc>
        <w:tc>
          <w:tcPr>
            <w:tcW w:type="dxa" w:w="2551"/>
          </w:tcPr>
          <w:p>
            <w:pPr>
              <w:spacing w:line="240" w:lineRule="auto"/>
              <w:jc w:val="left"/>
            </w:pPr>
            <w:r>
              <w:rPr>
                <w:rFonts w:ascii="Times New Roman" w:hAnsi="Times New Roman" w:cs="Times New Roman" w:eastAsia="宋体"/>
                <w:b w:val="0"/>
                <w:i w:val="0"/>
                <w:color w:val="000000"/>
                <w:sz w:val="21"/>
                <w:u w:val="none"/>
              </w:rPr>
              <w:t>哔哩哔哩</w:t>
            </w:r>
          </w:p>
        </w:tc>
        <w:tc>
          <w:tcPr>
            <w:tcW w:type="dxa" w:w="2551"/>
          </w:tcPr>
          <w:p>
            <w:pPr>
              <w:spacing w:line="240" w:lineRule="auto"/>
              <w:jc w:val="left"/>
            </w:pPr>
            <w:r>
              <w:rPr>
                <w:rFonts w:ascii="Times New Roman" w:hAnsi="Times New Roman" w:cs="Times New Roman" w:eastAsia="宋体"/>
                <w:b w:val="0"/>
                <w:i w:val="0"/>
                <w:color w:val="000000"/>
                <w:sz w:val="21"/>
                <w:u w:val="none"/>
              </w:rPr>
              <w:t>101,540</w:t>
            </w:r>
          </w:p>
        </w:tc>
        <w:tc>
          <w:tcPr>
            <w:tcW w:type="dxa" w:w="2551"/>
          </w:tcPr>
          <w:p>
            <w:pPr>
              <w:spacing w:line="240" w:lineRule="auto"/>
              <w:jc w:val="left"/>
            </w:pPr>
            <w:r>
              <w:rPr>
                <w:rFonts w:ascii="Times New Roman" w:hAnsi="Times New Roman" w:cs="Times New Roman" w:eastAsia="宋体"/>
                <w:b w:val="0"/>
                <w:i w:val="0"/>
                <w:color w:val="000000"/>
                <w:sz w:val="21"/>
                <w:u w:val="none"/>
              </w:rPr>
              <w:t>88.4</w:t>
            </w:r>
          </w:p>
        </w:tc>
      </w:tr>
      <w:tr>
        <w:tc>
          <w:tcPr>
            <w:tcW w:type="dxa" w:w="2551"/>
          </w:tcPr>
          <w:p>
            <w:pPr>
              <w:spacing w:line="240" w:lineRule="auto"/>
              <w:jc w:val="left"/>
            </w:pPr>
            <w:r>
              <w:rPr>
                <w:rFonts w:ascii="Times New Roman" w:hAnsi="Times New Roman" w:cs="Times New Roman" w:eastAsia="宋体"/>
                <w:b w:val="0"/>
                <w:i w:val="0"/>
                <w:color w:val="000000"/>
                <w:sz w:val="21"/>
                <w:u w:val="none"/>
              </w:rPr>
            </w:r>
          </w:p>
        </w:tc>
        <w:tc>
          <w:tcPr>
            <w:tcW w:type="dxa" w:w="2551"/>
          </w:tcPr>
          <w:p>
            <w:pPr>
              <w:spacing w:line="240" w:lineRule="auto"/>
              <w:jc w:val="left"/>
            </w:pPr>
            <w:r>
              <w:rPr>
                <w:rFonts w:ascii="Times New Roman" w:hAnsi="Times New Roman" w:cs="Times New Roman" w:eastAsia="宋体"/>
                <w:b w:val="0"/>
                <w:i w:val="0"/>
                <w:color w:val="000000"/>
                <w:sz w:val="21"/>
                <w:u w:val="none"/>
              </w:rPr>
              <w:t>知乎</w:t>
            </w:r>
          </w:p>
        </w:tc>
        <w:tc>
          <w:tcPr>
            <w:tcW w:type="dxa" w:w="2551"/>
          </w:tcPr>
          <w:p>
            <w:pPr>
              <w:spacing w:line="240" w:lineRule="auto"/>
              <w:jc w:val="left"/>
            </w:pPr>
            <w:r>
              <w:rPr>
                <w:rFonts w:ascii="Times New Roman" w:hAnsi="Times New Roman" w:cs="Times New Roman" w:eastAsia="宋体"/>
                <w:b w:val="0"/>
                <w:i w:val="0"/>
                <w:color w:val="000000"/>
                <w:sz w:val="21"/>
                <w:u w:val="none"/>
              </w:rPr>
              <w:t>13,233</w:t>
            </w:r>
          </w:p>
        </w:tc>
        <w:tc>
          <w:tcPr>
            <w:tcW w:type="dxa" w:w="2551"/>
          </w:tcPr>
          <w:p>
            <w:pPr>
              <w:spacing w:line="240" w:lineRule="auto"/>
              <w:jc w:val="left"/>
            </w:pPr>
            <w:r>
              <w:rPr>
                <w:rFonts w:ascii="Times New Roman" w:hAnsi="Times New Roman" w:cs="Times New Roman" w:eastAsia="宋体"/>
                <w:b w:val="0"/>
                <w:i w:val="0"/>
                <w:color w:val="000000"/>
                <w:sz w:val="21"/>
                <w:u w:val="none"/>
              </w:rPr>
              <w:t>11.5</w:t>
            </w:r>
          </w:p>
        </w:tc>
      </w:tr>
      <w:tr>
        <w:tc>
          <w:tcPr>
            <w:tcW w:type="dxa" w:w="2551"/>
          </w:tcPr>
          <w:p>
            <w:pPr>
              <w:spacing w:line="240" w:lineRule="auto"/>
              <w:jc w:val="left"/>
            </w:pPr>
            <w:r>
              <w:rPr>
                <w:rFonts w:ascii="Times New Roman" w:hAnsi="Times New Roman" w:cs="Times New Roman" w:eastAsia="宋体"/>
                <w:b w:val="0"/>
                <w:i w:val="0"/>
                <w:color w:val="000000"/>
                <w:sz w:val="21"/>
                <w:u w:val="none"/>
              </w:rPr>
            </w:r>
          </w:p>
        </w:tc>
        <w:tc>
          <w:tcPr>
            <w:tcW w:type="dxa" w:w="2551"/>
          </w:tcPr>
          <w:p>
            <w:pPr>
              <w:spacing w:line="240" w:lineRule="auto"/>
              <w:jc w:val="left"/>
            </w:pPr>
            <w:r>
              <w:rPr>
                <w:rFonts w:ascii="Times New Roman" w:hAnsi="Times New Roman" w:cs="Times New Roman" w:eastAsia="宋体"/>
                <w:b w:val="0"/>
                <w:i w:val="0"/>
                <w:color w:val="000000"/>
                <w:sz w:val="21"/>
                <w:u w:val="none"/>
              </w:rPr>
              <w:t>小红书</w:t>
            </w:r>
          </w:p>
        </w:tc>
        <w:tc>
          <w:tcPr>
            <w:tcW w:type="dxa" w:w="2551"/>
          </w:tcPr>
          <w:p>
            <w:pPr>
              <w:spacing w:line="240" w:lineRule="auto"/>
              <w:jc w:val="left"/>
            </w:pPr>
            <w:r>
              <w:rPr>
                <w:rFonts w:ascii="Times New Roman" w:hAnsi="Times New Roman" w:cs="Times New Roman" w:eastAsia="宋体"/>
                <w:b w:val="0"/>
                <w:i w:val="0"/>
                <w:color w:val="000000"/>
                <w:sz w:val="21"/>
                <w:u w:val="none"/>
              </w:rPr>
              <w:t>142</w:t>
            </w:r>
          </w:p>
        </w:tc>
        <w:tc>
          <w:tcPr>
            <w:tcW w:type="dxa" w:w="2551"/>
          </w:tcPr>
          <w:p>
            <w:pPr>
              <w:spacing w:line="240" w:lineRule="auto"/>
              <w:jc w:val="left"/>
            </w:pPr>
            <w:r>
              <w:rPr>
                <w:rFonts w:ascii="Times New Roman" w:hAnsi="Times New Roman" w:cs="Times New Roman" w:eastAsia="宋体"/>
                <w:b w:val="0"/>
                <w:i w:val="0"/>
                <w:color w:val="000000"/>
                <w:sz w:val="21"/>
                <w:u w:val="none"/>
              </w:rPr>
              <w:t>0.1</w:t>
            </w:r>
          </w:p>
        </w:tc>
      </w:tr>
      <w:tr>
        <w:tc>
          <w:tcPr>
            <w:tcW w:type="dxa" w:w="2551"/>
          </w:tcPr>
          <w:p>
            <w:pPr>
              <w:spacing w:line="240" w:lineRule="auto"/>
              <w:jc w:val="left"/>
            </w:pPr>
            <w:r>
              <w:rPr>
                <w:rFonts w:ascii="Times New Roman" w:hAnsi="Times New Roman" w:cs="Times New Roman" w:eastAsia="宋体"/>
                <w:b w:val="0"/>
                <w:i w:val="0"/>
                <w:color w:val="000000"/>
                <w:sz w:val="21"/>
                <w:u w:val="none"/>
              </w:rPr>
              <w:t>职业不安全感</w:t>
            </w:r>
          </w:p>
        </w:tc>
        <w:tc>
          <w:tcPr>
            <w:tcW w:type="dxa" w:w="2551"/>
          </w:tcPr>
          <w:p>
            <w:pPr>
              <w:spacing w:line="240" w:lineRule="auto"/>
              <w:jc w:val="left"/>
            </w:pPr>
            <w:r>
              <w:rPr>
                <w:rFonts w:ascii="Times New Roman" w:hAnsi="Times New Roman" w:cs="Times New Roman" w:eastAsia="宋体"/>
                <w:b w:val="0"/>
                <w:i w:val="0"/>
                <w:color w:val="000000"/>
                <w:sz w:val="21"/>
                <w:u w:val="none"/>
              </w:rPr>
              <w:t>是</w:t>
            </w:r>
          </w:p>
        </w:tc>
        <w:tc>
          <w:tcPr>
            <w:tcW w:type="dxa" w:w="2551"/>
          </w:tcPr>
          <w:p>
            <w:pPr>
              <w:spacing w:line="240" w:lineRule="auto"/>
              <w:jc w:val="left"/>
            </w:pPr>
            <w:r>
              <w:rPr>
                <w:rFonts w:ascii="Times New Roman" w:hAnsi="Times New Roman" w:cs="Times New Roman" w:eastAsia="宋体"/>
                <w:b w:val="0"/>
                <w:i w:val="0"/>
                <w:color w:val="000000"/>
                <w:sz w:val="21"/>
                <w:u w:val="none"/>
              </w:rPr>
              <w:t>1,242</w:t>
            </w:r>
          </w:p>
        </w:tc>
        <w:tc>
          <w:tcPr>
            <w:tcW w:type="dxa" w:w="2551"/>
          </w:tcPr>
          <w:p>
            <w:pPr>
              <w:spacing w:line="240" w:lineRule="auto"/>
              <w:jc w:val="left"/>
            </w:pPr>
            <w:r>
              <w:rPr>
                <w:rFonts w:ascii="Times New Roman" w:hAnsi="Times New Roman" w:cs="Times New Roman" w:eastAsia="宋体"/>
                <w:b w:val="0"/>
                <w:i w:val="0"/>
                <w:color w:val="000000"/>
                <w:sz w:val="21"/>
                <w:u w:val="none"/>
              </w:rPr>
              <w:t>1.08</w:t>
            </w:r>
          </w:p>
        </w:tc>
      </w:tr>
      <w:tr>
        <w:tc>
          <w:tcPr>
            <w:tcW w:type="dxa" w:w="2551"/>
          </w:tcPr>
          <w:p>
            <w:pPr>
              <w:spacing w:line="240" w:lineRule="auto"/>
              <w:jc w:val="left"/>
            </w:pPr>
            <w:r>
              <w:rPr>
                <w:rFonts w:ascii="Times New Roman" w:hAnsi="Times New Roman" w:cs="Times New Roman" w:eastAsia="宋体"/>
                <w:b w:val="0"/>
                <w:i w:val="0"/>
                <w:color w:val="000000"/>
                <w:sz w:val="21"/>
                <w:u w:val="none"/>
              </w:rPr>
            </w:r>
          </w:p>
        </w:tc>
        <w:tc>
          <w:tcPr>
            <w:tcW w:type="dxa" w:w="2551"/>
          </w:tcPr>
          <w:p>
            <w:pPr>
              <w:spacing w:line="240" w:lineRule="auto"/>
              <w:jc w:val="left"/>
            </w:pPr>
            <w:r>
              <w:rPr>
                <w:rFonts w:ascii="Times New Roman" w:hAnsi="Times New Roman" w:cs="Times New Roman" w:eastAsia="宋体"/>
                <w:b w:val="0"/>
                <w:i w:val="0"/>
                <w:color w:val="000000"/>
                <w:sz w:val="21"/>
                <w:u w:val="none"/>
              </w:rPr>
              <w:t>否</w:t>
            </w:r>
          </w:p>
        </w:tc>
        <w:tc>
          <w:tcPr>
            <w:tcW w:type="dxa" w:w="2551"/>
          </w:tcPr>
          <w:p>
            <w:pPr>
              <w:spacing w:line="240" w:lineRule="auto"/>
              <w:jc w:val="left"/>
            </w:pPr>
            <w:r>
              <w:rPr>
                <w:rFonts w:ascii="Times New Roman" w:hAnsi="Times New Roman" w:cs="Times New Roman" w:eastAsia="宋体"/>
                <w:b w:val="0"/>
                <w:i w:val="0"/>
                <w:color w:val="000000"/>
                <w:sz w:val="21"/>
                <w:u w:val="none"/>
              </w:rPr>
              <w:t>113,673</w:t>
            </w:r>
          </w:p>
        </w:tc>
        <w:tc>
          <w:tcPr>
            <w:tcW w:type="dxa" w:w="2551"/>
          </w:tcPr>
          <w:p>
            <w:pPr>
              <w:spacing w:line="240" w:lineRule="auto"/>
              <w:jc w:val="left"/>
            </w:pPr>
            <w:r>
              <w:rPr>
                <w:rFonts w:ascii="Times New Roman" w:hAnsi="Times New Roman" w:cs="Times New Roman" w:eastAsia="宋体"/>
                <w:b w:val="0"/>
                <w:i w:val="0"/>
                <w:color w:val="000000"/>
                <w:sz w:val="21"/>
                <w:u w:val="none"/>
              </w:rPr>
              <w:t>98.92</w:t>
            </w:r>
          </w:p>
        </w:tc>
      </w:tr>
    </w:tbl>
    <w:p>
      <w:pPr>
        <w:spacing w:line="300" w:lineRule="auto"/>
        <w:ind w:firstLine="480"/>
        <w:jc w:val="both"/>
      </w:pPr>
      <w:r>
        <w:rPr>
          <w:rFonts w:ascii="Times New Roman" w:hAnsi="Times New Roman" w:cs="Times New Roman" w:eastAsia="宋体"/>
          <w:b w:val="0"/>
          <w:i w:val="0"/>
          <w:color w:val="000000"/>
          <w:sz w:val="24"/>
          <w:u w:val="none"/>
        </w:rPr>
        <w:t>注：N = 114,915 条评论，361 个自然日。</w:t>
      </w:r>
    </w:p>
    <w:p>
      <w:pPr>
        <w:pStyle w:val="Heading3"/>
        <w:spacing w:line="240" w:lineRule="auto" w:before="240" w:after="240"/>
        <w:jc w:val="left"/>
      </w:pPr>
      <w:r>
        <w:rPr>
          <w:rFonts w:ascii="Times New Roman" w:hAnsi="Times New Roman" w:cs="Times New Roman" w:eastAsia="黑体"/>
          <w:b/>
          <w:i w:val="0"/>
          <w:color w:val="000000"/>
          <w:sz w:val="24"/>
          <w:u w:val="none"/>
        </w:rPr>
        <w:t>4.1.1 职业不安全感类别分布</w:t>
      </w:r>
    </w:p>
    <w:p>
      <w:pPr>
        <w:spacing w:line="300" w:lineRule="auto"/>
        <w:ind w:firstLine="480"/>
        <w:jc w:val="both"/>
      </w:pPr>
      <w:r>
        <w:rPr>
          <w:rFonts w:ascii="Times New Roman" w:hAnsi="Times New Roman" w:cs="Times New Roman" w:eastAsia="宋体"/>
          <w:b w:val="0"/>
          <w:i w:val="0"/>
          <w:color w:val="000000"/>
          <w:sz w:val="24"/>
          <w:u w:val="none"/>
        </w:rPr>
        <w:t>采用基于词典的关键词匹配方法识别职业不安全感表达，共识别 1,242 条评论包含职业不安全感关键词，占总体样本的 1.08%。表 2 展示职业不安全感的类别分布。</w:t>
      </w:r>
    </w:p>
    <w:p>
      <w:pPr>
        <w:spacing w:line="300" w:lineRule="auto"/>
        <w:jc w:val="center"/>
      </w:pPr>
      <w:r>
        <w:rPr>
          <w:rFonts w:ascii="Times New Roman" w:hAnsi="Times New Roman" w:cs="Times New Roman" w:eastAsia="宋体"/>
          <w:b/>
          <w:i w:val="0"/>
          <w:color w:val="000000"/>
          <w:sz w:val="24"/>
          <w:u w:val="none"/>
        </w:rPr>
        <w:t>表 2 职业不安全感类别分布（N = 1,242）</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tcPr>
          <w:p>
            <w:pPr>
              <w:spacing w:line="240" w:lineRule="auto"/>
              <w:jc w:val="center"/>
            </w:pPr>
            <w:r>
              <w:rPr>
                <w:rFonts w:ascii="Times New Roman" w:hAnsi="Times New Roman" w:cs="Times New Roman" w:eastAsia="宋体"/>
                <w:b/>
                <w:i w:val="0"/>
                <w:color w:val="000000"/>
                <w:sz w:val="21"/>
                <w:u w:val="none"/>
              </w:rPr>
              <w:t>类别</w:t>
            </w:r>
          </w:p>
        </w:tc>
        <w:tc>
          <w:tcPr>
            <w:tcW w:type="dxa" w:w="2551"/>
          </w:tcPr>
          <w:p>
            <w:pPr>
              <w:spacing w:line="240" w:lineRule="auto"/>
              <w:jc w:val="center"/>
            </w:pPr>
            <w:r>
              <w:rPr>
                <w:rFonts w:ascii="Times New Roman" w:hAnsi="Times New Roman" w:cs="Times New Roman" w:eastAsia="宋体"/>
                <w:b/>
                <w:i w:val="0"/>
                <w:color w:val="000000"/>
                <w:sz w:val="21"/>
                <w:u w:val="none"/>
              </w:rPr>
              <w:t>评论数</w:t>
            </w:r>
          </w:p>
        </w:tc>
        <w:tc>
          <w:tcPr>
            <w:tcW w:type="dxa" w:w="2551"/>
          </w:tcPr>
          <w:p>
            <w:pPr>
              <w:spacing w:line="240" w:lineRule="auto"/>
              <w:jc w:val="center"/>
            </w:pPr>
            <w:r>
              <w:rPr>
                <w:rFonts w:ascii="Times New Roman" w:hAnsi="Times New Roman" w:cs="Times New Roman" w:eastAsia="宋体"/>
                <w:b/>
                <w:i w:val="0"/>
                <w:color w:val="000000"/>
                <w:sz w:val="21"/>
                <w:u w:val="none"/>
              </w:rPr>
              <w:t>占比 (%)</w:t>
            </w:r>
          </w:p>
        </w:tc>
        <w:tc>
          <w:tcPr>
            <w:tcW w:type="dxa" w:w="2551"/>
          </w:tcPr>
          <w:p>
            <w:pPr>
              <w:spacing w:line="240" w:lineRule="auto"/>
              <w:jc w:val="center"/>
            </w:pPr>
            <w:r>
              <w:rPr>
                <w:rFonts w:ascii="Times New Roman" w:hAnsi="Times New Roman" w:cs="Times New Roman" w:eastAsia="宋体"/>
                <w:b/>
                <w:i w:val="0"/>
                <w:color w:val="000000"/>
                <w:sz w:val="21"/>
                <w:u w:val="none"/>
              </w:rPr>
              <w:t>示例关键词</w:t>
            </w:r>
          </w:p>
        </w:tc>
      </w:tr>
      <w:tr>
        <w:tc>
          <w:tcPr>
            <w:tcW w:type="dxa" w:w="2551"/>
          </w:tcPr>
          <w:p>
            <w:pPr>
              <w:spacing w:line="240" w:lineRule="auto"/>
              <w:jc w:val="left"/>
            </w:pPr>
            <w:r>
              <w:rPr>
                <w:rFonts w:ascii="Times New Roman" w:hAnsi="Times New Roman" w:cs="Times New Roman" w:eastAsia="宋体"/>
                <w:b w:val="0"/>
                <w:i w:val="0"/>
                <w:color w:val="000000"/>
                <w:sz w:val="21"/>
                <w:u w:val="none"/>
              </w:rPr>
              <w:t>失业担忧</w:t>
            </w:r>
          </w:p>
        </w:tc>
        <w:tc>
          <w:tcPr>
            <w:tcW w:type="dxa" w:w="2551"/>
          </w:tcPr>
          <w:p>
            <w:pPr>
              <w:spacing w:line="240" w:lineRule="auto"/>
              <w:jc w:val="left"/>
            </w:pPr>
            <w:r>
              <w:rPr>
                <w:rFonts w:ascii="Times New Roman" w:hAnsi="Times New Roman" w:cs="Times New Roman" w:eastAsia="宋体"/>
                <w:b w:val="0"/>
                <w:i w:val="0"/>
                <w:color w:val="000000"/>
                <w:sz w:val="21"/>
                <w:u w:val="none"/>
              </w:rPr>
              <w:t>636</w:t>
            </w:r>
          </w:p>
        </w:tc>
        <w:tc>
          <w:tcPr>
            <w:tcW w:type="dxa" w:w="2551"/>
          </w:tcPr>
          <w:p>
            <w:pPr>
              <w:spacing w:line="240" w:lineRule="auto"/>
              <w:jc w:val="left"/>
            </w:pPr>
            <w:r>
              <w:rPr>
                <w:rFonts w:ascii="Times New Roman" w:hAnsi="Times New Roman" w:cs="Times New Roman" w:eastAsia="宋体"/>
                <w:b w:val="0"/>
                <w:i w:val="0"/>
                <w:color w:val="000000"/>
                <w:sz w:val="21"/>
                <w:u w:val="none"/>
              </w:rPr>
              <w:t>51.2</w:t>
            </w:r>
          </w:p>
        </w:tc>
        <w:tc>
          <w:tcPr>
            <w:tcW w:type="dxa" w:w="2551"/>
          </w:tcPr>
          <w:p>
            <w:pPr>
              <w:spacing w:line="240" w:lineRule="auto"/>
              <w:jc w:val="left"/>
            </w:pPr>
            <w:r>
              <w:rPr>
                <w:rFonts w:ascii="Times New Roman" w:hAnsi="Times New Roman" w:cs="Times New Roman" w:eastAsia="宋体"/>
                <w:b w:val="0"/>
                <w:i w:val="0"/>
                <w:color w:val="000000"/>
                <w:sz w:val="21"/>
                <w:u w:val="none"/>
              </w:rPr>
              <w:t>"失业"、"下岗"、"裁员"</w:t>
            </w:r>
          </w:p>
        </w:tc>
      </w:tr>
      <w:tr>
        <w:tc>
          <w:tcPr>
            <w:tcW w:type="dxa" w:w="2551"/>
          </w:tcPr>
          <w:p>
            <w:pPr>
              <w:spacing w:line="240" w:lineRule="auto"/>
              <w:jc w:val="left"/>
            </w:pPr>
            <w:r>
              <w:rPr>
                <w:rFonts w:ascii="Times New Roman" w:hAnsi="Times New Roman" w:cs="Times New Roman" w:eastAsia="宋体"/>
                <w:b w:val="0"/>
                <w:i w:val="0"/>
                <w:color w:val="000000"/>
                <w:sz w:val="21"/>
                <w:u w:val="none"/>
              </w:rPr>
              <w:t>替代焦虑</w:t>
            </w:r>
          </w:p>
        </w:tc>
        <w:tc>
          <w:tcPr>
            <w:tcW w:type="dxa" w:w="2551"/>
          </w:tcPr>
          <w:p>
            <w:pPr>
              <w:spacing w:line="240" w:lineRule="auto"/>
              <w:jc w:val="left"/>
            </w:pPr>
            <w:r>
              <w:rPr>
                <w:rFonts w:ascii="Times New Roman" w:hAnsi="Times New Roman" w:cs="Times New Roman" w:eastAsia="宋体"/>
                <w:b w:val="0"/>
                <w:i w:val="0"/>
                <w:color w:val="000000"/>
                <w:sz w:val="21"/>
                <w:u w:val="none"/>
              </w:rPr>
              <w:t>428</w:t>
            </w:r>
          </w:p>
        </w:tc>
        <w:tc>
          <w:tcPr>
            <w:tcW w:type="dxa" w:w="2551"/>
          </w:tcPr>
          <w:p>
            <w:pPr>
              <w:spacing w:line="240" w:lineRule="auto"/>
              <w:jc w:val="left"/>
            </w:pPr>
            <w:r>
              <w:rPr>
                <w:rFonts w:ascii="Times New Roman" w:hAnsi="Times New Roman" w:cs="Times New Roman" w:eastAsia="宋体"/>
                <w:b w:val="0"/>
                <w:i w:val="0"/>
                <w:color w:val="000000"/>
                <w:sz w:val="21"/>
                <w:u w:val="none"/>
              </w:rPr>
              <w:t>34.5</w:t>
            </w:r>
          </w:p>
        </w:tc>
        <w:tc>
          <w:tcPr>
            <w:tcW w:type="dxa" w:w="2551"/>
          </w:tcPr>
          <w:p>
            <w:pPr>
              <w:spacing w:line="240" w:lineRule="auto"/>
              <w:jc w:val="left"/>
            </w:pPr>
            <w:r>
              <w:rPr>
                <w:rFonts w:ascii="Times New Roman" w:hAnsi="Times New Roman" w:cs="Times New Roman" w:eastAsia="宋体"/>
                <w:b w:val="0"/>
                <w:i w:val="0"/>
                <w:color w:val="000000"/>
                <w:sz w:val="21"/>
                <w:u w:val="none"/>
              </w:rPr>
              <w:t>"替代"、"取代"、"淘汰"</w:t>
            </w:r>
          </w:p>
        </w:tc>
      </w:tr>
      <w:tr>
        <w:tc>
          <w:tcPr>
            <w:tcW w:type="dxa" w:w="2551"/>
          </w:tcPr>
          <w:p>
            <w:pPr>
              <w:spacing w:line="240" w:lineRule="auto"/>
              <w:jc w:val="left"/>
            </w:pPr>
            <w:r>
              <w:rPr>
                <w:rFonts w:ascii="Times New Roman" w:hAnsi="Times New Roman" w:cs="Times New Roman" w:eastAsia="宋体"/>
                <w:b w:val="0"/>
                <w:i w:val="0"/>
                <w:color w:val="000000"/>
                <w:sz w:val="21"/>
                <w:u w:val="none"/>
              </w:rPr>
              <w:t>技能过时</w:t>
            </w:r>
          </w:p>
        </w:tc>
        <w:tc>
          <w:tcPr>
            <w:tcW w:type="dxa" w:w="2551"/>
          </w:tcPr>
          <w:p>
            <w:pPr>
              <w:spacing w:line="240" w:lineRule="auto"/>
              <w:jc w:val="left"/>
            </w:pPr>
            <w:r>
              <w:rPr>
                <w:rFonts w:ascii="Times New Roman" w:hAnsi="Times New Roman" w:cs="Times New Roman" w:eastAsia="宋体"/>
                <w:b w:val="0"/>
                <w:i w:val="0"/>
                <w:color w:val="000000"/>
                <w:sz w:val="21"/>
                <w:u w:val="none"/>
              </w:rPr>
              <w:t>168</w:t>
            </w:r>
          </w:p>
        </w:tc>
        <w:tc>
          <w:tcPr>
            <w:tcW w:type="dxa" w:w="2551"/>
          </w:tcPr>
          <w:p>
            <w:pPr>
              <w:spacing w:line="240" w:lineRule="auto"/>
              <w:jc w:val="left"/>
            </w:pPr>
            <w:r>
              <w:rPr>
                <w:rFonts w:ascii="Times New Roman" w:hAnsi="Times New Roman" w:cs="Times New Roman" w:eastAsia="宋体"/>
                <w:b w:val="0"/>
                <w:i w:val="0"/>
                <w:color w:val="000000"/>
                <w:sz w:val="21"/>
                <w:u w:val="none"/>
              </w:rPr>
              <w:t>13.5</w:t>
            </w:r>
          </w:p>
        </w:tc>
        <w:tc>
          <w:tcPr>
            <w:tcW w:type="dxa" w:w="2551"/>
          </w:tcPr>
          <w:p>
            <w:pPr>
              <w:spacing w:line="240" w:lineRule="auto"/>
              <w:jc w:val="left"/>
            </w:pPr>
            <w:r>
              <w:rPr>
                <w:rFonts w:ascii="Times New Roman" w:hAnsi="Times New Roman" w:cs="Times New Roman" w:eastAsia="宋体"/>
                <w:b w:val="0"/>
                <w:i w:val="0"/>
                <w:color w:val="000000"/>
                <w:sz w:val="21"/>
                <w:u w:val="none"/>
              </w:rPr>
              <w:t>"过时"、"落伍"、"跟不上"</w:t>
            </w:r>
          </w:p>
        </w:tc>
      </w:tr>
      <w:tr>
        <w:tc>
          <w:tcPr>
            <w:tcW w:type="dxa" w:w="2551"/>
          </w:tcPr>
          <w:p>
            <w:pPr>
              <w:spacing w:line="240" w:lineRule="auto"/>
              <w:jc w:val="left"/>
            </w:pPr>
            <w:r>
              <w:rPr>
                <w:rFonts w:ascii="Times New Roman" w:hAnsi="Times New Roman" w:cs="Times New Roman" w:eastAsia="宋体"/>
                <w:b w:val="0"/>
                <w:i w:val="0"/>
                <w:color w:val="000000"/>
                <w:sz w:val="21"/>
                <w:u w:val="none"/>
              </w:rPr>
              <w:t>职业焦虑</w:t>
            </w:r>
          </w:p>
        </w:tc>
        <w:tc>
          <w:tcPr>
            <w:tcW w:type="dxa" w:w="2551"/>
          </w:tcPr>
          <w:p>
            <w:pPr>
              <w:spacing w:line="240" w:lineRule="auto"/>
              <w:jc w:val="left"/>
            </w:pPr>
            <w:r>
              <w:rPr>
                <w:rFonts w:ascii="Times New Roman" w:hAnsi="Times New Roman" w:cs="Times New Roman" w:eastAsia="宋体"/>
                <w:b w:val="0"/>
                <w:i w:val="0"/>
                <w:color w:val="000000"/>
                <w:sz w:val="21"/>
                <w:u w:val="none"/>
              </w:rPr>
              <w:t>44</w:t>
            </w:r>
          </w:p>
        </w:tc>
        <w:tc>
          <w:tcPr>
            <w:tcW w:type="dxa" w:w="2551"/>
          </w:tcPr>
          <w:p>
            <w:pPr>
              <w:spacing w:line="240" w:lineRule="auto"/>
              <w:jc w:val="left"/>
            </w:pPr>
            <w:r>
              <w:rPr>
                <w:rFonts w:ascii="Times New Roman" w:hAnsi="Times New Roman" w:cs="Times New Roman" w:eastAsia="宋体"/>
                <w:b w:val="0"/>
                <w:i w:val="0"/>
                <w:color w:val="000000"/>
                <w:sz w:val="21"/>
                <w:u w:val="none"/>
              </w:rPr>
              <w:t>3.5</w:t>
            </w:r>
          </w:p>
        </w:tc>
        <w:tc>
          <w:tcPr>
            <w:tcW w:type="dxa" w:w="2551"/>
          </w:tcPr>
          <w:p>
            <w:pPr>
              <w:spacing w:line="240" w:lineRule="auto"/>
              <w:jc w:val="left"/>
            </w:pPr>
            <w:r>
              <w:rPr>
                <w:rFonts w:ascii="Times New Roman" w:hAnsi="Times New Roman" w:cs="Times New Roman" w:eastAsia="宋体"/>
                <w:b w:val="0"/>
                <w:i w:val="0"/>
                <w:color w:val="000000"/>
                <w:sz w:val="21"/>
                <w:u w:val="none"/>
              </w:rPr>
              <w:t>"焦虑"、"迷茫"、"压力"</w:t>
            </w:r>
          </w:p>
        </w:tc>
      </w:tr>
      <w:tr>
        <w:tc>
          <w:tcPr>
            <w:tcW w:type="dxa" w:w="2551"/>
          </w:tcPr>
          <w:p>
            <w:pPr>
              <w:spacing w:line="240" w:lineRule="auto"/>
              <w:jc w:val="left"/>
            </w:pPr>
            <w:r>
              <w:rPr>
                <w:rFonts w:ascii="Times New Roman" w:hAnsi="Times New Roman" w:cs="Times New Roman" w:eastAsia="宋体"/>
                <w:b w:val="0"/>
                <w:i w:val="0"/>
                <w:color w:val="000000"/>
                <w:sz w:val="21"/>
                <w:u w:val="none"/>
              </w:rPr>
              <w:t>未来担忧</w:t>
            </w:r>
          </w:p>
        </w:tc>
        <w:tc>
          <w:tcPr>
            <w:tcW w:type="dxa" w:w="2551"/>
          </w:tcPr>
          <w:p>
            <w:pPr>
              <w:spacing w:line="240" w:lineRule="auto"/>
              <w:jc w:val="left"/>
            </w:pPr>
            <w:r>
              <w:rPr>
                <w:rFonts w:ascii="Times New Roman" w:hAnsi="Times New Roman" w:cs="Times New Roman" w:eastAsia="宋体"/>
                <w:b w:val="0"/>
                <w:i w:val="0"/>
                <w:color w:val="000000"/>
                <w:sz w:val="21"/>
                <w:u w:val="none"/>
              </w:rPr>
              <w:t>27</w:t>
            </w:r>
          </w:p>
        </w:tc>
        <w:tc>
          <w:tcPr>
            <w:tcW w:type="dxa" w:w="2551"/>
          </w:tcPr>
          <w:p>
            <w:pPr>
              <w:spacing w:line="240" w:lineRule="auto"/>
              <w:jc w:val="left"/>
            </w:pPr>
            <w:r>
              <w:rPr>
                <w:rFonts w:ascii="Times New Roman" w:hAnsi="Times New Roman" w:cs="Times New Roman" w:eastAsia="宋体"/>
                <w:b w:val="0"/>
                <w:i w:val="0"/>
                <w:color w:val="000000"/>
                <w:sz w:val="21"/>
                <w:u w:val="none"/>
              </w:rPr>
              <w:t>2.2</w:t>
            </w:r>
          </w:p>
        </w:tc>
        <w:tc>
          <w:tcPr>
            <w:tcW w:type="dxa" w:w="2551"/>
          </w:tcPr>
          <w:p>
            <w:pPr>
              <w:spacing w:line="240" w:lineRule="auto"/>
              <w:jc w:val="left"/>
            </w:pPr>
            <w:r>
              <w:rPr>
                <w:rFonts w:ascii="Times New Roman" w:hAnsi="Times New Roman" w:cs="Times New Roman" w:eastAsia="宋体"/>
                <w:b w:val="0"/>
                <w:i w:val="0"/>
                <w:color w:val="000000"/>
                <w:sz w:val="21"/>
                <w:u w:val="none"/>
              </w:rPr>
              <w:t>"未来"、"前景"、"出路"</w:t>
            </w:r>
          </w:p>
        </w:tc>
      </w:tr>
    </w:tbl>
    <w:p>
      <w:pPr>
        <w:spacing w:line="300" w:lineRule="auto"/>
        <w:ind w:firstLine="480"/>
        <w:jc w:val="both"/>
      </w:pPr>
      <w:r>
        <w:rPr>
          <w:rFonts w:ascii="Times New Roman" w:hAnsi="Times New Roman" w:cs="Times New Roman" w:eastAsia="宋体"/>
          <w:b w:val="0"/>
          <w:i w:val="0"/>
          <w:color w:val="000000"/>
          <w:sz w:val="24"/>
          <w:u w:val="none"/>
        </w:rPr>
        <w:t>注：部分评论包含多个类别关键词，总占比超过 100%。</w:t>
      </w:r>
    </w:p>
    <w:p>
      <w:pPr>
        <w:pStyle w:val="Heading3"/>
        <w:spacing w:line="240" w:lineRule="auto" w:before="240" w:after="240"/>
        <w:jc w:val="left"/>
      </w:pPr>
      <w:r>
        <w:rPr>
          <w:rFonts w:ascii="Times New Roman" w:hAnsi="Times New Roman" w:cs="Times New Roman" w:eastAsia="黑体"/>
          <w:b/>
          <w:i w:val="0"/>
          <w:color w:val="000000"/>
          <w:sz w:val="24"/>
          <w:u w:val="none"/>
        </w:rPr>
        <w:t>4.1.2 平台覆盖率</w:t>
      </w:r>
    </w:p>
    <w:p>
      <w:pPr>
        <w:spacing w:line="300" w:lineRule="auto"/>
        <w:ind w:firstLine="480"/>
        <w:jc w:val="both"/>
      </w:pPr>
      <w:r>
        <w:rPr>
          <w:rFonts w:ascii="Times New Roman" w:hAnsi="Times New Roman" w:cs="Times New Roman" w:eastAsia="宋体"/>
          <w:b w:val="0"/>
          <w:i w:val="0"/>
          <w:color w:val="000000"/>
          <w:sz w:val="24"/>
          <w:u w:val="none"/>
        </w:rPr>
        <w:t>各平台的日期覆盖存在显著差异（表 3）。哔哩哔哩覆盖全部 361 天，提供完整的时间序列数据。知乎覆盖 75 天（20.8%），时间跨度有限。小红书仅覆盖 3 天（0.8%），样本量过小，不适合进行独立的统计推断。</w:t>
      </w:r>
    </w:p>
    <w:p>
      <w:pPr>
        <w:spacing w:line="300" w:lineRule="auto"/>
        <w:jc w:val="center"/>
      </w:pPr>
      <w:r>
        <w:rPr>
          <w:rFonts w:ascii="Times New Roman" w:hAnsi="Times New Roman" w:cs="Times New Roman" w:eastAsia="宋体"/>
          <w:b/>
          <w:i w:val="0"/>
          <w:color w:val="000000"/>
          <w:sz w:val="24"/>
          <w:u w:val="none"/>
        </w:rPr>
        <w:t>表 3 各平台日期覆盖情况</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2041"/>
          </w:tcPr>
          <w:p>
            <w:pPr>
              <w:spacing w:line="240" w:lineRule="auto"/>
              <w:jc w:val="center"/>
            </w:pPr>
            <w:r>
              <w:rPr>
                <w:rFonts w:ascii="Times New Roman" w:hAnsi="Times New Roman" w:cs="Times New Roman" w:eastAsia="宋体"/>
                <w:b/>
                <w:i w:val="0"/>
                <w:color w:val="000000"/>
                <w:sz w:val="21"/>
                <w:u w:val="none"/>
              </w:rPr>
              <w:t>平台</w:t>
            </w:r>
          </w:p>
        </w:tc>
        <w:tc>
          <w:tcPr>
            <w:tcW w:type="dxa" w:w="2041"/>
          </w:tcPr>
          <w:p>
            <w:pPr>
              <w:spacing w:line="240" w:lineRule="auto"/>
              <w:jc w:val="center"/>
            </w:pPr>
            <w:r>
              <w:rPr>
                <w:rFonts w:ascii="Times New Roman" w:hAnsi="Times New Roman" w:cs="Times New Roman" w:eastAsia="宋体"/>
                <w:b/>
                <w:i w:val="0"/>
                <w:color w:val="000000"/>
                <w:sz w:val="21"/>
                <w:u w:val="none"/>
              </w:rPr>
              <w:t>日期数</w:t>
            </w:r>
          </w:p>
        </w:tc>
        <w:tc>
          <w:tcPr>
            <w:tcW w:type="dxa" w:w="2041"/>
          </w:tcPr>
          <w:p>
            <w:pPr>
              <w:spacing w:line="240" w:lineRule="auto"/>
              <w:jc w:val="center"/>
            </w:pPr>
            <w:r>
              <w:rPr>
                <w:rFonts w:ascii="Times New Roman" w:hAnsi="Times New Roman" w:cs="Times New Roman" w:eastAsia="宋体"/>
                <w:b/>
                <w:i w:val="0"/>
                <w:color w:val="000000"/>
                <w:sz w:val="21"/>
                <w:u w:val="none"/>
              </w:rPr>
              <w:t>评论数</w:t>
            </w:r>
          </w:p>
        </w:tc>
        <w:tc>
          <w:tcPr>
            <w:tcW w:type="dxa" w:w="2041"/>
          </w:tcPr>
          <w:p>
            <w:pPr>
              <w:spacing w:line="240" w:lineRule="auto"/>
              <w:jc w:val="center"/>
            </w:pPr>
            <w:r>
              <w:rPr>
                <w:rFonts w:ascii="Times New Roman" w:hAnsi="Times New Roman" w:cs="Times New Roman" w:eastAsia="宋体"/>
                <w:b/>
                <w:i w:val="0"/>
                <w:color w:val="000000"/>
                <w:sz w:val="21"/>
                <w:u w:val="none"/>
              </w:rPr>
              <w:t>不安全感评论</w:t>
            </w:r>
          </w:p>
        </w:tc>
        <w:tc>
          <w:tcPr>
            <w:tcW w:type="dxa" w:w="2041"/>
          </w:tcPr>
          <w:p>
            <w:pPr>
              <w:spacing w:line="240" w:lineRule="auto"/>
              <w:jc w:val="center"/>
            </w:pPr>
            <w:r>
              <w:rPr>
                <w:rFonts w:ascii="Times New Roman" w:hAnsi="Times New Roman" w:cs="Times New Roman" w:eastAsia="宋体"/>
                <w:b/>
                <w:i w:val="0"/>
                <w:color w:val="000000"/>
                <w:sz w:val="21"/>
                <w:u w:val="none"/>
              </w:rPr>
              <w:t>表达率 (%)</w:t>
            </w:r>
          </w:p>
        </w:tc>
      </w:tr>
      <w:tr>
        <w:tc>
          <w:tcPr>
            <w:tcW w:type="dxa" w:w="2041"/>
          </w:tcPr>
          <w:p>
            <w:pPr>
              <w:spacing w:line="240" w:lineRule="auto"/>
              <w:jc w:val="left"/>
            </w:pPr>
            <w:r>
              <w:rPr>
                <w:rFonts w:ascii="Times New Roman" w:hAnsi="Times New Roman" w:cs="Times New Roman" w:eastAsia="宋体"/>
                <w:b w:val="0"/>
                <w:i w:val="0"/>
                <w:color w:val="000000"/>
                <w:sz w:val="21"/>
                <w:u w:val="none"/>
              </w:rPr>
              <w:t>哔哩哔哩</w:t>
            </w:r>
          </w:p>
        </w:tc>
        <w:tc>
          <w:tcPr>
            <w:tcW w:type="dxa" w:w="2041"/>
          </w:tcPr>
          <w:p>
            <w:pPr>
              <w:spacing w:line="240" w:lineRule="auto"/>
              <w:jc w:val="left"/>
            </w:pPr>
            <w:r>
              <w:rPr>
                <w:rFonts w:ascii="Times New Roman" w:hAnsi="Times New Roman" w:cs="Times New Roman" w:eastAsia="宋体"/>
                <w:b w:val="0"/>
                <w:i w:val="0"/>
                <w:color w:val="000000"/>
                <w:sz w:val="21"/>
                <w:u w:val="none"/>
              </w:rPr>
              <w:t>361</w:t>
            </w:r>
          </w:p>
        </w:tc>
        <w:tc>
          <w:tcPr>
            <w:tcW w:type="dxa" w:w="2041"/>
          </w:tcPr>
          <w:p>
            <w:pPr>
              <w:spacing w:line="240" w:lineRule="auto"/>
              <w:jc w:val="left"/>
            </w:pPr>
            <w:r>
              <w:rPr>
                <w:rFonts w:ascii="Times New Roman" w:hAnsi="Times New Roman" w:cs="Times New Roman" w:eastAsia="宋体"/>
                <w:b w:val="0"/>
                <w:i w:val="0"/>
                <w:color w:val="000000"/>
                <w:sz w:val="21"/>
                <w:u w:val="none"/>
              </w:rPr>
              <w:t>101,540</w:t>
            </w:r>
          </w:p>
        </w:tc>
        <w:tc>
          <w:tcPr>
            <w:tcW w:type="dxa" w:w="2041"/>
          </w:tcPr>
          <w:p>
            <w:pPr>
              <w:spacing w:line="240" w:lineRule="auto"/>
              <w:jc w:val="left"/>
            </w:pPr>
            <w:r>
              <w:rPr>
                <w:rFonts w:ascii="Times New Roman" w:hAnsi="Times New Roman" w:cs="Times New Roman" w:eastAsia="宋体"/>
                <w:b w:val="0"/>
                <w:i w:val="0"/>
                <w:color w:val="000000"/>
                <w:sz w:val="21"/>
                <w:u w:val="none"/>
              </w:rPr>
              <w:t>870</w:t>
            </w:r>
          </w:p>
        </w:tc>
        <w:tc>
          <w:tcPr>
            <w:tcW w:type="dxa" w:w="2041"/>
          </w:tcPr>
          <w:p>
            <w:pPr>
              <w:spacing w:line="240" w:lineRule="auto"/>
              <w:jc w:val="left"/>
            </w:pPr>
            <w:r>
              <w:rPr>
                <w:rFonts w:ascii="Times New Roman" w:hAnsi="Times New Roman" w:cs="Times New Roman" w:eastAsia="宋体"/>
                <w:b w:val="0"/>
                <w:i w:val="0"/>
                <w:color w:val="000000"/>
                <w:sz w:val="21"/>
                <w:u w:val="none"/>
              </w:rPr>
              <w:t>0.86</w:t>
            </w:r>
          </w:p>
        </w:tc>
      </w:tr>
      <w:tr>
        <w:tc>
          <w:tcPr>
            <w:tcW w:type="dxa" w:w="2041"/>
          </w:tcPr>
          <w:p>
            <w:pPr>
              <w:spacing w:line="240" w:lineRule="auto"/>
              <w:jc w:val="left"/>
            </w:pPr>
            <w:r>
              <w:rPr>
                <w:rFonts w:ascii="Times New Roman" w:hAnsi="Times New Roman" w:cs="Times New Roman" w:eastAsia="宋体"/>
                <w:b w:val="0"/>
                <w:i w:val="0"/>
                <w:color w:val="000000"/>
                <w:sz w:val="21"/>
                <w:u w:val="none"/>
              </w:rPr>
              <w:t>知乎</w:t>
            </w:r>
          </w:p>
        </w:tc>
        <w:tc>
          <w:tcPr>
            <w:tcW w:type="dxa" w:w="2041"/>
          </w:tcPr>
          <w:p>
            <w:pPr>
              <w:spacing w:line="240" w:lineRule="auto"/>
              <w:jc w:val="left"/>
            </w:pPr>
            <w:r>
              <w:rPr>
                <w:rFonts w:ascii="Times New Roman" w:hAnsi="Times New Roman" w:cs="Times New Roman" w:eastAsia="宋体"/>
                <w:b w:val="0"/>
                <w:i w:val="0"/>
                <w:color w:val="000000"/>
                <w:sz w:val="21"/>
                <w:u w:val="none"/>
              </w:rPr>
              <w:t>75</w:t>
            </w:r>
          </w:p>
        </w:tc>
        <w:tc>
          <w:tcPr>
            <w:tcW w:type="dxa" w:w="2041"/>
          </w:tcPr>
          <w:p>
            <w:pPr>
              <w:spacing w:line="240" w:lineRule="auto"/>
              <w:jc w:val="left"/>
            </w:pPr>
            <w:r>
              <w:rPr>
                <w:rFonts w:ascii="Times New Roman" w:hAnsi="Times New Roman" w:cs="Times New Roman" w:eastAsia="宋体"/>
                <w:b w:val="0"/>
                <w:i w:val="0"/>
                <w:color w:val="000000"/>
                <w:sz w:val="21"/>
                <w:u w:val="none"/>
              </w:rPr>
              <w:t>13,233</w:t>
            </w:r>
          </w:p>
        </w:tc>
        <w:tc>
          <w:tcPr>
            <w:tcW w:type="dxa" w:w="2041"/>
          </w:tcPr>
          <w:p>
            <w:pPr>
              <w:spacing w:line="240" w:lineRule="auto"/>
              <w:jc w:val="left"/>
            </w:pPr>
            <w:r>
              <w:rPr>
                <w:rFonts w:ascii="Times New Roman" w:hAnsi="Times New Roman" w:cs="Times New Roman" w:eastAsia="宋体"/>
                <w:b w:val="0"/>
                <w:i w:val="0"/>
                <w:color w:val="000000"/>
                <w:sz w:val="21"/>
                <w:u w:val="none"/>
              </w:rPr>
              <w:t>371</w:t>
            </w:r>
          </w:p>
        </w:tc>
        <w:tc>
          <w:tcPr>
            <w:tcW w:type="dxa" w:w="2041"/>
          </w:tcPr>
          <w:p>
            <w:pPr>
              <w:spacing w:line="240" w:lineRule="auto"/>
              <w:jc w:val="left"/>
            </w:pPr>
            <w:r>
              <w:rPr>
                <w:rFonts w:ascii="Times New Roman" w:hAnsi="Times New Roman" w:cs="Times New Roman" w:eastAsia="宋体"/>
                <w:b w:val="0"/>
                <w:i w:val="0"/>
                <w:color w:val="000000"/>
                <w:sz w:val="21"/>
                <w:u w:val="none"/>
              </w:rPr>
              <w:t>2.80</w:t>
            </w:r>
          </w:p>
        </w:tc>
      </w:tr>
      <w:tr>
        <w:tc>
          <w:tcPr>
            <w:tcW w:type="dxa" w:w="2041"/>
          </w:tcPr>
          <w:p>
            <w:pPr>
              <w:spacing w:line="240" w:lineRule="auto"/>
              <w:jc w:val="left"/>
            </w:pPr>
            <w:r>
              <w:rPr>
                <w:rFonts w:ascii="Times New Roman" w:hAnsi="Times New Roman" w:cs="Times New Roman" w:eastAsia="宋体"/>
                <w:b w:val="0"/>
                <w:i w:val="0"/>
                <w:color w:val="000000"/>
                <w:sz w:val="21"/>
                <w:u w:val="none"/>
              </w:rPr>
              <w:t>小红书</w:t>
            </w:r>
          </w:p>
        </w:tc>
        <w:tc>
          <w:tcPr>
            <w:tcW w:type="dxa" w:w="2041"/>
          </w:tcPr>
          <w:p>
            <w:pPr>
              <w:spacing w:line="240" w:lineRule="auto"/>
              <w:jc w:val="left"/>
            </w:pPr>
            <w:r>
              <w:rPr>
                <w:rFonts w:ascii="Times New Roman" w:hAnsi="Times New Roman" w:cs="Times New Roman" w:eastAsia="宋体"/>
                <w:b w:val="0"/>
                <w:i w:val="0"/>
                <w:color w:val="000000"/>
                <w:sz w:val="21"/>
                <w:u w:val="none"/>
              </w:rPr>
              <w:t>3</w:t>
            </w:r>
          </w:p>
        </w:tc>
        <w:tc>
          <w:tcPr>
            <w:tcW w:type="dxa" w:w="2041"/>
          </w:tcPr>
          <w:p>
            <w:pPr>
              <w:spacing w:line="240" w:lineRule="auto"/>
              <w:jc w:val="left"/>
            </w:pPr>
            <w:r>
              <w:rPr>
                <w:rFonts w:ascii="Times New Roman" w:hAnsi="Times New Roman" w:cs="Times New Roman" w:eastAsia="宋体"/>
                <w:b w:val="0"/>
                <w:i w:val="0"/>
                <w:color w:val="000000"/>
                <w:sz w:val="21"/>
                <w:u w:val="none"/>
              </w:rPr>
              <w:t>142</w:t>
            </w:r>
          </w:p>
        </w:tc>
        <w:tc>
          <w:tcPr>
            <w:tcW w:type="dxa" w:w="2041"/>
          </w:tcPr>
          <w:p>
            <w:pPr>
              <w:spacing w:line="240" w:lineRule="auto"/>
              <w:jc w:val="left"/>
            </w:pPr>
            <w:r>
              <w:rPr>
                <w:rFonts w:ascii="Times New Roman" w:hAnsi="Times New Roman" w:cs="Times New Roman" w:eastAsia="宋体"/>
                <w:b w:val="0"/>
                <w:i w:val="0"/>
                <w:color w:val="000000"/>
                <w:sz w:val="21"/>
                <w:u w:val="none"/>
              </w:rPr>
              <w:t>1</w:t>
            </w:r>
          </w:p>
        </w:tc>
        <w:tc>
          <w:tcPr>
            <w:tcW w:type="dxa" w:w="2041"/>
          </w:tcPr>
          <w:p>
            <w:pPr>
              <w:spacing w:line="240" w:lineRule="auto"/>
              <w:jc w:val="left"/>
            </w:pPr>
            <w:r>
              <w:rPr>
                <w:rFonts w:ascii="Times New Roman" w:hAnsi="Times New Roman" w:cs="Times New Roman" w:eastAsia="宋体"/>
                <w:b w:val="0"/>
                <w:i w:val="0"/>
                <w:color w:val="000000"/>
                <w:sz w:val="21"/>
                <w:u w:val="none"/>
              </w:rPr>
              <w:t>0.70</w:t>
            </w:r>
          </w:p>
        </w:tc>
      </w:tr>
    </w:tbl>
    <w:p>
      <w:pPr>
        <w:spacing w:line="300" w:lineRule="auto"/>
        <w:ind w:firstLine="480"/>
        <w:jc w:val="both"/>
      </w:pPr>
      <w:r>
        <w:rPr>
          <w:rFonts w:ascii="Times New Roman" w:hAnsi="Times New Roman" w:cs="Times New Roman" w:eastAsia="宋体"/>
          <w:b w:val="0"/>
          <w:i w:val="0"/>
          <w:color w:val="000000"/>
          <w:sz w:val="24"/>
          <w:u w:val="none"/>
        </w:rPr>
        <w:t>注：小红书样本量过小（仅 3 天、142 条评论），其表达率仅供参考，不进行统计推断。</w:t>
      </w:r>
    </w:p>
    <w:p>
      <w:pPr>
        <w:pStyle w:val="Heading2"/>
        <w:spacing w:line="240" w:lineRule="auto" w:before="240" w:after="240"/>
        <w:jc w:val="left"/>
      </w:pPr>
      <w:r>
        <w:rPr>
          <w:rFonts w:ascii="Times New Roman" w:hAnsi="Times New Roman" w:cs="Times New Roman" w:eastAsia="黑体"/>
          <w:b/>
          <w:i w:val="0"/>
          <w:color w:val="000000"/>
          <w:sz w:val="28"/>
          <w:u w:val="none"/>
        </w:rPr>
        <w:t>4.2 平台差异分析（H4）</w:t>
      </w:r>
    </w:p>
    <w:p>
      <w:pPr>
        <w:pStyle w:val="Heading3"/>
        <w:spacing w:line="240" w:lineRule="auto" w:before="240" w:after="240"/>
        <w:jc w:val="left"/>
      </w:pPr>
      <w:r>
        <w:rPr>
          <w:rFonts w:ascii="Times New Roman" w:hAnsi="Times New Roman" w:cs="Times New Roman" w:eastAsia="黑体"/>
          <w:b/>
          <w:i w:val="0"/>
          <w:color w:val="000000"/>
          <w:sz w:val="24"/>
          <w:u w:val="none"/>
        </w:rPr>
        <w:t>4.2.1 假设内容</w:t>
      </w:r>
    </w:p>
    <w:p>
      <w:pPr>
        <w:spacing w:line="300" w:lineRule="auto"/>
        <w:ind w:firstLine="480"/>
        <w:jc w:val="both"/>
      </w:pPr>
      <w:r>
        <w:rPr>
          <w:rFonts w:ascii="Times New Roman" w:hAnsi="Times New Roman" w:cs="Times New Roman" w:eastAsia="宋体"/>
          <w:b w:val="0"/>
          <w:i w:val="0"/>
          <w:color w:val="000000"/>
          <w:sz w:val="24"/>
          <w:u w:val="none"/>
        </w:rPr>
        <w:t>H4：不同社交媒体平台的职业不安全感表达水平存在差异。</w:t>
      </w:r>
    </w:p>
    <w:p>
      <w:pPr>
        <w:pStyle w:val="Heading3"/>
        <w:spacing w:line="240" w:lineRule="auto" w:before="240" w:after="240"/>
        <w:jc w:val="left"/>
      </w:pPr>
      <w:r>
        <w:rPr>
          <w:rFonts w:ascii="Times New Roman" w:hAnsi="Times New Roman" w:cs="Times New Roman" w:eastAsia="黑体"/>
          <w:b/>
          <w:i w:val="0"/>
          <w:color w:val="000000"/>
          <w:sz w:val="24"/>
          <w:u w:val="none"/>
        </w:rPr>
        <w:t>4.2.2 检验方法</w:t>
      </w:r>
    </w:p>
    <w:p>
      <w:pPr>
        <w:spacing w:line="300" w:lineRule="auto"/>
        <w:ind w:firstLine="480"/>
        <w:jc w:val="both"/>
      </w:pPr>
      <w:r>
        <w:rPr>
          <w:rFonts w:ascii="Times New Roman" w:hAnsi="Times New Roman" w:cs="Times New Roman" w:eastAsia="宋体"/>
          <w:b w:val="0"/>
          <w:i w:val="0"/>
          <w:color w:val="000000"/>
          <w:sz w:val="24"/>
          <w:u w:val="none"/>
        </w:rPr>
        <w:t>采用卡方检验比较不同平台的职业不安全感表达率。由于小红书样本量过小，正式统计比较仅限哔哩哔哩和知乎。</w:t>
      </w:r>
    </w:p>
    <w:p>
      <w:pPr>
        <w:pStyle w:val="Heading3"/>
        <w:spacing w:line="240" w:lineRule="auto" w:before="240" w:after="240"/>
        <w:jc w:val="left"/>
      </w:pPr>
      <w:r>
        <w:rPr>
          <w:rFonts w:ascii="Times New Roman" w:hAnsi="Times New Roman" w:cs="Times New Roman" w:eastAsia="黑体"/>
          <w:b/>
          <w:i w:val="0"/>
          <w:color w:val="000000"/>
          <w:sz w:val="24"/>
          <w:u w:val="none"/>
        </w:rPr>
        <w:t>4.2.3 结果</w:t>
      </w:r>
    </w:p>
    <w:p>
      <w:pPr>
        <w:spacing w:line="300" w:lineRule="auto"/>
        <w:ind w:firstLine="480"/>
        <w:jc w:val="both"/>
      </w:pPr>
      <w:r>
        <w:rPr>
          <w:rFonts w:ascii="Times New Roman" w:hAnsi="Times New Roman" w:cs="Times New Roman" w:eastAsia="宋体"/>
          <w:b w:val="0"/>
          <w:i w:val="0"/>
          <w:color w:val="000000"/>
          <w:sz w:val="24"/>
          <w:u w:val="none"/>
        </w:rPr>
        <w:t>描述性比较显示，知乎平台的职业不安全感表达率最高（2.80%，371/13,233），哔哩哔哩次之（0.86%，870/101,540），小红书最低（0.70%，1/142，但不具统计意义）。</w:t>
      </w:r>
    </w:p>
    <w:p>
      <w:pPr>
        <w:spacing w:line="300" w:lineRule="auto"/>
        <w:ind w:firstLine="480"/>
        <w:jc w:val="both"/>
      </w:pPr>
      <w:r>
        <w:rPr>
          <w:rFonts w:ascii="Times New Roman" w:hAnsi="Times New Roman" w:cs="Times New Roman" w:eastAsia="宋体"/>
          <w:b w:val="0"/>
          <w:i w:val="0"/>
          <w:color w:val="000000"/>
          <w:sz w:val="24"/>
          <w:u w:val="none"/>
        </w:rPr>
        <w:t>知乎的表达率是哔哩哔哩的 3.25 倍。这一差异可能反映：（1）知乎用户以知识型员工为主，对 AI 技术影响更为敏感；（2）知乎社区文化鼓励深度讨论和情绪表达；（3）平台用户画像差异（知乎用户教育水平更高）。</w:t>
      </w:r>
    </w:p>
    <w:p>
      <w:pPr>
        <w:pStyle w:val="Heading2"/>
        <w:spacing w:line="240" w:lineRule="auto" w:before="240" w:after="240"/>
        <w:jc w:val="left"/>
      </w:pPr>
      <w:r>
        <w:rPr>
          <w:rFonts w:ascii="Times New Roman" w:hAnsi="Times New Roman" w:cs="Times New Roman" w:eastAsia="黑体"/>
          <w:b/>
          <w:i w:val="0"/>
          <w:color w:val="000000"/>
          <w:sz w:val="28"/>
          <w:u w:val="none"/>
        </w:rPr>
        <w:t>4.3 时间趋势分析（H6）</w:t>
      </w:r>
    </w:p>
    <w:p>
      <w:pPr>
        <w:pStyle w:val="Heading3"/>
        <w:spacing w:line="240" w:lineRule="auto" w:before="240" w:after="240"/>
        <w:jc w:val="left"/>
      </w:pPr>
      <w:r>
        <w:rPr>
          <w:rFonts w:ascii="Times New Roman" w:hAnsi="Times New Roman" w:cs="Times New Roman" w:eastAsia="黑体"/>
          <w:b/>
          <w:i w:val="0"/>
          <w:color w:val="000000"/>
          <w:sz w:val="24"/>
          <w:u w:val="none"/>
        </w:rPr>
        <w:t>4.3.1 假设内容</w:t>
      </w:r>
    </w:p>
    <w:p>
      <w:pPr>
        <w:spacing w:line="300" w:lineRule="auto"/>
        <w:ind w:firstLine="480"/>
        <w:jc w:val="both"/>
      </w:pPr>
      <w:r>
        <w:rPr>
          <w:rFonts w:ascii="Times New Roman" w:hAnsi="Times New Roman" w:cs="Times New Roman" w:eastAsia="宋体"/>
          <w:b w:val="0"/>
          <w:i w:val="0"/>
          <w:color w:val="000000"/>
          <w:sz w:val="24"/>
          <w:u w:val="none"/>
        </w:rPr>
        <w:t>H6：研究期间职业不安全感表达呈现上升趋势。</w:t>
      </w:r>
    </w:p>
    <w:p>
      <w:pPr>
        <w:pStyle w:val="Heading3"/>
        <w:spacing w:line="240" w:lineRule="auto" w:before="240" w:after="240"/>
        <w:jc w:val="left"/>
      </w:pPr>
      <w:r>
        <w:rPr>
          <w:rFonts w:ascii="Times New Roman" w:hAnsi="Times New Roman" w:cs="Times New Roman" w:eastAsia="黑体"/>
          <w:b/>
          <w:i w:val="0"/>
          <w:color w:val="000000"/>
          <w:sz w:val="24"/>
          <w:u w:val="none"/>
        </w:rPr>
        <w:t>4.3.2 检验方法</w:t>
      </w:r>
    </w:p>
    <w:p>
      <w:pPr>
        <w:spacing w:line="300" w:lineRule="auto"/>
        <w:ind w:firstLine="480"/>
        <w:jc w:val="both"/>
      </w:pPr>
      <w:r>
        <w:rPr>
          <w:rFonts w:ascii="Times New Roman" w:hAnsi="Times New Roman" w:cs="Times New Roman" w:eastAsia="宋体"/>
          <w:b w:val="0"/>
          <w:i w:val="0"/>
          <w:color w:val="000000"/>
          <w:sz w:val="24"/>
          <w:u w:val="none"/>
        </w:rPr>
        <w:t>在负二项回归模型中加入时间趋势项（研究第 $t$ 天），控制星期几效应。时间趋势项系数为正表示上升趋势。</w:t>
      </w:r>
    </w:p>
    <w:p>
      <w:pPr>
        <w:pStyle w:val="Heading3"/>
        <w:spacing w:line="240" w:lineRule="auto" w:before="240" w:after="240"/>
        <w:jc w:val="left"/>
      </w:pPr>
      <w:r>
        <w:rPr>
          <w:rFonts w:ascii="Times New Roman" w:hAnsi="Times New Roman" w:cs="Times New Roman" w:eastAsia="黑体"/>
          <w:b/>
          <w:i w:val="0"/>
          <w:color w:val="000000"/>
          <w:sz w:val="24"/>
          <w:u w:val="none"/>
        </w:rPr>
        <w:t>4.3.3 结果</w:t>
      </w:r>
    </w:p>
    <w:p>
      <w:pPr>
        <w:spacing w:line="300" w:lineRule="auto"/>
        <w:ind w:firstLine="480"/>
        <w:jc w:val="both"/>
      </w:pPr>
      <w:r>
        <w:rPr>
          <w:rFonts w:ascii="Times New Roman" w:hAnsi="Times New Roman" w:cs="Times New Roman" w:eastAsia="宋体"/>
          <w:b w:val="0"/>
          <w:i w:val="0"/>
          <w:color w:val="000000"/>
          <w:sz w:val="24"/>
          <w:u w:val="none"/>
        </w:rPr>
        <w:t>时间趋势项系数显著为正（β = 0.0296, SE = 0.0017, p &lt; 0.001）。发生率比（IRR）为 1.030，表明在控制其他变量后，每天的不安全感表达率增加约 3.0%。累积 361 天，总增加幅度约为显著水平。</w:t>
      </w:r>
    </w:p>
    <w:p>
      <w:pPr>
        <w:spacing w:line="300" w:lineRule="auto"/>
        <w:ind w:firstLine="480"/>
        <w:jc w:val="both"/>
      </w:pPr>
      <w:r>
        <w:rPr>
          <w:rFonts w:ascii="Times New Roman" w:hAnsi="Times New Roman" w:cs="Times New Roman" w:eastAsia="宋体"/>
          <w:b w:val="0"/>
          <w:i w:val="0"/>
          <w:color w:val="000000"/>
          <w:sz w:val="24"/>
          <w:u w:val="none"/>
        </w:rPr>
        <w:t>这一发现表明，研究期间公众对 AI 技术威胁的职业不安全感基线呈现显著上升趋势，反映公众对 AI 威胁的感知随时间推移而增强，可能从"事件驱动"转向"结构性担忧"。</w:t>
      </w:r>
    </w:p>
    <w:p>
      <w:pPr>
        <w:pStyle w:val="Heading2"/>
        <w:spacing w:line="240" w:lineRule="auto" w:before="240" w:after="240"/>
        <w:jc w:val="left"/>
      </w:pPr>
      <w:r>
        <w:rPr>
          <w:rFonts w:ascii="Times New Roman" w:hAnsi="Times New Roman" w:cs="Times New Roman" w:eastAsia="黑体"/>
          <w:b/>
          <w:i w:val="0"/>
          <w:color w:val="000000"/>
          <w:sz w:val="28"/>
          <w:u w:val="none"/>
        </w:rPr>
        <w:t>4.4 事件效应分析（H1）</w:t>
      </w:r>
    </w:p>
    <w:p>
      <w:pPr>
        <w:pStyle w:val="Heading3"/>
        <w:spacing w:line="240" w:lineRule="auto" w:before="240" w:after="240"/>
        <w:jc w:val="left"/>
      </w:pPr>
      <w:r>
        <w:rPr>
          <w:rFonts w:ascii="Times New Roman" w:hAnsi="Times New Roman" w:cs="Times New Roman" w:eastAsia="黑体"/>
          <w:b/>
          <w:i w:val="0"/>
          <w:color w:val="000000"/>
          <w:sz w:val="24"/>
          <w:u w:val="none"/>
        </w:rPr>
        <w:t>4.4.1 假设内容</w:t>
      </w:r>
    </w:p>
    <w:p>
      <w:pPr>
        <w:spacing w:line="300" w:lineRule="auto"/>
        <w:ind w:firstLine="480"/>
        <w:jc w:val="both"/>
      </w:pPr>
      <w:r>
        <w:rPr>
          <w:rFonts w:ascii="Times New Roman" w:hAnsi="Times New Roman" w:cs="Times New Roman" w:eastAsia="宋体"/>
          <w:b w:val="0"/>
          <w:i w:val="0"/>
          <w:color w:val="000000"/>
          <w:sz w:val="24"/>
          <w:u w:val="none"/>
        </w:rPr>
        <w:t>H1：AI 技术事件发生后，社交媒体上的职业不安全感表达发生变化。</w:t>
      </w:r>
    </w:p>
    <w:p>
      <w:pPr>
        <w:pStyle w:val="Heading3"/>
        <w:spacing w:line="240" w:lineRule="auto" w:before="240" w:after="240"/>
        <w:jc w:val="left"/>
      </w:pPr>
      <w:r>
        <w:rPr>
          <w:rFonts w:ascii="Times New Roman" w:hAnsi="Times New Roman" w:cs="Times New Roman" w:eastAsia="黑体"/>
          <w:b/>
          <w:i w:val="0"/>
          <w:color w:val="000000"/>
          <w:sz w:val="24"/>
          <w:u w:val="none"/>
        </w:rPr>
        <w:t>4.4.2 检验方法</w:t>
      </w:r>
    </w:p>
    <w:p>
      <w:pPr>
        <w:spacing w:line="300" w:lineRule="auto"/>
        <w:ind w:firstLine="480"/>
        <w:jc w:val="both"/>
      </w:pPr>
      <w:r>
        <w:rPr>
          <w:rFonts w:ascii="Times New Roman" w:hAnsi="Times New Roman" w:cs="Times New Roman" w:eastAsia="宋体"/>
          <w:b w:val="0"/>
          <w:i w:val="0"/>
          <w:color w:val="000000"/>
          <w:sz w:val="24"/>
          <w:u w:val="none"/>
        </w:rPr>
        <w:t>采用负二项回归模型检验事件主效应。因变量为日度职业不安全感表达数量，自变量为事件后 7 天窗口虚拟变量（事件日及随后 6 天 = 1，否则 = 0），控制变量包括星期几效应。模型选择负二项回归的原因在于日度计数数据存在过度离散（方差/均值 &gt; 1）。</w:t>
      </w:r>
    </w:p>
    <w:p>
      <w:pPr>
        <w:pStyle w:val="Heading3"/>
        <w:spacing w:line="240" w:lineRule="auto" w:before="240" w:after="240"/>
        <w:jc w:val="left"/>
      </w:pPr>
      <w:r>
        <w:rPr>
          <w:rFonts w:ascii="Times New Roman" w:hAnsi="Times New Roman" w:cs="Times New Roman" w:eastAsia="黑体"/>
          <w:b/>
          <w:i w:val="0"/>
          <w:color w:val="000000"/>
          <w:sz w:val="24"/>
          <w:u w:val="none"/>
        </w:rPr>
        <w:t>4.4.3 结果</w:t>
      </w:r>
    </w:p>
    <w:p>
      <w:pPr>
        <w:spacing w:line="300" w:lineRule="auto"/>
        <w:ind w:firstLine="480"/>
        <w:jc w:val="both"/>
      </w:pPr>
      <w:r>
        <w:rPr>
          <w:rFonts w:ascii="Times New Roman" w:hAnsi="Times New Roman" w:cs="Times New Roman" w:eastAsia="宋体"/>
          <w:b w:val="0"/>
          <w:i w:val="0"/>
          <w:color w:val="000000"/>
          <w:sz w:val="24"/>
          <w:u w:val="none"/>
        </w:rPr>
        <w:t>事件窗口虚拟变量的系数为 -0.426（SE = 0.246），发生率比 IRR = 0.653（95% CI [0.404, 1.058]），p = 0.083。该结果在 α = 0.05 水平上未达到统计显著性。</w:t>
      </w:r>
    </w:p>
    <w:p>
      <w:pPr>
        <w:spacing w:line="300" w:lineRule="auto"/>
        <w:jc w:val="center"/>
      </w:pPr>
      <w:r>
        <w:rPr>
          <w:rFonts w:ascii="Times New Roman" w:hAnsi="Times New Roman" w:cs="Times New Roman" w:eastAsia="宋体"/>
          <w:b/>
          <w:i w:val="0"/>
          <w:color w:val="000000"/>
          <w:sz w:val="24"/>
          <w:u w:val="none"/>
        </w:rPr>
        <w:t>表 4 负二项回归结果：事件主效应（H1）</w:t>
      </w:r>
    </w:p>
    <w:tbl>
      <w:tblPr>
        <w:tblStyle w:val="TableGrid"/>
        <w:tblW w:type="auto" w:w="0"/>
        <w:jc w:val="center"/>
        <w:tblLook w:firstColumn="1" w:firstRow="1" w:lastColumn="0" w:lastRow="0" w:noHBand="0" w:noVBand="1" w:val="04A0"/>
      </w:tblPr>
      <w:tblGrid>
        <w:gridCol w:w="1701"/>
        <w:gridCol w:w="1701"/>
        <w:gridCol w:w="1701"/>
        <w:gridCol w:w="1701"/>
        <w:gridCol w:w="1701"/>
        <w:gridCol w:w="1701"/>
      </w:tblGrid>
      <w:tr>
        <w:tc>
          <w:tcPr>
            <w:tcW w:type="dxa" w:w="1701"/>
          </w:tcPr>
          <w:p>
            <w:pPr>
              <w:spacing w:line="240" w:lineRule="auto"/>
              <w:jc w:val="center"/>
            </w:pPr>
            <w:r>
              <w:rPr>
                <w:rFonts w:ascii="Times New Roman" w:hAnsi="Times New Roman" w:cs="Times New Roman" w:eastAsia="宋体"/>
                <w:b/>
                <w:i w:val="0"/>
                <w:color w:val="000000"/>
                <w:sz w:val="21"/>
                <w:u w:val="none"/>
              </w:rPr>
              <w:t>变量</w:t>
            </w:r>
          </w:p>
        </w:tc>
        <w:tc>
          <w:tcPr>
            <w:tcW w:type="dxa" w:w="1701"/>
          </w:tcPr>
          <w:p>
            <w:pPr>
              <w:spacing w:line="240" w:lineRule="auto"/>
              <w:jc w:val="center"/>
            </w:pPr>
            <w:r>
              <w:rPr>
                <w:rFonts w:ascii="Times New Roman" w:hAnsi="Times New Roman" w:cs="Times New Roman" w:eastAsia="宋体"/>
                <w:b/>
                <w:i w:val="0"/>
                <w:color w:val="000000"/>
                <w:sz w:val="21"/>
                <w:u w:val="none"/>
              </w:rPr>
              <w:t>β</w:t>
            </w:r>
          </w:p>
        </w:tc>
        <w:tc>
          <w:tcPr>
            <w:tcW w:type="dxa" w:w="1701"/>
          </w:tcPr>
          <w:p>
            <w:pPr>
              <w:spacing w:line="240" w:lineRule="auto"/>
              <w:jc w:val="center"/>
            </w:pPr>
            <w:r>
              <w:rPr>
                <w:rFonts w:ascii="Times New Roman" w:hAnsi="Times New Roman" w:cs="Times New Roman" w:eastAsia="宋体"/>
                <w:b/>
                <w:i w:val="0"/>
                <w:color w:val="000000"/>
                <w:sz w:val="21"/>
                <w:u w:val="none"/>
              </w:rPr>
              <w:t>SE</w:t>
            </w:r>
          </w:p>
        </w:tc>
        <w:tc>
          <w:tcPr>
            <w:tcW w:type="dxa" w:w="1701"/>
          </w:tcPr>
          <w:p>
            <w:pPr>
              <w:spacing w:line="240" w:lineRule="auto"/>
              <w:jc w:val="center"/>
            </w:pPr>
            <w:r>
              <w:rPr>
                <w:rFonts w:ascii="Times New Roman" w:hAnsi="Times New Roman" w:cs="Times New Roman" w:eastAsia="宋体"/>
                <w:b/>
                <w:i w:val="0"/>
                <w:color w:val="000000"/>
                <w:sz w:val="21"/>
                <w:u w:val="none"/>
              </w:rPr>
              <w:t>IRR</w:t>
            </w:r>
          </w:p>
        </w:tc>
        <w:tc>
          <w:tcPr>
            <w:tcW w:type="dxa" w:w="1701"/>
          </w:tcPr>
          <w:p>
            <w:pPr>
              <w:spacing w:line="240" w:lineRule="auto"/>
              <w:jc w:val="center"/>
            </w:pPr>
            <w:r>
              <w:rPr>
                <w:rFonts w:ascii="Times New Roman" w:hAnsi="Times New Roman" w:cs="Times New Roman" w:eastAsia="宋体"/>
                <w:b/>
                <w:i w:val="0"/>
                <w:color w:val="000000"/>
                <w:sz w:val="21"/>
                <w:u w:val="none"/>
              </w:rPr>
              <w:t>95% CI</w:t>
            </w:r>
          </w:p>
        </w:tc>
        <w:tc>
          <w:tcPr>
            <w:tcW w:type="dxa" w:w="1701"/>
          </w:tcPr>
          <w:p>
            <w:pPr>
              <w:spacing w:line="240" w:lineRule="auto"/>
              <w:jc w:val="center"/>
            </w:pPr>
            <w:r>
              <w:rPr>
                <w:rFonts w:ascii="Times New Roman" w:hAnsi="Times New Roman" w:cs="Times New Roman" w:eastAsia="宋体"/>
                <w:b/>
                <w:i w:val="0"/>
                <w:color w:val="000000"/>
                <w:sz w:val="21"/>
                <w:u w:val="none"/>
              </w:rPr>
              <w:t>p</w:t>
            </w:r>
          </w:p>
        </w:tc>
      </w:tr>
      <w:tr>
        <w:tc>
          <w:tcPr>
            <w:tcW w:type="dxa" w:w="1701"/>
          </w:tcPr>
          <w:p>
            <w:pPr>
              <w:spacing w:line="240" w:lineRule="auto"/>
              <w:jc w:val="left"/>
            </w:pPr>
            <w:r>
              <w:rPr>
                <w:rFonts w:ascii="Times New Roman" w:hAnsi="Times New Roman" w:cs="Times New Roman" w:eastAsia="宋体"/>
                <w:b w:val="0"/>
                <w:i w:val="0"/>
                <w:color w:val="000000"/>
                <w:sz w:val="21"/>
                <w:u w:val="none"/>
              </w:rPr>
              <w:t>事件窗口（7 天）</w:t>
            </w:r>
          </w:p>
        </w:tc>
        <w:tc>
          <w:tcPr>
            <w:tcW w:type="dxa" w:w="1701"/>
          </w:tcPr>
          <w:p>
            <w:pPr>
              <w:spacing w:line="240" w:lineRule="auto"/>
              <w:jc w:val="left"/>
            </w:pPr>
            <w:r>
              <w:rPr>
                <w:rFonts w:ascii="Times New Roman" w:hAnsi="Times New Roman" w:cs="Times New Roman" w:eastAsia="宋体"/>
                <w:b w:val="0"/>
                <w:i w:val="0"/>
                <w:color w:val="000000"/>
                <w:sz w:val="21"/>
                <w:u w:val="none"/>
              </w:rPr>
              <w:t>-0.426</w:t>
            </w:r>
          </w:p>
        </w:tc>
        <w:tc>
          <w:tcPr>
            <w:tcW w:type="dxa" w:w="1701"/>
          </w:tcPr>
          <w:p>
            <w:pPr>
              <w:spacing w:line="240" w:lineRule="auto"/>
              <w:jc w:val="left"/>
            </w:pPr>
            <w:r>
              <w:rPr>
                <w:rFonts w:ascii="Times New Roman" w:hAnsi="Times New Roman" w:cs="Times New Roman" w:eastAsia="宋体"/>
                <w:b w:val="0"/>
                <w:i w:val="0"/>
                <w:color w:val="000000"/>
                <w:sz w:val="21"/>
                <w:u w:val="none"/>
              </w:rPr>
              <w:t>0.246</w:t>
            </w:r>
          </w:p>
        </w:tc>
        <w:tc>
          <w:tcPr>
            <w:tcW w:type="dxa" w:w="1701"/>
          </w:tcPr>
          <w:p>
            <w:pPr>
              <w:spacing w:line="240" w:lineRule="auto"/>
              <w:jc w:val="left"/>
            </w:pPr>
            <w:r>
              <w:rPr>
                <w:rFonts w:ascii="Times New Roman" w:hAnsi="Times New Roman" w:cs="Times New Roman" w:eastAsia="宋体"/>
                <w:b w:val="0"/>
                <w:i w:val="0"/>
                <w:color w:val="000000"/>
                <w:sz w:val="21"/>
                <w:u w:val="none"/>
              </w:rPr>
              <w:t>0.653</w:t>
            </w:r>
          </w:p>
        </w:tc>
        <w:tc>
          <w:tcPr>
            <w:tcW w:type="dxa" w:w="1701"/>
          </w:tcPr>
          <w:p>
            <w:pPr>
              <w:spacing w:line="240" w:lineRule="auto"/>
              <w:jc w:val="left"/>
            </w:pPr>
            <w:r>
              <w:rPr>
                <w:rFonts w:ascii="Times New Roman" w:hAnsi="Times New Roman" w:cs="Times New Roman" w:eastAsia="宋体"/>
                <w:b w:val="0"/>
                <w:i w:val="0"/>
                <w:color w:val="000000"/>
                <w:sz w:val="21"/>
                <w:u w:val="none"/>
              </w:rPr>
              <w:t>[0.404, 1.058]</w:t>
            </w:r>
          </w:p>
        </w:tc>
        <w:tc>
          <w:tcPr>
            <w:tcW w:type="dxa" w:w="1701"/>
          </w:tcPr>
          <w:p>
            <w:pPr>
              <w:spacing w:line="240" w:lineRule="auto"/>
              <w:jc w:val="left"/>
            </w:pPr>
            <w:r>
              <w:rPr>
                <w:rFonts w:ascii="Times New Roman" w:hAnsi="Times New Roman" w:cs="Times New Roman" w:eastAsia="宋体"/>
                <w:b w:val="0"/>
                <w:i w:val="0"/>
                <w:color w:val="000000"/>
                <w:sz w:val="21"/>
                <w:u w:val="none"/>
              </w:rPr>
              <w:t>.083</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星期一</w:t>
            </w:r>
          </w:p>
        </w:tc>
        <w:tc>
          <w:tcPr>
            <w:tcW w:type="dxa" w:w="1701"/>
          </w:tcPr>
          <w:p>
            <w:pPr>
              <w:spacing w:line="240" w:lineRule="auto"/>
              <w:jc w:val="left"/>
            </w:pPr>
            <w:r>
              <w:rPr>
                <w:rFonts w:ascii="Times New Roman" w:hAnsi="Times New Roman" w:cs="Times New Roman" w:eastAsia="宋体"/>
                <w:b w:val="0"/>
                <w:i w:val="0"/>
                <w:color w:val="000000"/>
                <w:sz w:val="21"/>
                <w:u w:val="none"/>
              </w:rPr>
              <w:t>-0.045</w:t>
            </w:r>
          </w:p>
        </w:tc>
        <w:tc>
          <w:tcPr>
            <w:tcW w:type="dxa" w:w="1701"/>
          </w:tcPr>
          <w:p>
            <w:pPr>
              <w:spacing w:line="240" w:lineRule="auto"/>
              <w:jc w:val="left"/>
            </w:pPr>
            <w:r>
              <w:rPr>
                <w:rFonts w:ascii="Times New Roman" w:hAnsi="Times New Roman" w:cs="Times New Roman" w:eastAsia="宋体"/>
                <w:b w:val="0"/>
                <w:i w:val="0"/>
                <w:color w:val="000000"/>
                <w:sz w:val="21"/>
                <w:u w:val="none"/>
              </w:rPr>
              <w:t>0.067</w:t>
            </w:r>
          </w:p>
        </w:tc>
        <w:tc>
          <w:tcPr>
            <w:tcW w:type="dxa" w:w="1701"/>
          </w:tcPr>
          <w:p>
            <w:pPr>
              <w:spacing w:line="240" w:lineRule="auto"/>
              <w:jc w:val="left"/>
            </w:pPr>
            <w:r>
              <w:rPr>
                <w:rFonts w:ascii="Times New Roman" w:hAnsi="Times New Roman" w:cs="Times New Roman" w:eastAsia="宋体"/>
                <w:b w:val="0"/>
                <w:i w:val="0"/>
                <w:color w:val="000000"/>
                <w:sz w:val="21"/>
                <w:u w:val="none"/>
              </w:rPr>
              <w:t>0.956</w:t>
            </w:r>
          </w:p>
        </w:tc>
        <w:tc>
          <w:tcPr>
            <w:tcW w:type="dxa" w:w="1701"/>
          </w:tcPr>
          <w:p>
            <w:pPr>
              <w:spacing w:line="240" w:lineRule="auto"/>
              <w:jc w:val="left"/>
            </w:pPr>
            <w:r>
              <w:rPr>
                <w:rFonts w:ascii="Times New Roman" w:hAnsi="Times New Roman" w:cs="Times New Roman" w:eastAsia="宋体"/>
                <w:b w:val="0"/>
                <w:i w:val="0"/>
                <w:color w:val="000000"/>
                <w:sz w:val="21"/>
                <w:u w:val="none"/>
              </w:rPr>
              <w:t>[0.838, 1.091]</w:t>
            </w:r>
          </w:p>
        </w:tc>
        <w:tc>
          <w:tcPr>
            <w:tcW w:type="dxa" w:w="1701"/>
          </w:tcPr>
          <w:p>
            <w:pPr>
              <w:spacing w:line="240" w:lineRule="auto"/>
              <w:jc w:val="left"/>
            </w:pPr>
            <w:r>
              <w:rPr>
                <w:rFonts w:ascii="Times New Roman" w:hAnsi="Times New Roman" w:cs="Times New Roman" w:eastAsia="宋体"/>
                <w:b w:val="0"/>
                <w:i w:val="0"/>
                <w:color w:val="000000"/>
                <w:sz w:val="21"/>
                <w:u w:val="none"/>
              </w:rPr>
              <w:t>.502</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星期二</w:t>
            </w:r>
          </w:p>
        </w:tc>
        <w:tc>
          <w:tcPr>
            <w:tcW w:type="dxa" w:w="1701"/>
          </w:tcPr>
          <w:p>
            <w:pPr>
              <w:spacing w:line="240" w:lineRule="auto"/>
              <w:jc w:val="left"/>
            </w:pPr>
            <w:r>
              <w:rPr>
                <w:rFonts w:ascii="Times New Roman" w:hAnsi="Times New Roman" w:cs="Times New Roman" w:eastAsia="宋体"/>
                <w:b w:val="0"/>
                <w:i w:val="0"/>
                <w:color w:val="000000"/>
                <w:sz w:val="21"/>
                <w:u w:val="none"/>
              </w:rPr>
              <w:t>-0.023</w:t>
            </w:r>
          </w:p>
        </w:tc>
        <w:tc>
          <w:tcPr>
            <w:tcW w:type="dxa" w:w="1701"/>
          </w:tcPr>
          <w:p>
            <w:pPr>
              <w:spacing w:line="240" w:lineRule="auto"/>
              <w:jc w:val="left"/>
            </w:pPr>
            <w:r>
              <w:rPr>
                <w:rFonts w:ascii="Times New Roman" w:hAnsi="Times New Roman" w:cs="Times New Roman" w:eastAsia="宋体"/>
                <w:b w:val="0"/>
                <w:i w:val="0"/>
                <w:color w:val="000000"/>
                <w:sz w:val="21"/>
                <w:u w:val="none"/>
              </w:rPr>
              <w:t>0.065</w:t>
            </w:r>
          </w:p>
        </w:tc>
        <w:tc>
          <w:tcPr>
            <w:tcW w:type="dxa" w:w="1701"/>
          </w:tcPr>
          <w:p>
            <w:pPr>
              <w:spacing w:line="240" w:lineRule="auto"/>
              <w:jc w:val="left"/>
            </w:pPr>
            <w:r>
              <w:rPr>
                <w:rFonts w:ascii="Times New Roman" w:hAnsi="Times New Roman" w:cs="Times New Roman" w:eastAsia="宋体"/>
                <w:b w:val="0"/>
                <w:i w:val="0"/>
                <w:color w:val="000000"/>
                <w:sz w:val="21"/>
                <w:u w:val="none"/>
              </w:rPr>
              <w:t>0.977</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.723</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星期三</w:t>
            </w:r>
          </w:p>
        </w:tc>
        <w:tc>
          <w:tcPr>
            <w:tcW w:type="dxa" w:w="1701"/>
          </w:tcPr>
          <w:p>
            <w:pPr>
              <w:spacing w:line="240" w:lineRule="auto"/>
              <w:jc w:val="left"/>
            </w:pPr>
            <w:r>
              <w:rPr>
                <w:rFonts w:ascii="Times New Roman" w:hAnsi="Times New Roman" w:cs="Times New Roman" w:eastAsia="宋体"/>
                <w:b w:val="0"/>
                <w:i w:val="0"/>
                <w:color w:val="000000"/>
                <w:sz w:val="21"/>
                <w:u w:val="none"/>
              </w:rPr>
              <w:t>0.012</w:t>
            </w:r>
          </w:p>
        </w:tc>
        <w:tc>
          <w:tcPr>
            <w:tcW w:type="dxa" w:w="1701"/>
          </w:tcPr>
          <w:p>
            <w:pPr>
              <w:spacing w:line="240" w:lineRule="auto"/>
              <w:jc w:val="left"/>
            </w:pPr>
            <w:r>
              <w:rPr>
                <w:rFonts w:ascii="Times New Roman" w:hAnsi="Times New Roman" w:cs="Times New Roman" w:eastAsia="宋体"/>
                <w:b w:val="0"/>
                <w:i w:val="0"/>
                <w:color w:val="000000"/>
                <w:sz w:val="21"/>
                <w:u w:val="none"/>
              </w:rPr>
              <w:t>0.064</w:t>
            </w:r>
          </w:p>
        </w:tc>
        <w:tc>
          <w:tcPr>
            <w:tcW w:type="dxa" w:w="1701"/>
          </w:tcPr>
          <w:p>
            <w:pPr>
              <w:spacing w:line="240" w:lineRule="auto"/>
              <w:jc w:val="left"/>
            </w:pPr>
            <w:r>
              <w:rPr>
                <w:rFonts w:ascii="Times New Roman" w:hAnsi="Times New Roman" w:cs="Times New Roman" w:eastAsia="宋体"/>
                <w:b w:val="0"/>
                <w:i w:val="0"/>
                <w:color w:val="000000"/>
                <w:sz w:val="21"/>
                <w:u w:val="none"/>
              </w:rPr>
              <w:t>1.012</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.852</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星期四</w:t>
            </w:r>
          </w:p>
        </w:tc>
        <w:tc>
          <w:tcPr>
            <w:tcW w:type="dxa" w:w="1701"/>
          </w:tcPr>
          <w:p>
            <w:pPr>
              <w:spacing w:line="240" w:lineRule="auto"/>
              <w:jc w:val="left"/>
            </w:pPr>
            <w:r>
              <w:rPr>
                <w:rFonts w:ascii="Times New Roman" w:hAnsi="Times New Roman" w:cs="Times New Roman" w:eastAsia="宋体"/>
                <w:b w:val="0"/>
                <w:i w:val="0"/>
                <w:color w:val="000000"/>
                <w:sz w:val="21"/>
                <w:u w:val="none"/>
              </w:rPr>
              <w:t>0.034</w:t>
            </w:r>
          </w:p>
        </w:tc>
        <w:tc>
          <w:tcPr>
            <w:tcW w:type="dxa" w:w="1701"/>
          </w:tcPr>
          <w:p>
            <w:pPr>
              <w:spacing w:line="240" w:lineRule="auto"/>
              <w:jc w:val="left"/>
            </w:pPr>
            <w:r>
              <w:rPr>
                <w:rFonts w:ascii="Times New Roman" w:hAnsi="Times New Roman" w:cs="Times New Roman" w:eastAsia="宋体"/>
                <w:b w:val="0"/>
                <w:i w:val="0"/>
                <w:color w:val="000000"/>
                <w:sz w:val="21"/>
                <w:u w:val="none"/>
              </w:rPr>
              <w:t>0.065</w:t>
            </w:r>
          </w:p>
        </w:tc>
        <w:tc>
          <w:tcPr>
            <w:tcW w:type="dxa" w:w="1701"/>
          </w:tcPr>
          <w:p>
            <w:pPr>
              <w:spacing w:line="240" w:lineRule="auto"/>
              <w:jc w:val="left"/>
            </w:pPr>
            <w:r>
              <w:rPr>
                <w:rFonts w:ascii="Times New Roman" w:hAnsi="Times New Roman" w:cs="Times New Roman" w:eastAsia="宋体"/>
                <w:b w:val="0"/>
                <w:i w:val="0"/>
                <w:color w:val="000000"/>
                <w:sz w:val="21"/>
                <w:u w:val="none"/>
              </w:rPr>
              <w:t>1.035</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.598</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星期五</w:t>
            </w:r>
          </w:p>
        </w:tc>
        <w:tc>
          <w:tcPr>
            <w:tcW w:type="dxa" w:w="1701"/>
          </w:tcPr>
          <w:p>
            <w:pPr>
              <w:spacing w:line="240" w:lineRule="auto"/>
              <w:jc w:val="left"/>
            </w:pPr>
            <w:r>
              <w:rPr>
                <w:rFonts w:ascii="Times New Roman" w:hAnsi="Times New Roman" w:cs="Times New Roman" w:eastAsia="宋体"/>
                <w:b w:val="0"/>
                <w:i w:val="0"/>
                <w:color w:val="000000"/>
                <w:sz w:val="21"/>
                <w:u w:val="none"/>
              </w:rPr>
              <w:t>0.078</w:t>
            </w:r>
          </w:p>
        </w:tc>
        <w:tc>
          <w:tcPr>
            <w:tcW w:type="dxa" w:w="1701"/>
          </w:tcPr>
          <w:p>
            <w:pPr>
              <w:spacing w:line="240" w:lineRule="auto"/>
              <w:jc w:val="left"/>
            </w:pPr>
            <w:r>
              <w:rPr>
                <w:rFonts w:ascii="Times New Roman" w:hAnsi="Times New Roman" w:cs="Times New Roman" w:eastAsia="宋体"/>
                <w:b w:val="0"/>
                <w:i w:val="0"/>
                <w:color w:val="000000"/>
                <w:sz w:val="21"/>
                <w:u w:val="none"/>
              </w:rPr>
              <w:t>0.066</w:t>
            </w:r>
          </w:p>
        </w:tc>
        <w:tc>
          <w:tcPr>
            <w:tcW w:type="dxa" w:w="1701"/>
          </w:tcPr>
          <w:p>
            <w:pPr>
              <w:spacing w:line="240" w:lineRule="auto"/>
              <w:jc w:val="left"/>
            </w:pPr>
            <w:r>
              <w:rPr>
                <w:rFonts w:ascii="Times New Roman" w:hAnsi="Times New Roman" w:cs="Times New Roman" w:eastAsia="宋体"/>
                <w:b w:val="0"/>
                <w:i w:val="0"/>
                <w:color w:val="000000"/>
                <w:sz w:val="21"/>
                <w:u w:val="none"/>
              </w:rPr>
              <w:t>1.081</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.237</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星期六</w:t>
            </w:r>
          </w:p>
        </w:tc>
        <w:tc>
          <w:tcPr>
            <w:tcW w:type="dxa" w:w="1701"/>
          </w:tcPr>
          <w:p>
            <w:pPr>
              <w:spacing w:line="240" w:lineRule="auto"/>
              <w:jc w:val="left"/>
            </w:pPr>
            <w:r>
              <w:rPr>
                <w:rFonts w:ascii="Times New Roman" w:hAnsi="Times New Roman" w:cs="Times New Roman" w:eastAsia="宋体"/>
                <w:b w:val="0"/>
                <w:i w:val="0"/>
                <w:color w:val="000000"/>
                <w:sz w:val="21"/>
                <w:u w:val="none"/>
              </w:rPr>
              <w:t>0.112</w:t>
            </w:r>
          </w:p>
        </w:tc>
        <w:tc>
          <w:tcPr>
            <w:tcW w:type="dxa" w:w="1701"/>
          </w:tcPr>
          <w:p>
            <w:pPr>
              <w:spacing w:line="240" w:lineRule="auto"/>
              <w:jc w:val="left"/>
            </w:pPr>
            <w:r>
              <w:rPr>
                <w:rFonts w:ascii="Times New Roman" w:hAnsi="Times New Roman" w:cs="Times New Roman" w:eastAsia="宋体"/>
                <w:b w:val="0"/>
                <w:i w:val="0"/>
                <w:color w:val="000000"/>
                <w:sz w:val="21"/>
                <w:u w:val="none"/>
              </w:rPr>
              <w:t>0.068</w:t>
            </w:r>
          </w:p>
        </w:tc>
        <w:tc>
          <w:tcPr>
            <w:tcW w:type="dxa" w:w="1701"/>
          </w:tcPr>
          <w:p>
            <w:pPr>
              <w:spacing w:line="240" w:lineRule="auto"/>
              <w:jc w:val="left"/>
            </w:pPr>
            <w:r>
              <w:rPr>
                <w:rFonts w:ascii="Times New Roman" w:hAnsi="Times New Roman" w:cs="Times New Roman" w:eastAsia="宋体"/>
                <w:b w:val="0"/>
                <w:i w:val="0"/>
                <w:color w:val="000000"/>
                <w:sz w:val="21"/>
                <w:u w:val="none"/>
              </w:rPr>
              <w:t>1.119</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.099</w:t>
            </w:r>
          </w:p>
        </w:tc>
      </w:tr>
      <w:tr>
        <w:tc>
          <w:tcPr>
            <w:tcW w:type="dxa" w:w="1701"/>
          </w:tcPr>
          <w:p>
            <w:pPr>
              <w:spacing w:line="240" w:lineRule="auto"/>
              <w:jc w:val="left"/>
            </w:pPr>
            <w:r>
              <w:rPr>
                <w:rFonts w:ascii="Times New Roman" w:hAnsi="Times New Roman" w:cs="Times New Roman" w:eastAsia="宋体"/>
                <w:b w:val="0"/>
                <w:i w:val="0"/>
                <w:color w:val="000000"/>
                <w:sz w:val="21"/>
                <w:u w:val="none"/>
              </w:rPr>
              <w:t>常数项</w:t>
            </w:r>
          </w:p>
        </w:tc>
        <w:tc>
          <w:tcPr>
            <w:tcW w:type="dxa" w:w="1701"/>
          </w:tcPr>
          <w:p>
            <w:pPr>
              <w:spacing w:line="240" w:lineRule="auto"/>
              <w:jc w:val="left"/>
            </w:pPr>
            <w:r>
              <w:rPr>
                <w:rFonts w:ascii="Times New Roman" w:hAnsi="Times New Roman" w:cs="Times New Roman" w:eastAsia="宋体"/>
                <w:b w:val="0"/>
                <w:i w:val="0"/>
                <w:color w:val="000000"/>
                <w:sz w:val="21"/>
                <w:u w:val="none"/>
              </w:rPr>
              <w:t>-1.523</w:t>
            </w:r>
          </w:p>
        </w:tc>
        <w:tc>
          <w:tcPr>
            <w:tcW w:type="dxa" w:w="1701"/>
          </w:tcPr>
          <w:p>
            <w:pPr>
              <w:spacing w:line="240" w:lineRule="auto"/>
              <w:jc w:val="left"/>
            </w:pPr>
            <w:r>
              <w:rPr>
                <w:rFonts w:ascii="Times New Roman" w:hAnsi="Times New Roman" w:cs="Times New Roman" w:eastAsia="宋体"/>
                <w:b w:val="0"/>
                <w:i w:val="0"/>
                <w:color w:val="000000"/>
                <w:sz w:val="21"/>
                <w:u w:val="none"/>
              </w:rPr>
              <w:t>0.089</w:t>
            </w:r>
          </w:p>
        </w:tc>
        <w:tc>
          <w:tcPr>
            <w:tcW w:type="dxa" w:w="1701"/>
          </w:tcPr>
          <w:p>
            <w:pPr>
              <w:spacing w:line="240" w:lineRule="auto"/>
              <w:jc w:val="left"/>
            </w:pPr>
            <w:r>
              <w:rPr>
                <w:rFonts w:ascii="Times New Roman" w:hAnsi="Times New Roman" w:cs="Times New Roman" w:eastAsia="宋体"/>
                <w:b w:val="0"/>
                <w:i w:val="0"/>
                <w:color w:val="000000"/>
                <w:sz w:val="21"/>
                <w:u w:val="none"/>
              </w:rPr>
              <w:t>0.218</w:t>
            </w:r>
          </w:p>
        </w:tc>
        <w:tc>
          <w:tcPr>
            <w:tcW w:type="dxa" w:w="1701"/>
          </w:tcPr>
          <w:p>
            <w:pPr>
              <w:spacing w:line="240" w:lineRule="auto"/>
              <w:jc w:val="left"/>
            </w:pPr>
            <w:r>
              <w:rPr>
                <w:rFonts w:ascii="Times New Roman" w:hAnsi="Times New Roman" w:cs="Times New Roman" w:eastAsia="宋体"/>
                <w:b w:val="0"/>
                <w:i w:val="0"/>
                <w:color w:val="000000"/>
                <w:sz w:val="21"/>
                <w:u w:val="none"/>
              </w:rPr>
              <w:t>[0.183, 0.259]</w:t>
            </w:r>
          </w:p>
        </w:tc>
        <w:tc>
          <w:tcPr>
            <w:tcW w:type="dxa" w:w="1701"/>
          </w:tcPr>
          <w:p>
            <w:pPr>
              <w:spacing w:line="240" w:lineRule="auto"/>
              <w:jc w:val="left"/>
            </w:pPr>
            <w:r>
              <w:rPr>
                <w:rFonts w:ascii="Times New Roman" w:hAnsi="Times New Roman" w:cs="Times New Roman" w:eastAsia="宋体"/>
                <w:b w:val="0"/>
                <w:i w:val="0"/>
                <w:color w:val="000000"/>
                <w:sz w:val="21"/>
                <w:u w:val="none"/>
              </w:rPr>
              <w:t>&lt;.001***</w:t>
            </w:r>
          </w:p>
        </w:tc>
      </w:tr>
    </w:tbl>
    <w:p>
      <w:pPr>
        <w:spacing w:line="300" w:lineRule="auto"/>
        <w:ind w:firstLine="480"/>
        <w:jc w:val="both"/>
      </w:pPr>
      <w:r>
        <w:rPr>
          <w:rFonts w:ascii="Times New Roman" w:hAnsi="Times New Roman" w:cs="Times New Roman" w:eastAsia="宋体"/>
          <w:b w:val="0"/>
          <w:i w:val="0"/>
          <w:color w:val="000000"/>
          <w:sz w:val="24"/>
          <w:u w:val="none"/>
        </w:rPr>
        <w:t>注：N = 439（平台 × 日期面板行，3 个实际平台）；参照组为星期日； p &lt; .05,  p &lt; .01,  p &lt; .001。</w:t>
      </w:r>
    </w:p>
    <w:p>
      <w:pPr>
        <w:pStyle w:val="Heading3"/>
        <w:spacing w:line="240" w:lineRule="auto" w:before="240" w:after="240"/>
        <w:jc w:val="left"/>
      </w:pPr>
      <w:r>
        <w:rPr>
          <w:rFonts w:ascii="Times New Roman" w:hAnsi="Times New Roman" w:cs="Times New Roman" w:eastAsia="黑体"/>
          <w:b/>
          <w:i w:val="0"/>
          <w:color w:val="000000"/>
          <w:sz w:val="24"/>
          <w:u w:val="none"/>
        </w:rPr>
        <w:t>4.4.4 结果解释</w:t>
      </w:r>
    </w:p>
    <w:p>
      <w:pPr>
        <w:spacing w:line="300" w:lineRule="auto"/>
        <w:ind w:firstLine="480"/>
        <w:jc w:val="both"/>
      </w:pPr>
      <w:r>
        <w:rPr>
          <w:rFonts w:ascii="Times New Roman" w:hAnsi="Times New Roman" w:cs="Times New Roman" w:eastAsia="宋体"/>
          <w:b w:val="0"/>
          <w:i w:val="0"/>
          <w:color w:val="000000"/>
          <w:sz w:val="24"/>
          <w:u w:val="none"/>
        </w:rPr>
        <w:t>事件效应未达到统计显著性，可能原因包括：（1）事件窗口采用 7 天定义，可能未能准确捕捉不安全感表达的时间动态；（2）事件日总评论量激增，导致不安全感表达的绝对计数被稀释；（3）不同事件类型的效应方向可能不同，加总后相互抵消；（4）样本量（361 天 × 3 个平台 = 439 行面板数据）有限，统计功效不足。</w:t>
      </w:r>
    </w:p>
    <w:p>
      <w:pPr>
        <w:spacing w:line="300" w:lineRule="auto"/>
        <w:ind w:firstLine="480"/>
        <w:jc w:val="both"/>
      </w:pPr>
      <w:r>
        <w:rPr>
          <w:rFonts w:ascii="Times New Roman" w:hAnsi="Times New Roman" w:cs="Times New Roman" w:eastAsia="宋体"/>
          <w:b w:val="0"/>
          <w:i w:val="0"/>
          <w:color w:val="000000"/>
          <w:sz w:val="24"/>
          <w:u w:val="none"/>
        </w:rPr>
        <w:t>这一结果表明，AI 技术事件对职业不安全感表达的即时影响可能不如预期显著，或者其影响模式更为复杂，需要通过更精细的方法（如区分事件类型、使用表达率而非绝对计数）来捕捉。</w:t>
      </w:r>
    </w:p>
    <w:p>
      <w:pPr>
        <w:pStyle w:val="Heading2"/>
        <w:spacing w:line="240" w:lineRule="auto" w:before="240" w:after="240"/>
        <w:jc w:val="left"/>
      </w:pPr>
      <w:r>
        <w:rPr>
          <w:rFonts w:ascii="Times New Roman" w:hAnsi="Times New Roman" w:cs="Times New Roman" w:eastAsia="黑体"/>
          <w:b/>
          <w:i w:val="0"/>
          <w:color w:val="000000"/>
          <w:sz w:val="28"/>
          <w:u w:val="none"/>
        </w:rPr>
        <w:t>4.5 时间动态分析（H3）</w:t>
      </w:r>
    </w:p>
    <w:p>
      <w:pPr>
        <w:pStyle w:val="Heading3"/>
        <w:spacing w:line="240" w:lineRule="auto" w:before="240" w:after="240"/>
        <w:jc w:val="left"/>
      </w:pPr>
      <w:r>
        <w:rPr>
          <w:rFonts w:ascii="Times New Roman" w:hAnsi="Times New Roman" w:cs="Times New Roman" w:eastAsia="黑体"/>
          <w:b/>
          <w:i w:val="0"/>
          <w:color w:val="000000"/>
          <w:sz w:val="24"/>
          <w:u w:val="none"/>
        </w:rPr>
        <w:t>4.5.1 假设内容</w:t>
      </w:r>
    </w:p>
    <w:p>
      <w:pPr>
        <w:spacing w:line="300" w:lineRule="auto"/>
        <w:ind w:firstLine="480"/>
        <w:jc w:val="both"/>
      </w:pPr>
      <w:r>
        <w:rPr>
          <w:rFonts w:ascii="Times New Roman" w:hAnsi="Times New Roman" w:cs="Times New Roman" w:eastAsia="宋体"/>
          <w:b w:val="0"/>
          <w:i w:val="0"/>
          <w:color w:val="000000"/>
          <w:sz w:val="24"/>
          <w:u w:val="none"/>
        </w:rPr>
        <w:t>H3：AI 技术事件对职业不安全感表达的影响是暂时的，在短期内恢复基线水平。</w:t>
      </w:r>
    </w:p>
    <w:p>
      <w:pPr>
        <w:pStyle w:val="Heading3"/>
        <w:spacing w:line="240" w:lineRule="auto" w:before="240" w:after="240"/>
        <w:jc w:val="left"/>
      </w:pPr>
      <w:r>
        <w:rPr>
          <w:rFonts w:ascii="Times New Roman" w:hAnsi="Times New Roman" w:cs="Times New Roman" w:eastAsia="黑体"/>
          <w:b/>
          <w:i w:val="0"/>
          <w:color w:val="000000"/>
          <w:sz w:val="24"/>
          <w:u w:val="none"/>
        </w:rPr>
        <w:t>4.5.2 检验方法</w:t>
      </w:r>
    </w:p>
    <w:p>
      <w:pPr>
        <w:spacing w:line="300" w:lineRule="auto"/>
        <w:ind w:firstLine="480"/>
        <w:jc w:val="both"/>
      </w:pPr>
      <w:r>
        <w:rPr>
          <w:rFonts w:ascii="Times New Roman" w:hAnsi="Times New Roman" w:cs="Times New Roman" w:eastAsia="宋体"/>
          <w:b w:val="0"/>
          <w:i w:val="0"/>
          <w:color w:val="000000"/>
          <w:sz w:val="24"/>
          <w:u w:val="none"/>
        </w:rPr>
        <w:t>采用事件研究法分析动态效应。以事件发生日为第 0 天，计算事件后 0-14 天每天的不安全感表达率相对于基线（事件前 7 天均值）的变化。</w:t>
      </w:r>
    </w:p>
    <w:p>
      <w:pPr>
        <w:pStyle w:val="Heading3"/>
        <w:spacing w:line="240" w:lineRule="auto" w:before="240" w:after="240"/>
        <w:jc w:val="left"/>
      </w:pPr>
      <w:r>
        <w:rPr>
          <w:rFonts w:ascii="Times New Roman" w:hAnsi="Times New Roman" w:cs="Times New Roman" w:eastAsia="黑体"/>
          <w:b/>
          <w:i w:val="0"/>
          <w:color w:val="000000"/>
          <w:sz w:val="24"/>
          <w:u w:val="none"/>
        </w:rPr>
        <w:t>4.5.3 结果</w:t>
      </w:r>
    </w:p>
    <w:p>
      <w:pPr>
        <w:spacing w:line="300" w:lineRule="auto"/>
        <w:ind w:firstLine="480"/>
        <w:jc w:val="both"/>
      </w:pPr>
      <w:r>
        <w:rPr>
          <w:rFonts w:ascii="Times New Roman" w:hAnsi="Times New Roman" w:cs="Times New Roman" w:eastAsia="宋体"/>
          <w:b w:val="0"/>
          <w:i w:val="0"/>
          <w:color w:val="000000"/>
          <w:sz w:val="24"/>
          <w:u w:val="none"/>
        </w:rPr>
        <w:t>事件研究法结果显示，事件后不安全感表达在 3 天内恢复至基线水平。基线均值为 0.78 条/天，事件当日降至 0.46 条/天，随后在 3 天内恢复至基线范围。</w:t>
      </w:r>
    </w:p>
    <w:p>
      <w:pPr>
        <w:spacing w:line="300" w:lineRule="auto"/>
        <w:ind w:firstLine="480"/>
        <w:jc w:val="both"/>
      </w:pPr>
      <w:r>
        <w:rPr>
          <w:rFonts w:ascii="Times New Roman" w:hAnsi="Times New Roman" w:cs="Times New Roman" w:eastAsia="宋体"/>
          <w:b w:val="0"/>
          <w:i w:val="0"/>
          <w:color w:val="000000"/>
          <w:sz w:val="24"/>
          <w:u w:val="none"/>
        </w:rPr>
        <w:t>这一发现表明，AI 技术事件对职业不安全感表达的即时影响较为短暂，公众情绪在事件后快速恢复至基线水平。这一恢复速度可能反映社交媒体信息过载导致注意力快速转移，或公众逐渐将 AI 事件"常态化"。</w:t>
      </w:r>
    </w:p>
    <w:p>
      <w:pPr>
        <w:pStyle w:val="Heading2"/>
        <w:spacing w:line="240" w:lineRule="auto" w:before="240" w:after="240"/>
        <w:jc w:val="left"/>
      </w:pPr>
      <w:r>
        <w:rPr>
          <w:rFonts w:ascii="Times New Roman" w:hAnsi="Times New Roman" w:cs="Times New Roman" w:eastAsia="黑体"/>
          <w:b/>
          <w:i w:val="0"/>
          <w:color w:val="000000"/>
          <w:sz w:val="28"/>
          <w:u w:val="none"/>
        </w:rPr>
        <w:t>4.6 稳健性检验</w:t>
      </w:r>
    </w:p>
    <w:p>
      <w:pPr>
        <w:pStyle w:val="Heading3"/>
        <w:spacing w:line="240" w:lineRule="auto" w:before="240" w:after="240"/>
        <w:jc w:val="left"/>
      </w:pPr>
      <w:r>
        <w:rPr>
          <w:rFonts w:ascii="Times New Roman" w:hAnsi="Times New Roman" w:cs="Times New Roman" w:eastAsia="黑体"/>
          <w:b/>
          <w:i w:val="0"/>
          <w:color w:val="000000"/>
          <w:sz w:val="24"/>
          <w:u w:val="none"/>
        </w:rPr>
        <w:t>4.6.1 不同事件窗口</w:t>
      </w:r>
    </w:p>
    <w:p>
      <w:pPr>
        <w:spacing w:line="300" w:lineRule="auto"/>
        <w:ind w:firstLine="480"/>
        <w:jc w:val="both"/>
      </w:pPr>
      <w:r>
        <w:rPr>
          <w:rFonts w:ascii="Times New Roman" w:hAnsi="Times New Roman" w:cs="Times New Roman" w:eastAsia="宋体"/>
          <w:b w:val="0"/>
          <w:i w:val="0"/>
          <w:color w:val="000000"/>
          <w:sz w:val="24"/>
          <w:u w:val="none"/>
        </w:rPr>
        <w:t>分别使用 3 天、5 天、7 天和 10 天事件窗口重新估计主效应。所有窗口下的 IRR 均小于 1，且在 α = 0.05 水平上均未达到统计显著性，表明结果对窗口选择具有稳健性。</w:t>
      </w:r>
    </w:p>
    <w:p>
      <w:pPr>
        <w:pStyle w:val="Heading3"/>
        <w:spacing w:line="240" w:lineRule="auto" w:before="240" w:after="240"/>
        <w:jc w:val="left"/>
      </w:pPr>
      <w:r>
        <w:rPr>
          <w:rFonts w:ascii="Times New Roman" w:hAnsi="Times New Roman" w:cs="Times New Roman" w:eastAsia="黑体"/>
          <w:b/>
          <w:i w:val="0"/>
          <w:color w:val="000000"/>
          <w:sz w:val="24"/>
          <w:u w:val="none"/>
        </w:rPr>
        <w:t>4.6.2 不同模型设定</w:t>
      </w:r>
    </w:p>
    <w:p>
      <w:pPr>
        <w:spacing w:line="300" w:lineRule="auto"/>
        <w:ind w:firstLine="480"/>
        <w:jc w:val="both"/>
      </w:pPr>
      <w:r>
        <w:rPr>
          <w:rFonts w:ascii="Times New Roman" w:hAnsi="Times New Roman" w:cs="Times New Roman" w:eastAsia="宋体"/>
          <w:b w:val="0"/>
          <w:i w:val="0"/>
          <w:color w:val="000000"/>
          <w:sz w:val="24"/>
          <w:u w:val="none"/>
        </w:rPr>
        <w:t>分别使用负二项回归、泊松回归和 OLS（因变量为 insecurity_ratio 的对数变换）进行估计。三种模型下的效应方向一致（均为负向），但均未达到统计显著性，表明结果不依赖于特定模型选择。</w:t>
      </w:r>
    </w:p>
    <w:p>
      <w:pPr>
        <w:pStyle w:val="Heading3"/>
        <w:spacing w:line="240" w:lineRule="auto" w:before="240" w:after="240"/>
        <w:jc w:val="left"/>
      </w:pPr>
      <w:r>
        <w:rPr>
          <w:rFonts w:ascii="Times New Roman" w:hAnsi="Times New Roman" w:cs="Times New Roman" w:eastAsia="黑体"/>
          <w:b/>
          <w:i w:val="0"/>
          <w:color w:val="000000"/>
          <w:sz w:val="24"/>
          <w:u w:val="none"/>
        </w:rPr>
        <w:t>4.6.3 安慰剂检验</w:t>
      </w:r>
    </w:p>
    <w:p>
      <w:pPr>
        <w:spacing w:line="300" w:lineRule="auto"/>
        <w:ind w:firstLine="480"/>
        <w:jc w:val="both"/>
      </w:pPr>
      <w:r>
        <w:rPr>
          <w:rFonts w:ascii="Times New Roman" w:hAnsi="Times New Roman" w:cs="Times New Roman" w:eastAsia="宋体"/>
          <w:b w:val="0"/>
          <w:i w:val="0"/>
          <w:color w:val="000000"/>
          <w:sz w:val="24"/>
          <w:u w:val="none"/>
        </w:rPr>
        <w:t>通过 100 次随机生成"伪事件"日期进行安慰剂检验。真实效应量落在安慰剂系数分布的 [位置]，表明真实效应与随机效应 [比较结果]。</w:t>
      </w:r>
    </w:p>
    <w:p>
      <w:pPr>
        <w:pStyle w:val="Heading2"/>
        <w:spacing w:line="240" w:lineRule="auto" w:before="240" w:after="240"/>
        <w:jc w:val="left"/>
      </w:pPr>
      <w:r>
        <w:rPr>
          <w:rFonts w:ascii="Times New Roman" w:hAnsi="Times New Roman" w:cs="Times New Roman" w:eastAsia="黑体"/>
          <w:b/>
          <w:i w:val="0"/>
          <w:color w:val="000000"/>
          <w:sz w:val="28"/>
          <w:u w:val="none"/>
        </w:rPr>
        <w:t>4.7 本章小结</w:t>
      </w:r>
    </w:p>
    <w:p>
      <w:pPr>
        <w:spacing w:line="300" w:lineRule="auto"/>
        <w:ind w:firstLine="480"/>
        <w:jc w:val="both"/>
      </w:pPr>
      <w:r>
        <w:rPr>
          <w:rFonts w:ascii="Times New Roman" w:hAnsi="Times New Roman" w:cs="Times New Roman" w:eastAsia="宋体"/>
          <w:b w:val="0"/>
          <w:i w:val="0"/>
          <w:color w:val="000000"/>
          <w:sz w:val="24"/>
          <w:u w:val="none"/>
        </w:rPr>
        <w:t>本章报告了基于 114,915 条社交媒体评论的描述性分析结果。主要发现包括：（1）知乎用户的职业不安全感表达率显著高于哔哩哔哩（2.80% vs 0.86%）；（2）研究期间不安全感表达呈现显著上升趋势（IRR = 1.030, p &lt; 0.001）；（3）事件主效应在负二项回归中未达到统计显著性（IRR = 0.653, p = 0.083）；（4）事件后不安全感表达在 3 天内恢复至基线水平。平台差异和时间趋势的稳健性检验结果一致，支持这两项发现的可靠性。</w:t>
      </w:r>
    </w:p>
    <w:p>
      <w:pPr>
        <w:pStyle w:val="Heading1"/>
        <w:spacing w:line="240" w:lineRule="auto" w:before="240" w:after="240"/>
        <w:jc w:val="center"/>
      </w:pPr>
      <w:r>
        <w:rPr>
          <w:rFonts w:ascii="Times New Roman" w:hAnsi="Times New Roman" w:cs="Times New Roman" w:eastAsia="黑体"/>
          <w:b/>
          <w:i w:val="0"/>
          <w:color w:val="000000"/>
          <w:sz w:val="32"/>
          <w:u w:val="none"/>
        </w:rPr>
        <w:t>5 讨论</w:t>
      </w:r>
    </w:p>
    <w:p>
      <w:pPr>
        <w:pStyle w:val="Heading2"/>
        <w:spacing w:line="240" w:lineRule="auto" w:before="240" w:after="240"/>
        <w:jc w:val="left"/>
      </w:pPr>
      <w:r>
        <w:rPr>
          <w:rFonts w:ascii="Times New Roman" w:hAnsi="Times New Roman" w:cs="Times New Roman" w:eastAsia="黑体"/>
          <w:b/>
          <w:i w:val="0"/>
          <w:color w:val="000000"/>
          <w:sz w:val="28"/>
          <w:u w:val="none"/>
        </w:rPr>
        <w:t>5.1 主要发现解释</w:t>
      </w:r>
    </w:p>
    <w:p>
      <w:pPr>
        <w:spacing w:line="300" w:lineRule="auto"/>
        <w:ind w:firstLine="480"/>
        <w:jc w:val="both"/>
      </w:pPr>
      <w:r>
        <w:rPr>
          <w:rFonts w:ascii="Times New Roman" w:hAnsi="Times New Roman" w:cs="Times New Roman" w:eastAsia="宋体"/>
          <w:b w:val="0"/>
          <w:i w:val="0"/>
          <w:color w:val="000000"/>
          <w:sz w:val="24"/>
          <w:u w:val="none"/>
        </w:rPr>
        <w:t>本研究通过分析 114,915 条社交媒体评论，描述了中国公众在 AI 技术讨论背景下职业不安全感表达的特征。主要发现包括：</w:t>
      </w:r>
    </w:p>
    <w:p>
      <w:pPr>
        <w:spacing w:line="300" w:lineRule="auto"/>
        <w:ind w:firstLine="480"/>
        <w:jc w:val="both"/>
      </w:pPr>
      <w:r>
        <w:rPr>
          <w:rFonts w:ascii="Times New Roman" w:hAnsi="Times New Roman" w:cs="Times New Roman" w:eastAsia="宋体"/>
          <w:b w:val="0"/>
          <w:i w:val="0"/>
          <w:color w:val="000000"/>
          <w:sz w:val="24"/>
          <w:u w:val="none"/>
        </w:rPr>
        <w:t>第一，平台间存在显著的表達率差异。 知乎用户的职业不安全感表达率（2.80%）是哔哩哔哩（0.86%）的 3.25 倍。这一发现可能反映"高知焦虑"现象——知乎用户以高学历、技术从业者为主，对 AI 技术能力的认知更深入，因此对职业替代风险的感受更为敏锐。这与资源保存理论（COR; Hobfoll, 1989）的预测一致：当个体感知到自身核心资源（技能、职业身份）受到威胁时，会产生更强的情绪反应。</w:t>
      </w:r>
    </w:p>
    <w:p>
      <w:pPr>
        <w:spacing w:line="300" w:lineRule="auto"/>
        <w:ind w:firstLine="480"/>
        <w:jc w:val="both"/>
      </w:pPr>
      <w:r>
        <w:rPr>
          <w:rFonts w:ascii="Times New Roman" w:hAnsi="Times New Roman" w:cs="Times New Roman" w:eastAsia="宋体"/>
          <w:b w:val="0"/>
          <w:i w:val="0"/>
          <w:color w:val="000000"/>
          <w:sz w:val="24"/>
          <w:u w:val="none"/>
        </w:rPr>
        <w:t>第二，不安全感表达呈现显著的长期上升趋势。 在控制星期几效应后，时间趋势项显著为正（IRR = 1.030, p &lt; 0.001）。这表明公众对 AI 技术威胁的职业不安全感基线随时间推移而增强，可能反映了 AI 技术能力的持续进步和媒体对 AI 替代就业话题的持续关注。这一发现与"温水煮青蛙"效应相似——公众焦虑不是由单一事件触发，而是逐渐累积的结构性担忧。</w:t>
      </w:r>
    </w:p>
    <w:p>
      <w:pPr>
        <w:spacing w:line="300" w:lineRule="auto"/>
        <w:ind w:firstLine="480"/>
        <w:jc w:val="both"/>
      </w:pPr>
      <w:r>
        <w:rPr>
          <w:rFonts w:ascii="Times New Roman" w:hAnsi="Times New Roman" w:cs="Times New Roman" w:eastAsia="宋体"/>
          <w:b w:val="0"/>
          <w:i w:val="0"/>
          <w:color w:val="000000"/>
          <w:sz w:val="24"/>
          <w:u w:val="none"/>
        </w:rPr>
        <w:t>第三，事件主效应未达到统计显著性。 AI 技术事件窗口期（事件后 7 天）的主效应在负二项回归中 IRR = 0.653（p = 0.083），未达到 α = 0.05 的显著性水平。这可能表明：（1）技术事件的影响模式比简单的"事件后激增"更为复杂；（2）事件日总评论量激增稀释了不安全感表达的绝对计数；（3）不同类型的 AI 事件（技术突破 vs 就业负面）可能产生方向相反的效应。</w:t>
      </w:r>
    </w:p>
    <w:p>
      <w:pPr>
        <w:spacing w:line="300" w:lineRule="auto"/>
        <w:ind w:firstLine="480"/>
        <w:jc w:val="both"/>
      </w:pPr>
      <w:r>
        <w:rPr>
          <w:rFonts w:ascii="Times New Roman" w:hAnsi="Times New Roman" w:cs="Times New Roman" w:eastAsia="宋体"/>
          <w:b w:val="0"/>
          <w:i w:val="0"/>
          <w:color w:val="000000"/>
          <w:sz w:val="24"/>
          <w:u w:val="none"/>
        </w:rPr>
        <w:t>第四，事件后不安全感表达快速恢复。 事件研究法显示，不安全感表达在事件后 3 天内恢复至基线水平。这一恢复速度较快，可能反映社交媒体信息过载导致注意力快速转移，或公众逐渐将 AI 事件"常态化"。</w:t>
      </w:r>
    </w:p>
    <w:p>
      <w:pPr>
        <w:pStyle w:val="Heading2"/>
        <w:spacing w:line="240" w:lineRule="auto" w:before="240" w:after="240"/>
        <w:jc w:val="left"/>
      </w:pPr>
      <w:r>
        <w:rPr>
          <w:rFonts w:ascii="Times New Roman" w:hAnsi="Times New Roman" w:cs="Times New Roman" w:eastAsia="黑体"/>
          <w:b/>
          <w:i w:val="0"/>
          <w:color w:val="000000"/>
          <w:sz w:val="28"/>
          <w:u w:val="none"/>
        </w:rPr>
        <w:t>5.2 与文献对话</w:t>
      </w:r>
    </w:p>
    <w:p>
      <w:pPr>
        <w:spacing w:line="300" w:lineRule="auto"/>
        <w:ind w:firstLine="480"/>
        <w:jc w:val="both"/>
      </w:pPr>
      <w:r>
        <w:rPr>
          <w:rFonts w:ascii="Times New Roman" w:hAnsi="Times New Roman" w:cs="Times New Roman" w:eastAsia="宋体"/>
          <w:b w:val="0"/>
          <w:i w:val="0"/>
          <w:color w:val="000000"/>
          <w:sz w:val="24"/>
          <w:u w:val="none"/>
        </w:rPr>
        <w:t>本研究的发现与现有文献既有支持也有差异。平台差异方面，知乎用户更高的不安全感表达率与 Liu 等（2023）关于专业社区用户情绪表达更强烈的发现一致。这表明社区特征（用户教育水平、讨论深度、社区文化）显著影响情感表达模式。</w:t>
      </w:r>
    </w:p>
    <w:p>
      <w:pPr>
        <w:spacing w:line="300" w:lineRule="auto"/>
        <w:ind w:firstLine="480"/>
        <w:jc w:val="both"/>
      </w:pPr>
      <w:r>
        <w:rPr>
          <w:rFonts w:ascii="Times New Roman" w:hAnsi="Times New Roman" w:cs="Times New Roman" w:eastAsia="宋体"/>
          <w:b w:val="0"/>
          <w:i w:val="0"/>
          <w:color w:val="000000"/>
          <w:sz w:val="24"/>
          <w:u w:val="none"/>
        </w:rPr>
        <w:t>时间趋势方面，本研究发现的不安全感基线上升趋势与 Brough 和 Rudd（2022）关于 Twitter 上 AI 正面情感随时间增加的发现形成对比。可能的解释包括：（1）本研究聚焦职业不安全感而非一般情感；（2）中国社交媒体用户与 Twitter 用户群体不同；（3）研究时间窗口不同（本研究涵盖 AI 技术快速迭代期）。</w:t>
      </w:r>
    </w:p>
    <w:p>
      <w:pPr>
        <w:spacing w:line="300" w:lineRule="auto"/>
        <w:ind w:firstLine="480"/>
        <w:jc w:val="both"/>
      </w:pPr>
      <w:r>
        <w:rPr>
          <w:rFonts w:ascii="Times New Roman" w:hAnsi="Times New Roman" w:cs="Times New Roman" w:eastAsia="宋体"/>
          <w:b w:val="0"/>
          <w:i w:val="0"/>
          <w:color w:val="000000"/>
          <w:sz w:val="24"/>
          <w:u w:val="none"/>
        </w:rPr>
        <w:t>事件效应方面，本研究未检测到显著的事件主效应，与部分社交媒体情绪研究（如 Asur &amp; Huberman, 2011）发现事件后情绪显著变化的结果不同。这可能是因为：（1）AI 技术事件的影响更为复杂和分散；（2）本研究使用绝对计数而非表达率作为因变量；（3）样本量有限导致统计功效不足。</w:t>
      </w:r>
    </w:p>
    <w:p>
      <w:pPr>
        <w:pStyle w:val="Heading2"/>
        <w:spacing w:line="240" w:lineRule="auto" w:before="240" w:after="240"/>
        <w:jc w:val="left"/>
      </w:pPr>
      <w:r>
        <w:rPr>
          <w:rFonts w:ascii="Times New Roman" w:hAnsi="Times New Roman" w:cs="Times New Roman" w:eastAsia="黑体"/>
          <w:b/>
          <w:i w:val="0"/>
          <w:color w:val="000000"/>
          <w:sz w:val="28"/>
          <w:u w:val="none"/>
        </w:rPr>
        <w:t>5.3 理论贡献</w:t>
      </w:r>
    </w:p>
    <w:p>
      <w:pPr>
        <w:spacing w:line="300" w:lineRule="auto"/>
        <w:ind w:firstLine="480"/>
        <w:jc w:val="both"/>
      </w:pPr>
      <w:r>
        <w:rPr>
          <w:rFonts w:ascii="Times New Roman" w:hAnsi="Times New Roman" w:cs="Times New Roman" w:eastAsia="宋体"/>
          <w:b w:val="0"/>
          <w:i w:val="0"/>
          <w:color w:val="000000"/>
          <w:sz w:val="24"/>
          <w:u w:val="none"/>
        </w:rPr>
        <w:t>本研究的理论贡献主要体现在三个方面：</w:t>
      </w:r>
    </w:p>
    <w:p>
      <w:pPr>
        <w:spacing w:line="300" w:lineRule="auto"/>
        <w:ind w:firstLine="480"/>
        <w:jc w:val="both"/>
      </w:pPr>
      <w:r>
        <w:rPr>
          <w:rFonts w:ascii="Times New Roman" w:hAnsi="Times New Roman" w:cs="Times New Roman" w:eastAsia="宋体"/>
          <w:b w:val="0"/>
          <w:i w:val="0"/>
          <w:color w:val="000000"/>
          <w:sz w:val="24"/>
          <w:u w:val="none"/>
        </w:rPr>
        <w:t>第一，描述性贡献。 本研究提供了中国情境下 AI 技术讨论与职业不安全感表达的大规模经验证据（114,915 条评论，361 天），揭示了不同平台社群的表达差异和长期趋势。这些描述性发现为理解 AI 时代的社会心理反应提供了新的经验基础。</w:t>
      </w:r>
    </w:p>
    <w:p>
      <w:pPr>
        <w:spacing w:line="300" w:lineRule="auto"/>
        <w:ind w:firstLine="480"/>
        <w:jc w:val="both"/>
      </w:pPr>
      <w:r>
        <w:rPr>
          <w:rFonts w:ascii="Times New Roman" w:hAnsi="Times New Roman" w:cs="Times New Roman" w:eastAsia="宋体"/>
          <w:b w:val="0"/>
          <w:i w:val="0"/>
          <w:color w:val="000000"/>
          <w:sz w:val="24"/>
          <w:u w:val="none"/>
        </w:rPr>
        <w:t>第二，方法论贡献。 本研究验证了社交媒体数据在职业心理研究中的适用性，展示了基于词典的不安全感识别方法和时间序列分析在捕捉动态演化方面的价值。这一方法论探索为后续研究提供了新的研究路径。</w:t>
      </w:r>
    </w:p>
    <w:p>
      <w:pPr>
        <w:spacing w:line="300" w:lineRule="auto"/>
        <w:ind w:firstLine="480"/>
        <w:jc w:val="both"/>
      </w:pPr>
      <w:r>
        <w:rPr>
          <w:rFonts w:ascii="Times New Roman" w:hAnsi="Times New Roman" w:cs="Times New Roman" w:eastAsia="宋体"/>
          <w:b w:val="0"/>
          <w:i w:val="0"/>
          <w:color w:val="000000"/>
          <w:sz w:val="24"/>
          <w:u w:val="none"/>
        </w:rPr>
        <w:t>第三，跨文化贡献。 基于中国社交媒体数据，本研究发现中国公众对 AI 的职业不安全感表达具有平台异质性和时间趋势性，为理解文化价值观、媒体叙事、政策环境对 AI 技术反应的影响提供了经验证据。</w:t>
      </w:r>
    </w:p>
    <w:p>
      <w:pPr>
        <w:spacing w:line="300" w:lineRule="auto"/>
        <w:ind w:firstLine="480"/>
        <w:jc w:val="both"/>
      </w:pPr>
      <w:r>
        <w:rPr>
          <w:rFonts w:ascii="Times New Roman" w:hAnsi="Times New Roman" w:cs="Times New Roman" w:eastAsia="宋体"/>
          <w:b w:val="0"/>
          <w:i w:val="0"/>
          <w:color w:val="000000"/>
          <w:sz w:val="24"/>
          <w:u w:val="none"/>
        </w:rPr>
        <w:t>需要说明的是，由于本研究采用观察性设计且事件主效应未达到统计显著性，理论贡献主要定位为描述性和探索性的，而非终结性的理论验证。</w:t>
      </w:r>
    </w:p>
    <w:p>
      <w:pPr>
        <w:pStyle w:val="Heading2"/>
        <w:spacing w:line="240" w:lineRule="auto" w:before="240" w:after="240"/>
        <w:jc w:val="left"/>
      </w:pPr>
      <w:r>
        <w:rPr>
          <w:rFonts w:ascii="Times New Roman" w:hAnsi="Times New Roman" w:cs="Times New Roman" w:eastAsia="黑体"/>
          <w:b/>
          <w:i w:val="0"/>
          <w:color w:val="000000"/>
          <w:sz w:val="28"/>
          <w:u w:val="none"/>
        </w:rPr>
        <w:t>5.4 实践启示</w:t>
      </w:r>
    </w:p>
    <w:p>
      <w:pPr>
        <w:spacing w:line="300" w:lineRule="auto"/>
        <w:ind w:firstLine="480"/>
        <w:jc w:val="both"/>
      </w:pPr>
      <w:r>
        <w:rPr>
          <w:rFonts w:ascii="Times New Roman" w:hAnsi="Times New Roman" w:cs="Times New Roman" w:eastAsia="宋体"/>
          <w:b w:val="0"/>
          <w:i w:val="0"/>
          <w:color w:val="000000"/>
          <w:sz w:val="24"/>
          <w:u w:val="none"/>
        </w:rPr>
        <w:t>基于研究发现，本研究提出以下建议：</w:t>
      </w:r>
    </w:p>
    <w:p>
      <w:pPr>
        <w:spacing w:line="300" w:lineRule="auto"/>
        <w:ind w:firstLine="480"/>
        <w:jc w:val="both"/>
      </w:pPr>
      <w:r>
        <w:rPr>
          <w:rFonts w:ascii="Times New Roman" w:hAnsi="Times New Roman" w:cs="Times New Roman" w:eastAsia="宋体"/>
          <w:b w:val="0"/>
          <w:i w:val="0"/>
          <w:color w:val="000000"/>
          <w:sz w:val="24"/>
          <w:u w:val="none"/>
        </w:rPr>
        <w:t>政府层面：建立 AI 社会影响监测体系，定期监测社交媒体上公众对 AI 技术的情绪变化；制定差异化沟通策略，针对不同平台用户特征开展精准沟通。</w:t>
      </w:r>
    </w:p>
    <w:p>
      <w:pPr>
        <w:spacing w:line="300" w:lineRule="auto"/>
        <w:ind w:firstLine="480"/>
        <w:jc w:val="both"/>
      </w:pPr>
      <w:r>
        <w:rPr>
          <w:rFonts w:ascii="Times New Roman" w:hAnsi="Times New Roman" w:cs="Times New Roman" w:eastAsia="宋体"/>
          <w:b w:val="0"/>
          <w:i w:val="0"/>
          <w:color w:val="000000"/>
          <w:sz w:val="24"/>
          <w:u w:val="none"/>
        </w:rPr>
        <w:t>企业层面：在引入 AI 技术时加强员工沟通，减少不确定性；开展全员 AI 技能培训，提升员工的适应能力和竞争力。</w:t>
      </w:r>
    </w:p>
    <w:p>
      <w:pPr>
        <w:spacing w:line="300" w:lineRule="auto"/>
        <w:ind w:firstLine="480"/>
        <w:jc w:val="both"/>
      </w:pPr>
      <w:r>
        <w:rPr>
          <w:rFonts w:ascii="Times New Roman" w:hAnsi="Times New Roman" w:cs="Times New Roman" w:eastAsia="宋体"/>
          <w:b w:val="0"/>
          <w:i w:val="0"/>
          <w:color w:val="000000"/>
          <w:sz w:val="24"/>
          <w:u w:val="none"/>
        </w:rPr>
        <w:t>个人层面：主动学习 AI 技能，提升自身竞争力；发展 AI 难以替代的核心能力（如创造力、情商、复杂问题解决）；保持开放和理性的心态，避免过度焦虑或盲目乐观。</w:t>
      </w:r>
    </w:p>
    <w:p>
      <w:pPr>
        <w:spacing w:line="300" w:lineRule="auto"/>
        <w:ind w:firstLine="480"/>
        <w:jc w:val="both"/>
      </w:pPr>
      <w:r>
        <w:rPr>
          <w:rFonts w:ascii="Times New Roman" w:hAnsi="Times New Roman" w:cs="Times New Roman" w:eastAsia="宋体"/>
          <w:b w:val="0"/>
          <w:i w:val="0"/>
          <w:color w:val="000000"/>
          <w:sz w:val="24"/>
          <w:u w:val="none"/>
        </w:rPr>
        <w:t>平台层面：优化内容推荐算法，减少误导性信息和极端情绪传播；促进理性建设性的公共讨论，营造健康的 AI 讨论氛围。</w:t>
      </w:r>
    </w:p>
    <w:p>
      <w:pPr>
        <w:pStyle w:val="Heading2"/>
        <w:spacing w:line="240" w:lineRule="auto" w:before="240" w:after="240"/>
        <w:jc w:val="left"/>
      </w:pPr>
      <w:r>
        <w:rPr>
          <w:rFonts w:ascii="Times New Roman" w:hAnsi="Times New Roman" w:cs="Times New Roman" w:eastAsia="黑体"/>
          <w:b/>
          <w:i w:val="0"/>
          <w:color w:val="000000"/>
          <w:sz w:val="28"/>
          <w:u w:val="none"/>
        </w:rPr>
        <w:t>5.5 研究局限与未来方向</w:t>
      </w:r>
    </w:p>
    <w:p>
      <w:pPr>
        <w:spacing w:line="300" w:lineRule="auto"/>
        <w:ind w:firstLine="480"/>
        <w:jc w:val="both"/>
      </w:pPr>
      <w:r>
        <w:rPr>
          <w:rFonts w:ascii="Times New Roman" w:hAnsi="Times New Roman" w:cs="Times New Roman" w:eastAsia="宋体"/>
          <w:b w:val="0"/>
          <w:i w:val="0"/>
          <w:color w:val="000000"/>
          <w:sz w:val="24"/>
          <w:u w:val="none"/>
        </w:rPr>
        <w:t>本研究存在以下局限。第一，因果推断局限。 本研究采用观察性数据，无法确立因果关系。事件主效应未达到统计显著性，因此不能得出"AI 技术事件影响职业不安全感"的因果结论。第二，测量方法局限。 基于词典的关键词匹配方法可能遗漏隐性不安全感表达（如隐喻、讽刺、间接表述），也可能误判非职业语境下的相关词汇。第三，样本代表性局限。 样本来自三个深度讨论平台，用户教育水平偏高，可能无法代表更广泛的中国网民。小红书样本量过小（仅 3 天、142 条评论），无法进行有意义的统计推断。第四，时间跨度局限。 361 天的时间跨度虽长于大多数社交媒体研究，但相对于 AI 技术发展的长期趋势仍较短。</w:t>
      </w:r>
    </w:p>
    <w:p>
      <w:pPr>
        <w:spacing w:line="300" w:lineRule="auto"/>
        <w:ind w:firstLine="480"/>
        <w:jc w:val="both"/>
      </w:pPr>
      <w:r>
        <w:rPr>
          <w:rFonts w:ascii="Times New Roman" w:hAnsi="Times New Roman" w:cs="Times New Roman" w:eastAsia="宋体"/>
          <w:b w:val="0"/>
          <w:i w:val="0"/>
          <w:color w:val="000000"/>
          <w:sz w:val="24"/>
          <w:u w:val="none"/>
        </w:rPr>
        <w:t>未来研究可在以下方向推进：（1）整合社交媒体数据与问卷调查、深度访谈、实验研究，形成方法三角验证；（2）应用因果推断方法（如中断时间序列分析、双重差分法）增强因果识别；（3）扩展样本覆盖范围，纳入更多样化的平台和群体；（4）整合文本、图像、视频、行为数据，进行多模态分析；（5）发展 AI 特定的职业不安全感理论，整合时间动态和跨层交互作用。</w:t>
      </w:r>
    </w:p>
    <w:p>
      <w:pPr>
        <w:pStyle w:val="Heading2"/>
        <w:spacing w:line="240" w:lineRule="auto" w:before="240" w:after="240"/>
        <w:jc w:val="left"/>
      </w:pPr>
      <w:r>
        <w:rPr>
          <w:rFonts w:ascii="Times New Roman" w:hAnsi="Times New Roman" w:cs="Times New Roman" w:eastAsia="黑体"/>
          <w:b/>
          <w:i w:val="0"/>
          <w:color w:val="000000"/>
          <w:sz w:val="28"/>
          <w:u w:val="none"/>
        </w:rPr>
        <w:t>5.6 本章小结</w:t>
      </w:r>
    </w:p>
    <w:p>
      <w:pPr>
        <w:spacing w:line="300" w:lineRule="auto"/>
        <w:ind w:firstLine="480"/>
        <w:jc w:val="both"/>
      </w:pPr>
      <w:r>
        <w:rPr>
          <w:rFonts w:ascii="Times New Roman" w:hAnsi="Times New Roman" w:cs="Times New Roman" w:eastAsia="宋体"/>
          <w:b w:val="0"/>
          <w:i w:val="0"/>
          <w:color w:val="000000"/>
          <w:sz w:val="24"/>
          <w:u w:val="none"/>
        </w:rPr>
        <w:t>本研究通过分析 114,915 条社交媒体评论，揭示了中国公众在 AI 技术讨论背景下职业不安全感表达的平台差异、时间趋势和事件动态。研究发现知乎用户表达率显著高于哔哩哔哩，研究期间不安全感呈现上升趋势，但事件主效应未达到统计显著性。这些描述性发现为理解 AI 时代的社会心理反应提供了新的经验基础，同时指出了后续因果研究的方向。</w:t>
      </w:r>
    </w:p>
    <w:p>
      <w:pPr>
        <w:pStyle w:val="Heading1"/>
        <w:spacing w:line="240" w:lineRule="auto" w:before="240" w:after="240"/>
        <w:jc w:val="center"/>
      </w:pPr>
      <w:r>
        <w:rPr>
          <w:rFonts w:ascii="Times New Roman" w:hAnsi="Times New Roman" w:cs="Times New Roman" w:eastAsia="黑体"/>
          <w:b/>
          <w:i w:val="0"/>
          <w:color w:val="000000"/>
          <w:sz w:val="32"/>
          <w:u w:val="none"/>
        </w:rPr>
        <w:t>6 结论</w:t>
      </w:r>
    </w:p>
    <w:p>
      <w:pPr>
        <w:pStyle w:val="Heading2"/>
        <w:spacing w:line="240" w:lineRule="auto" w:before="240" w:after="240"/>
        <w:jc w:val="left"/>
      </w:pPr>
      <w:r>
        <w:rPr>
          <w:rFonts w:ascii="Times New Roman" w:hAnsi="Times New Roman" w:cs="Times New Roman" w:eastAsia="黑体"/>
          <w:b/>
          <w:i w:val="0"/>
          <w:color w:val="000000"/>
          <w:sz w:val="28"/>
          <w:u w:val="none"/>
        </w:rPr>
        <w:t>6.1 研究总结</w:t>
      </w:r>
    </w:p>
    <w:p>
      <w:pPr>
        <w:spacing w:line="300" w:lineRule="auto"/>
        <w:ind w:firstLine="480"/>
        <w:jc w:val="both"/>
      </w:pPr>
      <w:r>
        <w:rPr>
          <w:rFonts w:ascii="Times New Roman" w:hAnsi="Times New Roman" w:cs="Times New Roman" w:eastAsia="宋体"/>
          <w:b w:val="0"/>
          <w:i w:val="0"/>
          <w:color w:val="000000"/>
          <w:sz w:val="24"/>
          <w:u w:val="none"/>
        </w:rPr>
        <w:t>本研究采用描述性分析方法，对 2024 年 10 月 12 日至 2026 年 3 月 30 日期间来自哔哩哔哩、小红书、知乎三个平台的 114,915 条社交媒体评论进行了系统分析，描述了中国公众在 AI 技术讨论背景下职业不安全感表达的特征、平台差异和长期趋势。</w:t>
      </w:r>
    </w:p>
    <w:p>
      <w:pPr>
        <w:spacing w:line="300" w:lineRule="auto"/>
        <w:ind w:firstLine="480"/>
        <w:jc w:val="both"/>
      </w:pPr>
      <w:r>
        <w:rPr>
          <w:rFonts w:ascii="Times New Roman" w:hAnsi="Times New Roman" w:cs="Times New Roman" w:eastAsia="宋体"/>
          <w:b w:val="0"/>
          <w:i w:val="0"/>
          <w:color w:val="000000"/>
          <w:sz w:val="24"/>
          <w:u w:val="none"/>
        </w:rPr>
        <w:t>需要特别说明的是，本研究通过社交媒体文本挖掘捕捉的是公众在公开平台上对 AI 技术讨论中涉及职业不安全感的表达模式，而非通过标准化量表直接测量职业不安全感构念本身。因此，本研究的结果应解读为知识型员工群体在公开社交媒体平台上对 AI 技术讨论中涉及职业安全话题的表达特征，而非职业不安全感构念的水平或变化。</w:t>
      </w:r>
    </w:p>
    <w:p>
      <w:pPr>
        <w:pStyle w:val="Heading2"/>
        <w:spacing w:line="240" w:lineRule="auto" w:before="240" w:after="240"/>
        <w:jc w:val="left"/>
      </w:pPr>
      <w:r>
        <w:rPr>
          <w:rFonts w:ascii="Times New Roman" w:hAnsi="Times New Roman" w:cs="Times New Roman" w:eastAsia="黑体"/>
          <w:b/>
          <w:i w:val="0"/>
          <w:color w:val="000000"/>
          <w:sz w:val="28"/>
          <w:u w:val="none"/>
        </w:rPr>
        <w:t>6.2 主要发现</w:t>
      </w:r>
    </w:p>
    <w:p>
      <w:pPr>
        <w:spacing w:line="300" w:lineRule="auto"/>
        <w:ind w:firstLine="480"/>
        <w:jc w:val="both"/>
      </w:pPr>
      <w:r>
        <w:rPr>
          <w:rFonts w:ascii="Times New Roman" w:hAnsi="Times New Roman" w:cs="Times New Roman" w:eastAsia="宋体"/>
          <w:b w:val="0"/>
          <w:i w:val="0"/>
          <w:color w:val="000000"/>
          <w:sz w:val="24"/>
          <w:u w:val="none"/>
        </w:rPr>
        <w:t>本研究的主要发现包括四个方面：</w:t>
      </w:r>
    </w:p>
    <w:p>
      <w:pPr>
        <w:spacing w:line="300" w:lineRule="auto"/>
        <w:ind w:firstLine="480"/>
        <w:jc w:val="both"/>
      </w:pPr>
      <w:r>
        <w:rPr>
          <w:rFonts w:ascii="Times New Roman" w:hAnsi="Times New Roman" w:cs="Times New Roman" w:eastAsia="宋体"/>
          <w:b w:val="0"/>
          <w:i w:val="0"/>
          <w:color w:val="000000"/>
          <w:sz w:val="24"/>
          <w:u w:val="none"/>
        </w:rPr>
        <w:t>第一，平台间表达率存在显著差异。 知乎用户的职业不安全感表达率最高（2.80%，371/13,233），哔哩哔哩次之（0.86%，870/101,540），二者相差 3.25 倍。这一差异可能反映平台用户特征和社区文化对情感表达的塑造作用。需要指出的是，小红书因样本量过小（仅 3 天、142 条评论）无法进行有意义的统计推断。</w:t>
      </w:r>
    </w:p>
    <w:p>
      <w:pPr>
        <w:spacing w:line="300" w:lineRule="auto"/>
        <w:ind w:firstLine="480"/>
        <w:jc w:val="both"/>
      </w:pPr>
      <w:r>
        <w:rPr>
          <w:rFonts w:ascii="Times New Roman" w:hAnsi="Times New Roman" w:cs="Times New Roman" w:eastAsia="宋体"/>
          <w:b w:val="0"/>
          <w:i w:val="0"/>
          <w:color w:val="000000"/>
          <w:sz w:val="24"/>
          <w:u w:val="none"/>
        </w:rPr>
        <w:t>第二，研究期间不安全感表达呈现显著上升趋势。 在控制星期几效应后，时间趋势项显著为正（IRR = 1.030, p &lt; 0.001）。这表明公众对 AI 技术威胁的职业不安全感基线随时间推移而增强，反映公众对 AI 威胁的感知从"事件驱动"逐渐转向"结构性担忧"。</w:t>
      </w:r>
    </w:p>
    <w:p>
      <w:pPr>
        <w:spacing w:line="300" w:lineRule="auto"/>
        <w:ind w:firstLine="480"/>
        <w:jc w:val="both"/>
      </w:pPr>
      <w:r>
        <w:rPr>
          <w:rFonts w:ascii="Times New Roman" w:hAnsi="Times New Roman" w:cs="Times New Roman" w:eastAsia="宋体"/>
          <w:b w:val="0"/>
          <w:i w:val="0"/>
          <w:color w:val="000000"/>
          <w:sz w:val="24"/>
          <w:u w:val="none"/>
        </w:rPr>
        <w:t>第三，事件主效应未达到统计显著性。 AI 技术事件窗口期（事件后 7 天）的主效应在负二项回归中 IRR = 0.653（95% CI [0.404, 1.058]），p = 0.083，未达到 α = 0.05 的显著性水平。这表明 AI 技术事件对职业不安全感表达的即时影响模式比预期更为复杂，或受到事件日总评论量激增的稀释效应影响。</w:t>
      </w:r>
    </w:p>
    <w:p>
      <w:pPr>
        <w:spacing w:line="300" w:lineRule="auto"/>
        <w:ind w:firstLine="480"/>
        <w:jc w:val="both"/>
      </w:pPr>
      <w:r>
        <w:rPr>
          <w:rFonts w:ascii="Times New Roman" w:hAnsi="Times New Roman" w:cs="Times New Roman" w:eastAsia="宋体"/>
          <w:b w:val="0"/>
          <w:i w:val="0"/>
          <w:color w:val="000000"/>
          <w:sz w:val="24"/>
          <w:u w:val="none"/>
        </w:rPr>
        <w:t>第四，事件后不安全感表达快速恢复。 事件研究法显示，不安全感表达在事件后 3 天内恢复至基线水平，恢复速度较快。这可能反映社交媒体信息过载导致注意力快速转移，或公众逐渐将 AI 技术事件"常态化"。</w:t>
      </w:r>
    </w:p>
    <w:p>
      <w:pPr>
        <w:pStyle w:val="Heading2"/>
        <w:spacing w:line="240" w:lineRule="auto" w:before="240" w:after="240"/>
        <w:jc w:val="left"/>
      </w:pPr>
      <w:r>
        <w:rPr>
          <w:rFonts w:ascii="Times New Roman" w:hAnsi="Times New Roman" w:cs="Times New Roman" w:eastAsia="黑体"/>
          <w:b/>
          <w:i w:val="0"/>
          <w:color w:val="000000"/>
          <w:sz w:val="28"/>
          <w:u w:val="none"/>
        </w:rPr>
        <w:t>6.3 理论贡献</w:t>
      </w:r>
    </w:p>
    <w:p>
      <w:pPr>
        <w:spacing w:line="300" w:lineRule="auto"/>
        <w:ind w:firstLine="480"/>
        <w:jc w:val="both"/>
      </w:pPr>
      <w:r>
        <w:rPr>
          <w:rFonts w:ascii="Times New Roman" w:hAnsi="Times New Roman" w:cs="Times New Roman" w:eastAsia="宋体"/>
          <w:b w:val="0"/>
          <w:i w:val="0"/>
          <w:color w:val="000000"/>
          <w:sz w:val="24"/>
          <w:u w:val="none"/>
        </w:rPr>
        <w:t>本研究的理论贡献主要体现在三个方面：</w:t>
      </w:r>
    </w:p>
    <w:p>
      <w:pPr>
        <w:spacing w:line="300" w:lineRule="auto"/>
        <w:ind w:firstLine="480"/>
        <w:jc w:val="both"/>
      </w:pPr>
      <w:r>
        <w:rPr>
          <w:rFonts w:ascii="Times New Roman" w:hAnsi="Times New Roman" w:cs="Times New Roman" w:eastAsia="宋体"/>
          <w:b w:val="0"/>
          <w:i w:val="0"/>
          <w:color w:val="000000"/>
          <w:sz w:val="24"/>
          <w:u w:val="none"/>
        </w:rPr>
        <w:t>第一，描述性贡献。 本研究提供了中国情境下 AI 技术讨论与职业不安全感表达的大规模经验证据，揭示了不同平台社群的表达差异和长期趋势，为理解 AI 时代的社会心理反应提供了新的经验基础。</w:t>
      </w:r>
    </w:p>
    <w:p>
      <w:pPr>
        <w:spacing w:line="300" w:lineRule="auto"/>
        <w:ind w:firstLine="480"/>
        <w:jc w:val="both"/>
      </w:pPr>
      <w:r>
        <w:rPr>
          <w:rFonts w:ascii="Times New Roman" w:hAnsi="Times New Roman" w:cs="Times New Roman" w:eastAsia="宋体"/>
          <w:b w:val="0"/>
          <w:i w:val="0"/>
          <w:color w:val="000000"/>
          <w:sz w:val="24"/>
          <w:u w:val="none"/>
        </w:rPr>
        <w:t>第二，方法论贡献。 本研究验证了社交媒体数据在职业心理研究中的适用性，展示了基于词典的不安全感识别方法和时间序列分析在捕捉动态演化方面的价值。</w:t>
      </w:r>
    </w:p>
    <w:p>
      <w:pPr>
        <w:spacing w:line="300" w:lineRule="auto"/>
        <w:ind w:firstLine="480"/>
        <w:jc w:val="both"/>
      </w:pPr>
      <w:r>
        <w:rPr>
          <w:rFonts w:ascii="Times New Roman" w:hAnsi="Times New Roman" w:cs="Times New Roman" w:eastAsia="宋体"/>
          <w:b w:val="0"/>
          <w:i w:val="0"/>
          <w:color w:val="000000"/>
          <w:sz w:val="24"/>
          <w:u w:val="none"/>
        </w:rPr>
        <w:t>第三，跨文化贡献。 基于中国社交媒体数据，本研究发现中国公众对 AI 的职业不安全感表达具有平台异质性和时间趋势性，为理解文化价值观、媒体叙事、政策环境对 AI 技术反应的影响提供了经验证据。</w:t>
      </w:r>
    </w:p>
    <w:p>
      <w:pPr>
        <w:spacing w:line="300" w:lineRule="auto"/>
        <w:ind w:firstLine="480"/>
        <w:jc w:val="both"/>
      </w:pPr>
      <w:r>
        <w:rPr>
          <w:rFonts w:ascii="Times New Roman" w:hAnsi="Times New Roman" w:cs="Times New Roman" w:eastAsia="宋体"/>
          <w:b w:val="0"/>
          <w:i w:val="0"/>
          <w:color w:val="000000"/>
          <w:sz w:val="24"/>
          <w:u w:val="none"/>
        </w:rPr>
        <w:t>需要坦诚说明的是，由于事件主效应未达到统计显著性，本研究无法验证"AI 技术事件显著影响职业不安全感表达"这一核心假设。因此，本研究的理论贡献主要定位为描述性和探索性的，而非终结性的理论验证。</w:t>
      </w:r>
    </w:p>
    <w:p>
      <w:pPr>
        <w:pStyle w:val="Heading2"/>
        <w:spacing w:line="240" w:lineRule="auto" w:before="240" w:after="240"/>
        <w:jc w:val="left"/>
      </w:pPr>
      <w:r>
        <w:rPr>
          <w:rFonts w:ascii="Times New Roman" w:hAnsi="Times New Roman" w:cs="Times New Roman" w:eastAsia="黑体"/>
          <w:b/>
          <w:i w:val="0"/>
          <w:color w:val="000000"/>
          <w:sz w:val="28"/>
          <w:u w:val="none"/>
        </w:rPr>
        <w:t>6.4 实践启示</w:t>
      </w:r>
    </w:p>
    <w:p>
      <w:pPr>
        <w:spacing w:line="300" w:lineRule="auto"/>
        <w:ind w:firstLine="480"/>
        <w:jc w:val="both"/>
      </w:pPr>
      <w:r>
        <w:rPr>
          <w:rFonts w:ascii="Times New Roman" w:hAnsi="Times New Roman" w:cs="Times New Roman" w:eastAsia="宋体"/>
          <w:b w:val="0"/>
          <w:i w:val="0"/>
          <w:color w:val="000000"/>
          <w:sz w:val="24"/>
          <w:u w:val="none"/>
        </w:rPr>
        <w:t>基于研究发现，本研究提出以下建议：</w:t>
      </w:r>
    </w:p>
    <w:p>
      <w:pPr>
        <w:spacing w:line="300" w:lineRule="auto"/>
        <w:ind w:firstLine="480"/>
        <w:jc w:val="both"/>
      </w:pPr>
      <w:r>
        <w:rPr>
          <w:rFonts w:ascii="Times New Roman" w:hAnsi="Times New Roman" w:cs="Times New Roman" w:eastAsia="宋体"/>
          <w:b w:val="0"/>
          <w:i w:val="0"/>
          <w:color w:val="000000"/>
          <w:sz w:val="24"/>
          <w:u w:val="none"/>
        </w:rPr>
        <w:t>政府层面：建立 AI 社会影响监测体系，定期监测社交媒体上公众对 AI 技术的情绪变化，尤其关注知识型员工群体的职业安全感动态；制定差异化沟通策略，针对不同平台用户特征开展精准沟通。</w:t>
      </w:r>
    </w:p>
    <w:p>
      <w:pPr>
        <w:spacing w:line="300" w:lineRule="auto"/>
        <w:ind w:firstLine="480"/>
        <w:jc w:val="both"/>
      </w:pPr>
      <w:r>
        <w:rPr>
          <w:rFonts w:ascii="Times New Roman" w:hAnsi="Times New Roman" w:cs="Times New Roman" w:eastAsia="宋体"/>
          <w:b w:val="0"/>
          <w:i w:val="0"/>
          <w:color w:val="000000"/>
          <w:sz w:val="24"/>
          <w:u w:val="none"/>
        </w:rPr>
        <w:t>企业层面：在引入 AI 技术时加强员工沟通，减少不确定性；开展全员 AI 技能培训，提升员工的适应能力和竞争力；重新设计人机协作岗位，发挥人类独特优势。</w:t>
      </w:r>
    </w:p>
    <w:p>
      <w:pPr>
        <w:spacing w:line="300" w:lineRule="auto"/>
        <w:ind w:firstLine="480"/>
        <w:jc w:val="both"/>
      </w:pPr>
      <w:r>
        <w:rPr>
          <w:rFonts w:ascii="Times New Roman" w:hAnsi="Times New Roman" w:cs="Times New Roman" w:eastAsia="宋体"/>
          <w:b w:val="0"/>
          <w:i w:val="0"/>
          <w:color w:val="000000"/>
          <w:sz w:val="24"/>
          <w:u w:val="none"/>
        </w:rPr>
        <w:t>个人层面：主动学习 AI 技能，提升自身竞争力；发展 AI 难以替代的核心能力（如创造力、情商、复杂问题解决）；保持开放和理性的心态。</w:t>
      </w:r>
    </w:p>
    <w:p>
      <w:pPr>
        <w:spacing w:line="300" w:lineRule="auto"/>
        <w:ind w:firstLine="480"/>
        <w:jc w:val="both"/>
      </w:pPr>
      <w:r>
        <w:rPr>
          <w:rFonts w:ascii="Times New Roman" w:hAnsi="Times New Roman" w:cs="Times New Roman" w:eastAsia="宋体"/>
          <w:b w:val="0"/>
          <w:i w:val="0"/>
          <w:color w:val="000000"/>
          <w:sz w:val="24"/>
          <w:u w:val="none"/>
        </w:rPr>
        <w:t>平台层面：优化内容推荐算法，减少误导性信息和极端情绪传播；促进理性建设性的公共讨论，营造健康的 AI 讨论氛围。</w:t>
      </w:r>
    </w:p>
    <w:p>
      <w:pPr>
        <w:pStyle w:val="Heading2"/>
        <w:spacing w:line="240" w:lineRule="auto" w:before="240" w:after="240"/>
        <w:jc w:val="left"/>
      </w:pPr>
      <w:r>
        <w:rPr>
          <w:rFonts w:ascii="Times New Roman" w:hAnsi="Times New Roman" w:cs="Times New Roman" w:eastAsia="黑体"/>
          <w:b/>
          <w:i w:val="0"/>
          <w:color w:val="000000"/>
          <w:sz w:val="28"/>
          <w:u w:val="none"/>
        </w:rPr>
        <w:t>6.5 研究局限与未来方向</w:t>
      </w:r>
    </w:p>
    <w:p>
      <w:pPr>
        <w:spacing w:line="300" w:lineRule="auto"/>
        <w:ind w:firstLine="480"/>
        <w:jc w:val="both"/>
      </w:pPr>
      <w:r>
        <w:rPr>
          <w:rFonts w:ascii="Times New Roman" w:hAnsi="Times New Roman" w:cs="Times New Roman" w:eastAsia="宋体"/>
          <w:b w:val="0"/>
          <w:i w:val="0"/>
          <w:color w:val="000000"/>
          <w:sz w:val="24"/>
          <w:u w:val="none"/>
        </w:rPr>
        <w:t>本研究存在以下局限。第一，因果推断局限：观察性设计无法确立因果关系，事件主效应未达到统计显著性，因此不能得出因果结论。第二，测量方法局限：基于词典的关键词匹配方法可能遗漏隐性不安全感表达，也可能误判非职业语境下的相关词汇。第三，样本代表性局限：样本来自三个深度讨论平台，用户教育水平偏高，可能无法代表更广泛的中国网民。第四，时间跨度局限：361 天的时间跨度虽长于大多数社交媒体研究，但相对于 AI 技术发展的长期趋势仍较短。</w:t>
      </w:r>
    </w:p>
    <w:p>
      <w:pPr>
        <w:spacing w:line="300" w:lineRule="auto"/>
        <w:ind w:firstLine="480"/>
        <w:jc w:val="both"/>
      </w:pPr>
      <w:r>
        <w:rPr>
          <w:rFonts w:ascii="Times New Roman" w:hAnsi="Times New Roman" w:cs="Times New Roman" w:eastAsia="宋体"/>
          <w:b w:val="0"/>
          <w:i w:val="0"/>
          <w:color w:val="000000"/>
          <w:sz w:val="24"/>
          <w:u w:val="none"/>
        </w:rPr>
        <w:t>未来研究可在以下方向推进：（1）整合社交媒体数据与问卷调查、深度访谈、实验研究，形成方法三角验证；（2）应用因果推断方法（如中断时间序列分析、双重差分法）增强因果识别；（3）扩展样本覆盖范围，纳入更多样化的平台和群体；（4）整合文本、图像、视频、行为数据，进行多模态分析；（5）发展 AI 特定的职业不安全感理论。</w:t>
      </w:r>
    </w:p>
    <w:p>
      <w:pPr>
        <w:pStyle w:val="Heading2"/>
        <w:spacing w:line="240" w:lineRule="auto" w:before="240" w:after="240"/>
        <w:jc w:val="left"/>
      </w:pPr>
      <w:r>
        <w:rPr>
          <w:rFonts w:ascii="Times New Roman" w:hAnsi="Times New Roman" w:cs="Times New Roman" w:eastAsia="黑体"/>
          <w:b/>
          <w:i w:val="0"/>
          <w:color w:val="000000"/>
          <w:sz w:val="28"/>
          <w:u w:val="none"/>
        </w:rPr>
        <w:t>6.6 结语</w:t>
      </w:r>
    </w:p>
    <w:p>
      <w:pPr>
        <w:spacing w:line="300" w:lineRule="auto"/>
        <w:ind w:firstLine="480"/>
        <w:jc w:val="both"/>
      </w:pPr>
      <w:r>
        <w:rPr>
          <w:rFonts w:ascii="Times New Roman" w:hAnsi="Times New Roman" w:cs="Times New Roman" w:eastAsia="宋体"/>
          <w:b w:val="0"/>
          <w:i w:val="0"/>
          <w:color w:val="000000"/>
          <w:sz w:val="24"/>
          <w:u w:val="none"/>
        </w:rPr>
        <w:t>本研究通过分析 114,915 条社交媒体评论，揭示了中国公众在 AI 技术讨论背景下职业不安全感表达的平台差异、时间趋势和事件动态。研究发现知乎用户表达率显著高于哔哩哔哩，研究期间不安全感呈现上升趋势，但事件主效应未达到统计显著性。</w:t>
      </w:r>
    </w:p>
    <w:p>
      <w:pPr>
        <w:spacing w:line="300" w:lineRule="auto"/>
        <w:ind w:firstLine="480"/>
        <w:jc w:val="both"/>
      </w:pPr>
      <w:r>
        <w:rPr>
          <w:rFonts w:ascii="Times New Roman" w:hAnsi="Times New Roman" w:cs="Times New Roman" w:eastAsia="宋体"/>
          <w:b w:val="0"/>
          <w:i w:val="0"/>
          <w:color w:val="000000"/>
          <w:sz w:val="24"/>
          <w:u w:val="none"/>
        </w:rPr>
        <w:t>本研究的核心贡献在于描述"是什么"（表达的特征和规律），而非解释"为什么"（因果机制）或"怎么办"（干预策略）。我们希望通过这一描述性研究，为后续因果研究和干预研究提供基础，为政策制定者、企业管理者、个人和平台提供参考，共同促进 AI 时代的平稳转型和可持续发展。</w:t>
      </w:r>
    </w:p>
    <w:p>
      <w:pPr>
        <w:spacing w:before="480" w:after="480"/>
      </w:pPr>
      <w:r>
        <w:rPr>
          <w:rFonts w:ascii="Times New Roman" w:hAnsi="Times New Roman" w:cs="Times New Roman" w:eastAsia="黑体"/>
          <w:b/>
          <w:i w:val="0"/>
          <w:color w:val="000000"/>
          <w:sz w:val="28"/>
          <w:u w:val="none"/>
        </w:rPr>
        <w:t>作者签名：____________________</w:t>
      </w:r>
    </w:p>
    <w:p>
      <w:pPr>
        <w:pStyle w:val="Heading1"/>
        <w:spacing w:line="240" w:lineRule="auto" w:before="240" w:after="240"/>
        <w:jc w:val="center"/>
      </w:pPr>
      <w:r>
        <w:rPr>
          <w:rFonts w:ascii="Times New Roman" w:hAnsi="Times New Roman" w:cs="Times New Roman" w:eastAsia="黑体"/>
          <w:b/>
          <w:i w:val="0"/>
          <w:color w:val="000000"/>
          <w:sz w:val="32"/>
          <w:u w:val="none"/>
        </w:rPr>
        <w:t>参考文献</w:t>
      </w:r>
    </w:p>
    <w:p>
      <w:pPr>
        <w:spacing w:line="300" w:lineRule="auto"/>
        <w:ind w:left="480" w:hanging="480"/>
      </w:pPr>
      <w:r>
        <w:rPr>
          <w:rFonts w:ascii="Times New Roman" w:hAnsi="Times New Roman" w:cs="Times New Roman" w:eastAsia="宋体"/>
          <w:b w:val="0"/>
          <w:i w:val="0"/>
          <w:color w:val="000000"/>
          <w:sz w:val="24"/>
          <w:u w:val="none"/>
        </w:rPr>
        <w:t>[1] Ashford, S. J., Lee, C., &amp; Bobko, P. Content, causes, and consequences of job insecurity: A theory-based measure and substantive test[J]. Academy of Management Journal, 1989, 32(4): 803–829。 https://doi.org/10.2307/256569</w:t>
      </w:r>
    </w:p>
    <w:p>
      <w:pPr>
        <w:spacing w:line="300" w:lineRule="auto"/>
        <w:ind w:left="480" w:hanging="480"/>
      </w:pPr>
      <w:r>
        <w:rPr>
          <w:rFonts w:ascii="Times New Roman" w:hAnsi="Times New Roman" w:cs="Times New Roman" w:eastAsia="宋体"/>
          <w:b w:val="0"/>
          <w:i w:val="0"/>
          <w:color w:val="000000"/>
          <w:sz w:val="24"/>
          <w:u w:val="none"/>
        </w:rPr>
        <w:t>[2] Cheng, G. H. L., &amp; Chan, D. K. S. Who suffers more from job insecurity? A meta-analytic review[J]. Journal of Applied Psychology, 2008, 93(2): 383–402。 https://doi.org/10.1037/0021-9010.93.2.383</w:t>
      </w:r>
    </w:p>
    <w:p>
      <w:pPr>
        <w:spacing w:line="300" w:lineRule="auto"/>
        <w:ind w:left="480" w:hanging="480"/>
      </w:pPr>
      <w:r>
        <w:rPr>
          <w:rFonts w:ascii="Times New Roman" w:hAnsi="Times New Roman" w:cs="Times New Roman" w:eastAsia="宋体"/>
          <w:b w:val="0"/>
          <w:i w:val="0"/>
          <w:color w:val="000000"/>
          <w:sz w:val="24"/>
          <w:u w:val="none"/>
        </w:rPr>
        <w:t>[3] De Witte, H. Job insecurity: Review of the international literature on definitions, prevalence, antecedents and consequences[J]. SA Journal of Industrial Psychology, 2005, 31(4): 1–6。</w:t>
      </w:r>
    </w:p>
    <w:p>
      <w:pPr>
        <w:spacing w:line="300" w:lineRule="auto"/>
        <w:ind w:left="480" w:hanging="480"/>
      </w:pPr>
      <w:r>
        <w:rPr>
          <w:rFonts w:ascii="Times New Roman" w:hAnsi="Times New Roman" w:cs="Times New Roman" w:eastAsia="宋体"/>
          <w:b w:val="0"/>
          <w:i w:val="0"/>
          <w:color w:val="000000"/>
          <w:sz w:val="24"/>
          <w:u w:val="none"/>
        </w:rPr>
        <w:t>[4] Greenhalgh, L., &amp; Rosenblatt, Z. Job insecurity: Toward conceptual clarity[J]. Academy of Management Review, 1984, 9(3): 438–448。 https://doi.org/10.5465/amr.1984.4279673</w:t>
      </w:r>
    </w:p>
    <w:p>
      <w:pPr>
        <w:spacing w:line="300" w:lineRule="auto"/>
        <w:ind w:left="480" w:hanging="480"/>
      </w:pPr>
      <w:r>
        <w:rPr>
          <w:rFonts w:ascii="Times New Roman" w:hAnsi="Times New Roman" w:cs="Times New Roman" w:eastAsia="宋体"/>
          <w:b w:val="0"/>
          <w:i w:val="0"/>
          <w:color w:val="000000"/>
          <w:sz w:val="24"/>
          <w:u w:val="none"/>
        </w:rPr>
        <w:t>[5] Jiang, L., &amp; Lavaysse, L. M. Cognitive and affective job insecurity: A meta-analysis and a primary study[J]. Journal of Management, 2018, 44(6): 2307–2332。 https://doi.org/10.1177/0149206318773853</w:t>
      </w:r>
    </w:p>
    <w:p>
      <w:pPr>
        <w:spacing w:line="300" w:lineRule="auto"/>
        <w:ind w:left="480" w:hanging="480"/>
      </w:pPr>
      <w:r>
        <w:rPr>
          <w:rFonts w:ascii="Times New Roman" w:hAnsi="Times New Roman" w:cs="Times New Roman" w:eastAsia="宋体"/>
          <w:b w:val="0"/>
          <w:i w:val="0"/>
          <w:color w:val="000000"/>
          <w:sz w:val="24"/>
          <w:u w:val="none"/>
        </w:rPr>
        <w:t>[6] Sverke, M., Hellgren, J., &amp; Näswall, K. No security: A meta-analysis and review of job insecurity and its consequences[J]. Journal of Occupational Health Psychology, 2002, 7(3): 242–264。 https://doi.org/10.1037/1076-8998.7.3.242</w:t>
      </w:r>
    </w:p>
    <w:p>
      <w:pPr>
        <w:spacing w:line="300" w:lineRule="auto"/>
        <w:ind w:left="480" w:hanging="480"/>
      </w:pPr>
      <w:r>
        <w:rPr>
          <w:rFonts w:ascii="Times New Roman" w:hAnsi="Times New Roman" w:cs="Times New Roman" w:eastAsia="宋体"/>
          <w:b w:val="0"/>
          <w:i w:val="0"/>
          <w:color w:val="000000"/>
          <w:sz w:val="24"/>
          <w:u w:val="none"/>
        </w:rPr>
        <w:t>[7] Theodossiou, I. The effects of low-pay and unemployment on psychological well-being: A logistic regression approach[J]. Journal of Health Economics, 1998, 17(1): 85–104。 https://doi.org/10.1016/S0167-6296(97)00018-0</w:t>
      </w:r>
    </w:p>
    <w:p>
      <w:pPr>
        <w:spacing w:line="300" w:lineRule="auto"/>
        <w:ind w:left="480" w:hanging="480"/>
      </w:pPr>
      <w:r>
        <w:rPr>
          <w:rFonts w:ascii="Times New Roman" w:hAnsi="Times New Roman" w:cs="Times New Roman" w:eastAsia="宋体"/>
          <w:b w:val="0"/>
          <w:i w:val="0"/>
          <w:color w:val="000000"/>
          <w:sz w:val="24"/>
          <w:u w:val="none"/>
        </w:rPr>
        <w:t>[8] Arntz, M., Gregory, T., &amp; Zierahn, U. The risk of automation for jobs in OECD countries: A comparative analysis (OECD Social, Employment and Migration Working Papers, No[R]. 189). OECD Publishing 2016。 https://doi.org/10.1787/5jlz9h56dvq7-en</w:t>
      </w:r>
    </w:p>
    <w:p>
      <w:pPr>
        <w:spacing w:line="300" w:lineRule="auto"/>
        <w:ind w:left="480" w:hanging="480"/>
      </w:pPr>
      <w:r>
        <w:rPr>
          <w:rFonts w:ascii="Times New Roman" w:hAnsi="Times New Roman" w:cs="Times New Roman" w:eastAsia="宋体"/>
          <w:b w:val="0"/>
          <w:i w:val="0"/>
          <w:color w:val="000000"/>
          <w:sz w:val="24"/>
          <w:u w:val="none"/>
        </w:rPr>
        <w:t>[9] Bessen, J. E. Artificial intelligence and jobs: The role of demand[A]. In: A. Agrawal, J. Gans, &amp; A. Goldfarb (Eds.), The economics of artificial intelligence: An agenda. University of Chicago Press[C]. 2019: 237–258。 https://doi.org/10.7208/chicago/9780226613475.003.0009</w:t>
      </w:r>
    </w:p>
    <w:p>
      <w:pPr>
        <w:spacing w:line="300" w:lineRule="auto"/>
        <w:ind w:left="480" w:hanging="480"/>
      </w:pPr>
      <w:r>
        <w:rPr>
          <w:rFonts w:ascii="Times New Roman" w:hAnsi="Times New Roman" w:cs="Times New Roman" w:eastAsia="宋体"/>
          <w:b w:val="0"/>
          <w:i w:val="0"/>
          <w:color w:val="000000"/>
          <w:sz w:val="24"/>
          <w:u w:val="none"/>
        </w:rPr>
        <w:t>[10] Frey, C. B., &amp; Osborne, M. A. The future of employment: How susceptible are jobs to computerisation? Technological Forecasting and Social Change, 114, 254–280. 2017。 https://doi.org/10.1016/j.techfore.2016.08.019</w:t>
      </w:r>
    </w:p>
    <w:p>
      <w:pPr>
        <w:spacing w:line="300" w:lineRule="auto"/>
        <w:ind w:left="480" w:hanging="480"/>
      </w:pPr>
      <w:r>
        <w:rPr>
          <w:rFonts w:ascii="Times New Roman" w:hAnsi="Times New Roman" w:cs="Times New Roman" w:eastAsia="宋体"/>
          <w:b w:val="0"/>
          <w:i w:val="0"/>
          <w:color w:val="000000"/>
          <w:sz w:val="24"/>
          <w:u w:val="none"/>
        </w:rPr>
        <w:t>[11] Manyika, J., Lund, S., Chui, M., Bughin, J., Woetzel, J., Batra, P., Ko, R., &amp; Sanghvi, S. Jobs lost, jobs gained: Workforce transitions in a time of automation[R]. McKinsey Global Institute 2017。 https://www.mckinsey.com/featured-insights/future-of-work/jobs-lost-jobs-gained</w:t>
      </w:r>
    </w:p>
    <w:p>
      <w:pPr>
        <w:spacing w:line="300" w:lineRule="auto"/>
        <w:ind w:left="480" w:hanging="480"/>
      </w:pPr>
      <w:r>
        <w:rPr>
          <w:rFonts w:ascii="Times New Roman" w:hAnsi="Times New Roman" w:cs="Times New Roman" w:eastAsia="宋体"/>
          <w:b w:val="0"/>
          <w:i w:val="0"/>
          <w:color w:val="000000"/>
          <w:sz w:val="24"/>
          <w:u w:val="none"/>
        </w:rPr>
        <w:t>[12] McKinsey &amp; Company. The economic potential of generative AI: The next productivity frontier[R]. McKinsey Global Institute 2023。 https://www.mckinsey.com/capabilities/tech-and-ai/our-insights/the-economic-potential-of-generative-ai-the-next-productivity-frontier</w:t>
      </w:r>
    </w:p>
    <w:p>
      <w:pPr>
        <w:spacing w:line="300" w:lineRule="auto"/>
        <w:ind w:left="480" w:hanging="480"/>
      </w:pPr>
      <w:r>
        <w:rPr>
          <w:rFonts w:ascii="Times New Roman" w:hAnsi="Times New Roman" w:cs="Times New Roman" w:eastAsia="宋体"/>
          <w:b w:val="0"/>
          <w:i w:val="0"/>
          <w:color w:val="000000"/>
          <w:sz w:val="24"/>
          <w:u w:val="none"/>
        </w:rPr>
        <w:t>[13] World Economic Forum. The future of jobs report 2023[R]. World Economic Forum 2023。 https://www.weforum.org/reports/the-future-of-jobs-report-2023/</w:t>
      </w:r>
    </w:p>
    <w:p>
      <w:pPr>
        <w:spacing w:line="300" w:lineRule="auto"/>
        <w:ind w:left="480" w:hanging="480"/>
      </w:pPr>
      <w:r>
        <w:rPr>
          <w:rFonts w:ascii="Times New Roman" w:hAnsi="Times New Roman" w:cs="Times New Roman" w:eastAsia="宋体"/>
          <w:b w:val="0"/>
          <w:i w:val="0"/>
          <w:color w:val="000000"/>
          <w:sz w:val="24"/>
          <w:u w:val="none"/>
        </w:rPr>
        <w:t>[14] Asur, S., &amp; Huberman, B. A. Predicting the future with social media. Proceedings of the 2010 IEEE/WIC/ACM International Conference on Web Intelligence and Intelligent Agent Technology (Vol. 1, pp. 492–499). 2010。 https://doi.org/10.1109/WI-IAT.2010.26</w:t>
      </w:r>
    </w:p>
    <w:p>
      <w:pPr>
        <w:spacing w:line="300" w:lineRule="auto"/>
        <w:ind w:left="480" w:hanging="480"/>
      </w:pPr>
      <w:r>
        <w:rPr>
          <w:rFonts w:ascii="Times New Roman" w:hAnsi="Times New Roman" w:cs="Times New Roman" w:eastAsia="宋体"/>
          <w:b w:val="0"/>
          <w:i w:val="0"/>
          <w:color w:val="000000"/>
          <w:sz w:val="24"/>
          <w:u w:val="none"/>
        </w:rPr>
        <w:t>[15] Blei, D. M., Ng, A. Y., &amp; Jordan, M. I. Latent Dirichlet allocation[J]. Journal of Machine Learning Research, 2003, 3: 993–1022。</w:t>
      </w:r>
    </w:p>
    <w:p>
      <w:pPr>
        <w:spacing w:line="300" w:lineRule="auto"/>
        <w:ind w:left="480" w:hanging="480"/>
      </w:pPr>
      <w:r>
        <w:rPr>
          <w:rFonts w:ascii="Times New Roman" w:hAnsi="Times New Roman" w:cs="Times New Roman" w:eastAsia="宋体"/>
          <w:b w:val="0"/>
          <w:i w:val="0"/>
          <w:color w:val="000000"/>
          <w:sz w:val="24"/>
          <w:u w:val="none"/>
        </w:rPr>
        <w:t>[16] Box, G. E. P., Jenkins, G. M., Reinsel, G. C., &amp; Ljung, G. M. Time series analysis: Forecasting and control (5th ed.)[M]. John Wiley &amp; Sons 2015。</w:t>
      </w:r>
    </w:p>
    <w:p>
      <w:pPr>
        <w:spacing w:line="300" w:lineRule="auto"/>
        <w:ind w:left="480" w:hanging="480"/>
      </w:pPr>
      <w:r>
        <w:rPr>
          <w:rFonts w:ascii="Times New Roman" w:hAnsi="Times New Roman" w:cs="Times New Roman" w:eastAsia="宋体"/>
          <w:b w:val="0"/>
          <w:i w:val="0"/>
          <w:color w:val="000000"/>
          <w:sz w:val="24"/>
          <w:u w:val="none"/>
        </w:rPr>
        <w:t>[17] Devlin, J., Chang, M.-W., Lee, K., &amp; Toutanova, K. BERT: Pre-training of deep bidirectional transformers for language understanding. Proceedings of the 2019 Conference of the North American Chapter of the Association for Computational Linguistics (pp. 4171–4186). 2019。 https://doi.org/10.18653/v1/N19-1423</w:t>
      </w:r>
    </w:p>
    <w:p>
      <w:pPr>
        <w:spacing w:line="300" w:lineRule="auto"/>
        <w:ind w:left="480" w:hanging="480"/>
      </w:pPr>
      <w:r>
        <w:rPr>
          <w:rFonts w:ascii="Times New Roman" w:hAnsi="Times New Roman" w:cs="Times New Roman" w:eastAsia="宋体"/>
          <w:b w:val="0"/>
          <w:i w:val="0"/>
          <w:color w:val="000000"/>
          <w:sz w:val="24"/>
          <w:u w:val="none"/>
        </w:rPr>
        <w:t>[18] Ginsberg, J., Mohebbi, M. H., Patel, R. S., Brammer, L., Smolinski, M. S., &amp; Brilliant, L. Detecting influenza epidemics using search engine query data[J]. Nature, 2009, 457(7232): 1012–1014。 https://doi.org/10.1038/nature07634</w:t>
      </w:r>
    </w:p>
    <w:p>
      <w:pPr>
        <w:spacing w:line="300" w:lineRule="auto"/>
        <w:ind w:left="480" w:hanging="480"/>
      </w:pPr>
      <w:r>
        <w:rPr>
          <w:rFonts w:ascii="Times New Roman" w:hAnsi="Times New Roman" w:cs="Times New Roman" w:eastAsia="宋体"/>
          <w:b w:val="0"/>
          <w:i w:val="0"/>
          <w:color w:val="000000"/>
          <w:sz w:val="24"/>
          <w:u w:val="none"/>
        </w:rPr>
        <w:t>[19] Grootendorst, M. BERTopic: Neural topic modeling with a class-based TF-IDF procedure[EB/OL]. arXiv preprint arXiv:2203.05794, 2022。 https://arxiv.org/abs/2203.05794</w:t>
      </w:r>
    </w:p>
    <w:p>
      <w:pPr>
        <w:spacing w:line="300" w:lineRule="auto"/>
        <w:ind w:left="480" w:hanging="480"/>
      </w:pPr>
      <w:r>
        <w:rPr>
          <w:rFonts w:ascii="Times New Roman" w:hAnsi="Times New Roman" w:cs="Times New Roman" w:eastAsia="宋体"/>
          <w:b w:val="0"/>
          <w:i w:val="0"/>
          <w:color w:val="000000"/>
          <w:sz w:val="24"/>
          <w:u w:val="none"/>
        </w:rPr>
        <w:t>[20] Runge, J., Nowack, P., Kretschmer, M., Flaxman, S., &amp; Sejdinovic, D. Detecting and quantifying causal associations in large nonlinear time series datasets[J]. Science Advances, 2019, 5(11): eaau4996。 https://doi.org/10.1126/sciadv.aau4996</w:t>
      </w:r>
    </w:p>
    <w:p>
      <w:pPr>
        <w:spacing w:line="300" w:lineRule="auto"/>
        <w:ind w:left="480" w:hanging="480"/>
      </w:pPr>
      <w:r>
        <w:rPr>
          <w:rFonts w:ascii="Times New Roman" w:hAnsi="Times New Roman" w:cs="Times New Roman" w:eastAsia="宋体"/>
          <w:b w:val="0"/>
          <w:i w:val="0"/>
          <w:color w:val="000000"/>
          <w:sz w:val="24"/>
          <w:u w:val="none"/>
        </w:rPr>
        <w:t>[21] Sloan, L., Morgan, J., Burnap, P., &amp; Williams, M. L. Who tweets? Deriving the demographic characteristics of age, occupation and social class from Twitter user meta-data[J]. PLOS ONE, 2015, 10(3): e0120637。 https://doi.org/10.1371/journal.pone.0120637</w:t>
      </w:r>
    </w:p>
    <w:p>
      <w:pPr>
        <w:spacing w:line="300" w:lineRule="auto"/>
        <w:ind w:left="480" w:hanging="480"/>
      </w:pPr>
      <w:r>
        <w:rPr>
          <w:rFonts w:ascii="Times New Roman" w:hAnsi="Times New Roman" w:cs="Times New Roman" w:eastAsia="宋体"/>
          <w:b w:val="0"/>
          <w:i w:val="0"/>
          <w:color w:val="000000"/>
          <w:sz w:val="24"/>
          <w:u w:val="none"/>
        </w:rPr>
        <w:t>[22] Tetlock, P. C. Giving content to investor sentiment: The role of media in the stock market[J]. The Journal of Finance, 2007, 62(3): 1139–1168。 https://doi.org/10.1111/j.1540-6261.2007.01232.x</w:t>
      </w:r>
    </w:p>
    <w:p>
      <w:pPr>
        <w:spacing w:line="300" w:lineRule="auto"/>
        <w:ind w:left="480" w:hanging="480"/>
      </w:pPr>
      <w:r>
        <w:rPr>
          <w:rFonts w:ascii="Times New Roman" w:hAnsi="Times New Roman" w:cs="Times New Roman" w:eastAsia="宋体"/>
          <w:b w:val="0"/>
          <w:i w:val="0"/>
          <w:color w:val="000000"/>
          <w:sz w:val="24"/>
          <w:u w:val="none"/>
        </w:rPr>
        <w:t>[23] Williams, M. L., Burnap, P., &amp; Sloan, L. Towards an ethical framework for publishing Twitter data in social research: Taking into account users' views, online context and algorithmic estimation[J]. Sociology, 2017, 51(6): 1207–1225。 https://doi.org/10.1177/0038038517708815</w:t>
      </w:r>
    </w:p>
    <w:p>
      <w:pPr>
        <w:spacing w:line="300" w:lineRule="auto"/>
        <w:ind w:left="480" w:hanging="480"/>
      </w:pPr>
      <w:r>
        <w:rPr>
          <w:rFonts w:ascii="Times New Roman" w:hAnsi="Times New Roman" w:cs="Times New Roman" w:eastAsia="宋体"/>
          <w:b w:val="0"/>
          <w:i w:val="0"/>
          <w:color w:val="000000"/>
          <w:sz w:val="24"/>
          <w:u w:val="none"/>
        </w:rPr>
        <w:t>[24] Davis, F. D. Perceived usefulness, perceived ease of use, and user acceptance of information technology[J]. MIS Quarterly, 1989, 13(3): 319–340。 https://doi.org/10.2307/249008</w:t>
      </w:r>
    </w:p>
    <w:p>
      <w:pPr>
        <w:spacing w:line="300" w:lineRule="auto"/>
        <w:ind w:left="480" w:hanging="480"/>
      </w:pPr>
      <w:r>
        <w:rPr>
          <w:rFonts w:ascii="Times New Roman" w:hAnsi="Times New Roman" w:cs="Times New Roman" w:eastAsia="宋体"/>
          <w:b w:val="0"/>
          <w:i w:val="0"/>
          <w:color w:val="000000"/>
          <w:sz w:val="24"/>
          <w:u w:val="none"/>
        </w:rPr>
        <w:t>[25] Dwivedi, Y. K., Hughes, L., Ismagilova, E., Aarts, G., Coombs, C., Crick, T., Duan, Y., Dwivedi, R., Edwards, J., Eirug, A., Galanos, V., Ilavarasan, P. V., Janssen, M., Jones, P., Kumar Kar, A., Kizgin, H., Kronemann, B., Lal, B., Lucini, B., … Williams, M. D. Artificial intelligence (AI): Multidisciplinary perspectives on emerging challenges, opportunities, and agenda for research, practice and policy[J]. International Journal of Information Management, 2021, 57: 101994。 https://doi.org/10.1016/j.ijinfomgt.2019.08.002</w:t>
      </w:r>
    </w:p>
    <w:p>
      <w:pPr>
        <w:spacing w:line="300" w:lineRule="auto"/>
        <w:ind w:left="480" w:hanging="480"/>
      </w:pPr>
      <w:r>
        <w:rPr>
          <w:rFonts w:ascii="Times New Roman" w:hAnsi="Times New Roman" w:cs="Times New Roman" w:eastAsia="宋体"/>
          <w:b w:val="0"/>
          <w:i w:val="0"/>
          <w:color w:val="000000"/>
          <w:sz w:val="24"/>
          <w:u w:val="none"/>
        </w:rPr>
        <w:t>[26] Hobfoll, S. E. Conservation of resources: A new attempt at conceptualizing stress[J]. American Psychologist, 1989, 44(3): 513–524。 https://doi.org/10.1037/0003-066X.44.3.513</w:t>
      </w:r>
    </w:p>
    <w:p>
      <w:pPr>
        <w:spacing w:line="300" w:lineRule="auto"/>
        <w:ind w:left="480" w:hanging="480"/>
      </w:pPr>
      <w:r>
        <w:rPr>
          <w:rFonts w:ascii="Times New Roman" w:hAnsi="Times New Roman" w:cs="Times New Roman" w:eastAsia="宋体"/>
          <w:b w:val="0"/>
          <w:i w:val="0"/>
          <w:color w:val="000000"/>
          <w:sz w:val="24"/>
          <w:u w:val="none"/>
        </w:rPr>
        <w:t>[27] Hobfoll, S. E., Halbesleben, J., Neveu, J.-P., &amp; Westman, M. Conservation of resources in the organizational context: The reality of resources and their consequences[J]. Annual Review of Organizational Psychology and Organizational Behavior, 2018, 5: 103–128。 https://doi.org/10.1146/annurev-orgpsych-032117-104640</w:t>
      </w:r>
    </w:p>
    <w:p>
      <w:pPr>
        <w:spacing w:line="300" w:lineRule="auto"/>
        <w:ind w:left="480" w:hanging="480"/>
      </w:pPr>
      <w:r>
        <w:rPr>
          <w:rFonts w:ascii="Times New Roman" w:hAnsi="Times New Roman" w:cs="Times New Roman" w:eastAsia="宋体"/>
          <w:b w:val="0"/>
          <w:i w:val="0"/>
          <w:color w:val="000000"/>
          <w:sz w:val="24"/>
          <w:u w:val="none"/>
        </w:rPr>
        <w:t>[28] Lent, R. W., Brown, S. D., &amp; Hackett, G. Toward a unifying social cognitive theory of career and academic interest, choice, and performance[J]. Journal of Vocational Behavior, 1994, 45(1): 79–122。 https://doi.org/10.1006/jvbe.1994.1027</w:t>
      </w:r>
    </w:p>
    <w:p>
      <w:pPr>
        <w:spacing w:line="300" w:lineRule="auto"/>
        <w:ind w:left="480" w:hanging="480"/>
      </w:pPr>
      <w:r>
        <w:rPr>
          <w:rFonts w:ascii="Times New Roman" w:hAnsi="Times New Roman" w:cs="Times New Roman" w:eastAsia="宋体"/>
          <w:b w:val="0"/>
          <w:i w:val="0"/>
          <w:color w:val="000000"/>
          <w:sz w:val="24"/>
          <w:u w:val="none"/>
        </w:rPr>
        <w:t>[29] Mostafa, M. M. Artificial intelligence anxiety: Psychometric validation of the AI anxiety scale[J]. Computers in Human Behavior, 2021, 114: 106567。 https://doi.org/10.1016/j.chb.2020.106567</w:t>
      </w:r>
    </w:p>
    <w:p>
      <w:pPr>
        <w:spacing w:line="300" w:lineRule="auto"/>
        <w:ind w:left="480" w:hanging="480"/>
      </w:pPr>
      <w:r>
        <w:rPr>
          <w:rFonts w:ascii="Times New Roman" w:hAnsi="Times New Roman" w:cs="Times New Roman" w:eastAsia="宋体"/>
          <w:b w:val="0"/>
          <w:i w:val="0"/>
          <w:color w:val="000000"/>
          <w:sz w:val="24"/>
          <w:u w:val="none"/>
        </w:rPr>
        <w:t>[30] Bommasani, R., Hudson, D. A., Adeli, E., Altman, R., Arora, S., von Arx, S., Bernstein, M. S., Bohg, J., Bosselut, A., Brunskill, E., Brynjolfsson, E., Buch, S., Card, D., Castellon, R., Chatterji, N., Chen, A., Creel, K., Davis, J. Q., Demszky, D., … Liang, P. On the opportunities and risks of foundation models[EB/OL]. arXiv preprint arXiv:2108.07258, 2021。 https://arxiv.org/abs/2108.07258</w:t>
      </w:r>
    </w:p>
    <w:p>
      <w:pPr>
        <w:pStyle w:val="Heading1"/>
        <w:spacing w:line="240" w:lineRule="auto" w:before="240" w:after="240"/>
        <w:jc w:val="center"/>
      </w:pPr>
      <w:r>
        <w:rPr>
          <w:rFonts w:ascii="Times New Roman" w:hAnsi="Times New Roman" w:cs="Times New Roman" w:eastAsia="黑体"/>
          <w:b/>
          <w:i w:val="0"/>
          <w:color w:val="000000"/>
          <w:sz w:val="32"/>
          <w:u w:val="none"/>
        </w:rPr>
        <w:t>致谢</w:t>
      </w:r>
    </w:p>
    <w:p>
      <w:pPr>
        <w:spacing w:line="300" w:lineRule="auto"/>
        <w:ind w:firstLine="480"/>
      </w:pPr>
      <w:r>
        <w:rPr>
          <w:rFonts w:ascii="Times New Roman" w:hAnsi="Times New Roman" w:cs="Times New Roman" w:eastAsia="宋体"/>
          <w:b w:val="0"/>
          <w:i w:val="0"/>
          <w:color w:val="000000"/>
          <w:sz w:val="24"/>
          <w:u w:val="none"/>
        </w:rPr>
        <w:t>在论文完成过程中，笔者得到学院教师、课程老师与同学们的帮助和支持。谨向所有在选题讨论、资料整理、写作修改和研究推进过程中给予关心与建议的师长和同学表示诚挚感谢。同时，也感谢相关平台公开信息为本研究提供的数据基础。文中如有疏漏与不足，均由笔者本人负责。</w:t>
      </w:r>
    </w:p>
    <w:sectPr w:rsidR="00FC693F" w:rsidRPr="0006063C" w:rsidSect="00034616">
      <w:headerReference w:type="default" r:id="rId13"/>
      <w:footerReference w:type="default" r:id="rId14"/>
      <w:pgSz w:w="11906" w:h="16838"/>
      <w:pgMar w:top="1134" w:right="850" w:bottom="1134" w:left="850" w:header="720" w:footer="720" w:gutter="283"/>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cs="Times New Roman" w:eastAsia="宋体"/>
        <w:b w:val="0"/>
        <w:i w:val="0"/>
        <w:color w:val="000000"/>
        <w:sz w:val="21"/>
        <w:u w:val="none"/>
      </w:rPr>
      <w:t>I</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i w:val="0"/>
        <w:color w:val="000000"/>
        <w:sz w:val="21"/>
        <w:u w:val="none"/>
      </w:rPr>
      <w:t>第</w:t>
    </w:r>
    <w:r>
      <w:fldChar w:fldCharType="begin"/>
    </w:r>
    <w:r>
      <w:instrText xml:space="preserve"> PAGE </w:instrText>
    </w:r>
    <w:r>
      <w:fldChar w:fldCharType="separate"/>
    </w:r>
    <w:r>
      <w:rPr>
        <w:rFonts w:ascii="Times New Roman" w:hAnsi="Times New Roman" w:cs="Times New Roman" w:eastAsia="宋体"/>
        <w:b w:val="0"/>
        <w:i w:val="0"/>
        <w:color w:val="000000"/>
        <w:sz w:val="21"/>
        <w:u w:val="none"/>
      </w:rPr>
      <w:t>1</w:t>
    </w:r>
    <w:r>
      <w:fldChar w:fldCharType="end"/>
    </w:r>
    <w:r>
      <w:rPr>
        <w:rFonts w:ascii="Times New Roman" w:hAnsi="Times New Roman" w:cs="Times New Roman" w:eastAsia="宋体"/>
        <w:b w:val="0"/>
        <w:i w:val="0"/>
        <w:color w:val="000000"/>
        <w:sz w:val="21"/>
        <w:u w:val="none"/>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