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color w:val="000000"/>
          <w:sz w:val="24"/>
          <w:u w:val="none"/>
        </w:rPr>
        <w:t>论文编码：______________</w:t>
      </w:r>
    </w:p>
    <w:p>
      <w:pPr>
        <w:spacing w:after="280"/>
      </w:pPr>
    </w:p>
    <w:p>
      <w:pPr>
        <w:jc w:val="center"/>
      </w:pPr>
      <w:r>
        <w:rPr>
          <w:rFonts w:ascii="Times New Roman" w:hAnsi="Times New Roman" w:cs="Times New Roman" w:eastAsia="黑体"/>
          <w:b/>
          <w:i w:val="0"/>
          <w:color w:val="000000"/>
          <w:sz w:val="56"/>
          <w:u w:val="none"/>
        </w:rPr>
        <w:t>中国人民大学本科毕业论文（设计）</w:t>
      </w:r>
    </w:p>
    <w:p>
      <w:pPr>
        <w:jc w:val="center"/>
      </w:pPr>
      <w:r>
        <w:rPr>
          <w:rFonts w:ascii="Times New Roman" w:hAnsi="Times New Roman" w:cs="Times New Roman" w:eastAsia="黑体"/>
          <w:b/>
          <w:i w:val="0"/>
          <w:color w:val="000000"/>
          <w:sz w:val="56"/>
          <w:u w:val="none"/>
        </w:rPr>
        <w:t>AI相关讨论中的职业风险感知差异与动态特征</w:t>
      </w:r>
    </w:p>
    <w:p>
      <w:pPr>
        <w:jc w:val="center"/>
      </w:pPr>
      <w:r>
        <w:rPr>
          <w:rFonts w:ascii="Times New Roman" w:hAnsi="Times New Roman" w:cs="Times New Roman" w:eastAsia="黑体"/>
          <w:b/>
          <w:i w:val="0"/>
          <w:color w:val="000000"/>
          <w:sz w:val="40"/>
          <w:u w:val="none"/>
        </w:rPr>
        <w:t>——基于多平台社交媒体数据的关联分析</w:t>
      </w:r>
    </w:p>
    <w:p/>
    <w:p/>
    <w:p/>
    <w:p/>
    <w:p>
      <w:pPr>
        <w:spacing w:after="120"/>
        <w:ind w:left="2000"/>
      </w:pPr>
      <w:r>
        <w:rPr>
          <w:rFonts w:ascii="Times New Roman" w:hAnsi="Times New Roman" w:cs="Times New Roman" w:eastAsia="黑体"/>
          <w:b/>
          <w:i w:val="0"/>
          <w:color w:val="000000"/>
          <w:sz w:val="40"/>
          <w:u w:val="none"/>
        </w:rPr>
        <w:t>作者：</w:t>
      </w:r>
      <w:r>
        <w:rPr>
          <w:rFonts w:ascii="Times New Roman" w:hAnsi="Times New Roman" w:cs="Times New Roman" w:eastAsia="宋体"/>
          <w:b w:val="0"/>
          <w:i w:val="0"/>
          <w:color w:val="000000"/>
          <w:sz w:val="40"/>
          <w:u w:val="single"/>
        </w:rPr>
        <w:t>石盛楠</w:t>
      </w:r>
    </w:p>
    <w:p>
      <w:pPr>
        <w:spacing w:after="120"/>
        <w:ind w:left="2000"/>
      </w:pPr>
      <w:r>
        <w:rPr>
          <w:rFonts w:ascii="Times New Roman" w:hAnsi="Times New Roman" w:cs="Times New Roman" w:eastAsia="黑体"/>
          <w:b/>
          <w:i w:val="0"/>
          <w:color w:val="000000"/>
          <w:sz w:val="40"/>
          <w:u w:val="none"/>
        </w:rPr>
        <w:t>学院：</w:t>
      </w:r>
      <w:r>
        <w:rPr>
          <w:rFonts w:ascii="Times New Roman" w:hAnsi="Times New Roman" w:cs="Times New Roman" w:eastAsia="宋体"/>
          <w:b w:val="0"/>
          <w:i w:val="0"/>
          <w:color w:val="000000"/>
          <w:sz w:val="40"/>
          <w:u w:val="single"/>
        </w:rPr>
        <w:t>中法学院</w:t>
      </w:r>
    </w:p>
    <w:p>
      <w:pPr>
        <w:spacing w:after="120"/>
        <w:ind w:left="2000"/>
      </w:pPr>
      <w:r>
        <w:rPr>
          <w:rFonts w:ascii="Times New Roman" w:hAnsi="Times New Roman" w:cs="Times New Roman" w:eastAsia="黑体"/>
          <w:b/>
          <w:i w:val="0"/>
          <w:color w:val="000000"/>
          <w:sz w:val="40"/>
          <w:u w:val="none"/>
        </w:rPr>
        <w:t>专业：</w:t>
      </w:r>
      <w:r>
        <w:rPr>
          <w:rFonts w:ascii="Times New Roman" w:hAnsi="Times New Roman" w:cs="Times New Roman" w:eastAsia="宋体"/>
          <w:b w:val="0"/>
          <w:i w:val="0"/>
          <w:color w:val="000000"/>
          <w:sz w:val="40"/>
          <w:u w:val="single"/>
        </w:rPr>
        <w:t>人力资源管理</w:t>
      </w:r>
    </w:p>
    <w:p>
      <w:pPr>
        <w:spacing w:after="120"/>
        <w:ind w:left="2000"/>
      </w:pPr>
      <w:r>
        <w:rPr>
          <w:rFonts w:ascii="Times New Roman" w:hAnsi="Times New Roman" w:cs="Times New Roman" w:eastAsia="黑体"/>
          <w:b/>
          <w:i w:val="0"/>
          <w:color w:val="000000"/>
          <w:sz w:val="40"/>
          <w:u w:val="none"/>
        </w:rPr>
        <w:t>年级：</w:t>
      </w:r>
      <w:r>
        <w:rPr>
          <w:rFonts w:ascii="Times New Roman" w:hAnsi="Times New Roman" w:cs="Times New Roman" w:eastAsia="宋体"/>
          <w:b w:val="0"/>
          <w:i w:val="0"/>
          <w:color w:val="000000"/>
          <w:sz w:val="40"/>
          <w:u w:val="single"/>
        </w:rPr>
        <w:t>2022级</w:t>
      </w:r>
    </w:p>
    <w:p>
      <w:pPr>
        <w:spacing w:after="120"/>
        <w:ind w:left="2000"/>
      </w:pPr>
      <w:r>
        <w:rPr>
          <w:rFonts w:ascii="Times New Roman" w:hAnsi="Times New Roman" w:cs="Times New Roman" w:eastAsia="黑体"/>
          <w:b/>
          <w:i w:val="0"/>
          <w:color w:val="000000"/>
          <w:sz w:val="40"/>
          <w:u w:val="none"/>
        </w:rPr>
        <w:t>学号：</w:t>
      </w:r>
      <w:r>
        <w:rPr>
          <w:rFonts w:ascii="Times New Roman" w:hAnsi="Times New Roman" w:cs="Times New Roman" w:eastAsia="宋体"/>
          <w:b w:val="0"/>
          <w:i w:val="0"/>
          <w:color w:val="000000"/>
          <w:sz w:val="40"/>
          <w:u w:val="single"/>
        </w:rPr>
        <w:t>2022202523</w:t>
      </w:r>
    </w:p>
    <w:p>
      <w:pPr>
        <w:spacing w:after="120"/>
        <w:ind w:left="2000"/>
      </w:pPr>
      <w:r>
        <w:rPr>
          <w:rFonts w:ascii="Times New Roman" w:hAnsi="Times New Roman" w:cs="Times New Roman" w:eastAsia="黑体"/>
          <w:b/>
          <w:i w:val="0"/>
          <w:color w:val="000000"/>
          <w:sz w:val="40"/>
          <w:u w:val="none"/>
        </w:rPr>
        <w:t>指导教师：</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论文成绩：</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日期：</w:t>
      </w:r>
      <w:r>
        <w:rPr>
          <w:rFonts w:ascii="Times New Roman" w:hAnsi="Times New Roman" w:cs="Times New Roman" w:eastAsia="宋体"/>
          <w:b w:val="0"/>
          <w:i w:val="0"/>
          <w:color w:val="000000"/>
          <w:sz w:val="40"/>
          <w:u w:val="single"/>
        </w:rPr>
        <w:t>2026年4月</w:t>
      </w:r>
    </w:p>
    <w:p>
      <w:pPr>
        <w:sectPr>
          <w:headerReference w:type="default" r:id="rId9"/>
          <w:footerReference w:type="default" r:id="rId10"/>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color w:val="00000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color w:val="000000"/>
          <w:sz w:val="24"/>
          <w:u w:val="none"/>
        </w:rPr>
        <w:t>本人郑重声明：所呈交的论文是我个人在导师指导下进行的研究工作及取得的研究成果。尽我所知，除了文中特别加以标注和致谢的地方外，论文中不包含其他人已经发表或撰写过的研究成果，也不包含为获得中国人民大学或其他教育机构的学位或证书所使用过的材料。与我一同工作的同志对本研究所做的任何贡献均已在文中作了明确的说明并表示了谢意。</w:t>
      </w:r>
    </w:p>
    <w:p>
      <w:pPr>
        <w:spacing w:line="300" w:lineRule="auto"/>
        <w:ind w:firstLine="480"/>
      </w:pPr>
      <w:r>
        <w:rPr>
          <w:rFonts w:ascii="Times New Roman" w:hAnsi="Times New Roman" w:cs="Times New Roman" w:eastAsia="宋体"/>
          <w:b w:val="0"/>
          <w:i w:val="0"/>
          <w:color w:val="000000"/>
          <w:sz w:val="24"/>
          <w:u w:val="none"/>
        </w:rPr>
        <w:t>本人完全了解中国人民大学有关保留、使用学位论文的规定，即：学校有权保留送交论文的复印件，允许论文被查阅和借阅；学校可以公布论文的全部或部分内容，可以采用影印、缩印或其他复制手段保存论文。</w:t>
      </w:r>
    </w:p>
    <w:p>
      <w:pPr>
        <w:spacing w:before="240"/>
      </w:pPr>
      <w:r>
        <w:rPr>
          <w:rFonts w:ascii="Times New Roman" w:hAnsi="Times New Roman" w:cs="Times New Roman" w:eastAsia="宋体"/>
          <w:b w:val="0"/>
          <w:i w:val="0"/>
          <w:color w:val="000000"/>
          <w:sz w:val="24"/>
          <w:u w:val="none"/>
        </w:rPr>
        <w:t>作者签名：____________________</w:t>
      </w:r>
    </w:p>
    <w:p>
      <w:pPr>
        <w:spacing w:before="240"/>
      </w:pPr>
      <w:r>
        <w:rPr>
          <w:rFonts w:ascii="Times New Roman" w:hAnsi="Times New Roman" w:cs="Times New Roman" w:eastAsia="宋体"/>
          <w:b w:val="0"/>
          <w:i w:val="0"/>
          <w:color w:val="000000"/>
          <w:sz w:val="24"/>
          <w:u w:val="none"/>
        </w:rPr>
        <w:t>日期：____________________</w:t>
      </w:r>
    </w:p>
    <w:p>
      <w:pPr>
        <w:spacing w:before="240"/>
      </w:pPr>
      <w:r>
        <w:rPr>
          <w:rFonts w:ascii="Times New Roman" w:hAnsi="Times New Roman" w:cs="Times New Roman" w:eastAsia="宋体"/>
          <w:b w:val="0"/>
          <w:i w:val="0"/>
          <w:color w:val="000000"/>
          <w:sz w:val="24"/>
          <w:u w:val="none"/>
        </w:rPr>
        <w:t>指导教师签名：____________________</w:t>
      </w:r>
    </w:p>
    <w:p>
      <w:pPr>
        <w:spacing w:before="240"/>
      </w:pPr>
      <w:r>
        <w:rPr>
          <w:rFonts w:ascii="Times New Roman" w:hAnsi="Times New Roman" w:cs="Times New Roman" w:eastAsia="宋体"/>
          <w:b w:val="0"/>
          <w:i w:val="0"/>
          <w:color w:val="000000"/>
          <w:sz w:val="24"/>
          <w:u w:val="none"/>
        </w:rPr>
        <w:t>日期：____________________</w:t>
      </w:r>
    </w:p>
    <w:p>
      <w:r>
        <w:br w:type="page"/>
      </w:r>
    </w:p>
    <w:p>
      <w:pPr>
        <w:spacing w:before="240" w:after="240"/>
        <w:jc w:val="center"/>
      </w:pPr>
      <w:r>
        <w:rPr>
          <w:rFonts w:ascii="Times New Roman" w:hAnsi="Times New Roman" w:cs="Times New Roman" w:eastAsia="黑体"/>
          <w:b/>
          <w:i w:val="0"/>
          <w:color w:val="000000"/>
          <w:sz w:val="32"/>
          <w:u w:val="none"/>
        </w:rPr>
        <w:t>摘  要</w:t>
      </w:r>
    </w:p>
    <w:p>
      <w:pPr>
        <w:spacing w:line="360" w:lineRule="auto"/>
        <w:ind w:firstLine="480"/>
        <w:jc w:val="both"/>
      </w:pPr>
      <w:r>
        <w:rPr>
          <w:rFonts w:ascii="Times New Roman" w:hAnsi="Times New Roman" w:cs="Times New Roman" w:eastAsia="宋体"/>
          <w:b w:val="0"/>
          <w:i w:val="0"/>
          <w:color w:val="000000"/>
          <w:sz w:val="24"/>
          <w:u w:val="none"/>
        </w:rPr>
        <w:t>人工智能技术快速迭代，使公众围绕岗位替代、技能贬值与职业安全的讨论持续升温。本文关注 AI 相关讨论中的职业风险感知如何在不同平台、不同技术议题与不同时间阶段表现为差异化的公开表达。本文以职业不安全感相关表达作为职业风险感知的可观察代理指标，而非对职业不安全感构念本身的直接量表测量。基于哔哩哔哩、知乎、微博和小红书四个平台的公开评论数据，本文构建了 2024 年 10 月 12 日至 2026 年 4 月 13 日的多平台样本，共计 142,426 条评论、380 个观测日期。通过词典法识别出 1,679 条职业不安全感相关表达，占总评论数的 1.18%。研究发现：平台间职业不安全感相关表达率存在显著差异，知乎最高（2.19%，776/35,429），哔哩哔哩次之（0.86%，870/101,538），二者差异显著（z = 19.833, p &lt; 0.001）；不同 AI 议题下的职业不安全感相关表达率存在显著异质性（chi-square = 113.456，Monte Carlo p = 0.0002），其中 AI 编程、AI 芯片、AI 绘画和 AI 教育等议题较高；在时间覆盖最完整的哔哩哔哩样本中，职业不安全感相关表达呈现显著上升趋势（斜率 = 0.00002293，置换检验 p = 0.0002），全样本趋势结果方向一致。本文是一项描述性、关联性研究，结论不应被解释为因果效应。</w:t>
      </w:r>
    </w:p>
    <w:p>
      <w:pPr>
        <w:spacing w:before="240"/>
      </w:pPr>
      <w:r>
        <w:rPr>
          <w:rFonts w:ascii="Times New Roman" w:hAnsi="Times New Roman" w:cs="Times New Roman" w:eastAsia="黑体"/>
          <w:b/>
          <w:i w:val="0"/>
          <w:color w:val="000000"/>
          <w:sz w:val="24"/>
          <w:u w:val="none"/>
        </w:rPr>
        <w:t>关键词：</w:t>
      </w:r>
      <w:r>
        <w:rPr>
          <w:rFonts w:ascii="Times New Roman" w:hAnsi="Times New Roman" w:cs="Times New Roman" w:eastAsia="宋体"/>
          <w:b w:val="0"/>
          <w:i w:val="0"/>
          <w:color w:val="000000"/>
          <w:sz w:val="24"/>
          <w:u w:val="none"/>
        </w:rPr>
        <w:t>人工智能；职业风险感知；职业不安全感相关表达；社交媒体分析；平台差异；议题差异；时间趋势</w:t>
      </w:r>
    </w:p>
    <w:p>
      <w:r>
        <w:br w:type="page"/>
      </w:r>
    </w:p>
    <w:p>
      <w:pPr>
        <w:spacing w:before="240" w:after="240"/>
        <w:jc w:val="center"/>
      </w:pPr>
      <w:r>
        <w:rPr>
          <w:rFonts w:ascii="Times New Roman" w:hAnsi="Times New Roman" w:cs="Times New Roman" w:eastAsia="Times New Roman"/>
          <w:b/>
          <w:i w:val="0"/>
          <w:color w:val="000000"/>
          <w:sz w:val="32"/>
          <w:u w:val="none"/>
        </w:rPr>
        <w:t>ABSTRACT</w:t>
      </w:r>
    </w:p>
    <w:p>
      <w:pPr>
        <w:spacing w:line="480" w:lineRule="auto"/>
        <w:ind w:firstLine="480"/>
        <w:jc w:val="both"/>
      </w:pPr>
      <w:r>
        <w:rPr>
          <w:rFonts w:ascii="Times New Roman" w:hAnsi="Times New Roman" w:cs="Times New Roman" w:eastAsia="Times New Roman"/>
          <w:b w:val="0"/>
          <w:i w:val="0"/>
          <w:color w:val="000000"/>
          <w:sz w:val="24"/>
          <w:u w:val="none"/>
        </w:rPr>
        <w:t>The rapid iteration of artificial intelligence has intensified public discussion about job substitution, skill devaluation, and occupational security. This thesis examines how occupational risk perception appears as differentiated public expression across platforms, AI topics, and time. The study treats job-insecurity-related expression as an observable proxy for occupational risk perception rather than a direct scale-based measurement of the latent construct itself. Using public comments collected from Bilibili, Zhihu, Weibo, and Xiaohongshu, the thesis builds a multi-platform sample covering October 12, 2024 to April 13, 2026, with 142,426 comments across 380 observed dates. A dictionary-based approach identifies 1,679 job-insecurity-related expressions, representing 1.18% of all comments.</w:t>
      </w:r>
    </w:p>
    <w:p>
      <w:pPr>
        <w:spacing w:line="480" w:lineRule="auto"/>
        <w:ind w:firstLine="480"/>
        <w:jc w:val="both"/>
      </w:pPr>
      <w:r>
        <w:rPr>
          <w:rFonts w:ascii="Times New Roman" w:hAnsi="Times New Roman" w:cs="Times New Roman" w:eastAsia="Times New Roman"/>
          <w:b w:val="0"/>
          <w:i w:val="0"/>
          <w:color w:val="000000"/>
          <w:sz w:val="24"/>
          <w:u w:val="none"/>
        </w:rPr>
        <w:t>The results show significant platform heterogeneity: Zhihu records the highest expression rate at 2.19% (776/35,429), while Bilibili records 0.86% (870/101,538), and the difference is highly significant (z = 19.833, p &lt; 0.001). Topic heterogeneity is also significant (chi-square = 113.456, Monte Carlo p = 0.0002), with AI programming, AI chips, AI image generation, and AI education showing higher expression rates than more general topics such as AI tools, AI applications, large language models, and deep learning. In the Bilibili sample with the most complete temporal coverage, job-insecurity-related expression shows a significant upward trend (slope = 0.00002293, permutation p = 0.0002), and the full-sample trend points in the same direction. The thesis therefore contributes descriptive and associative evidence on heterogeneity and dynamics in public AI discussions, while explicitly avoiding causal interpretation.</w:t>
      </w:r>
    </w:p>
    <w:p>
      <w:pPr>
        <w:spacing w:before="240"/>
      </w:pPr>
      <w:r>
        <w:rPr>
          <w:rFonts w:ascii="Times New Roman" w:hAnsi="Times New Roman" w:cs="Times New Roman" w:eastAsia="Times New Roman"/>
          <w:b/>
          <w:i w:val="0"/>
          <w:color w:val="000000"/>
          <w:sz w:val="24"/>
          <w:u w:val="none"/>
        </w:rPr>
        <w:t>Key Words：</w:t>
      </w:r>
      <w:r>
        <w:rPr>
          <w:rFonts w:ascii="Times New Roman" w:hAnsi="Times New Roman" w:cs="Times New Roman" w:eastAsia="Times New Roman"/>
          <w:b w:val="0"/>
          <w:i w:val="0"/>
          <w:color w:val="000000"/>
          <w:sz w:val="24"/>
          <w:u w:val="none"/>
        </w:rPr>
        <w:t>artificial intelligence; occupational risk perception; job-insecurity-related expression; social media analysis; platform differences; topic heterogeneity; time trend</w:t>
      </w:r>
    </w:p>
    <w:p>
      <w:r>
        <w:br w:type="page"/>
      </w:r>
    </w:p>
    <w:p>
      <w:pPr>
        <w:spacing w:after="240"/>
        <w:jc w:val="center"/>
      </w:pPr>
      <w:r>
        <w:rPr>
          <w:rFonts w:ascii="Times New Roman" w:hAnsi="Times New Roman" w:cs="Times New Roman" w:eastAsia="黑体"/>
          <w:b/>
          <w:i w:val="0"/>
          <w:color w:val="00000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color w:val="000000"/>
          <w:sz w:val="21"/>
          <w:u w:val="none"/>
        </w:rPr>
        <w:t>目录将在打开文档后自动更新</w:t>
      </w:r>
      <w:r>
        <w:fldChar w:fldCharType="end"/>
      </w:r>
    </w:p>
    <w:p>
      <w:r>
        <w:br w:type="page"/>
      </w:r>
    </w:p>
    <w:p>
      <w:pPr>
        <w:spacing w:after="240"/>
        <w:jc w:val="center"/>
      </w:pPr>
      <w:r>
        <w:rPr>
          <w:rFonts w:ascii="Times New Roman" w:hAnsi="Times New Roman" w:cs="Times New Roman" w:eastAsia="黑体"/>
          <w:b/>
          <w:i w:val="0"/>
          <w:color w:val="000000"/>
          <w:sz w:val="32"/>
          <w:u w:val="none"/>
        </w:rPr>
        <w:t>表目录</w:t>
      </w:r>
    </w:p>
    <w:p>
      <w:pPr>
        <w:spacing w:line="300" w:lineRule="auto"/>
      </w:pPr>
      <w:r>
        <w:rPr>
          <w:rFonts w:ascii="Times New Roman" w:hAnsi="Times New Roman" w:cs="Times New Roman" w:eastAsia="宋体"/>
          <w:b w:val="0"/>
          <w:i w:val="0"/>
          <w:color w:val="000000"/>
          <w:sz w:val="24"/>
          <w:u w:val="none"/>
        </w:rPr>
        <w:t>表 1 样本基本特征</w:t>
      </w:r>
    </w:p>
    <w:p>
      <w:pPr>
        <w:spacing w:line="300" w:lineRule="auto"/>
      </w:pPr>
      <w:r>
        <w:rPr>
          <w:rFonts w:ascii="Times New Roman" w:hAnsi="Times New Roman" w:cs="Times New Roman" w:eastAsia="宋体"/>
          <w:b w:val="0"/>
          <w:i w:val="0"/>
          <w:color w:val="000000"/>
          <w:sz w:val="24"/>
          <w:u w:val="none"/>
        </w:rPr>
        <w:t>表 2 展示了样本量达到阈值的主要 query。高表达率议题集中在与技能替代、专业能力升级和应用场景重构关系更紧密的主题上，尤其是 AI 编程、AI 芯片和 AI 绘画。</w:t>
      </w:r>
    </w:p>
    <w:p>
      <w:pPr>
        <w:spacing w:line="300" w:lineRule="auto"/>
      </w:pPr>
      <w:r>
        <w:rPr>
          <w:rFonts w:ascii="Times New Roman" w:hAnsi="Times New Roman" w:cs="Times New Roman" w:eastAsia="宋体"/>
          <w:b w:val="0"/>
          <w:i w:val="0"/>
          <w:color w:val="000000"/>
          <w:sz w:val="24"/>
          <w:u w:val="none"/>
        </w:rPr>
        <w:t>表 2 高样本量 query 的职业不安全感相关表达率</w:t>
      </w:r>
    </w:p>
    <w:p>
      <w:pPr>
        <w:sectPr>
          <w:headerReference w:type="default" r:id="rId11"/>
          <w:footerReference w:type="default" r:id="rId12"/>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color w:val="000000"/>
          <w:sz w:val="32"/>
          <w:u w:val="none"/>
        </w:rPr>
        <w:t>1 引言</w:t>
      </w:r>
    </w:p>
    <w:p>
      <w:pPr>
        <w:pStyle w:val="Heading2"/>
        <w:spacing w:line="240" w:lineRule="auto" w:before="240" w:after="240"/>
        <w:jc w:val="left"/>
      </w:pPr>
      <w:r>
        <w:rPr>
          <w:rFonts w:ascii="Times New Roman" w:hAnsi="Times New Roman" w:cs="Times New Roman" w:eastAsia="黑体"/>
          <w:b/>
          <w:i w:val="0"/>
          <w:color w:val="000000"/>
          <w:sz w:val="28"/>
          <w:u w:val="none"/>
        </w:rPr>
        <w:t>1.1 研究背景</w:t>
      </w:r>
    </w:p>
    <w:p>
      <w:pPr>
        <w:spacing w:line="300" w:lineRule="auto"/>
        <w:ind w:firstLine="480"/>
        <w:jc w:val="both"/>
      </w:pPr>
      <w:r>
        <w:rPr>
          <w:rFonts w:ascii="Times New Roman" w:hAnsi="Times New Roman" w:cs="Times New Roman" w:eastAsia="宋体"/>
          <w:b w:val="0"/>
          <w:i w:val="0"/>
          <w:color w:val="000000"/>
          <w:sz w:val="24"/>
          <w:u w:val="none"/>
        </w:rPr>
        <w:t>生成式人工智能、智能体系统和多模态模型的快速发展，使 AI 从自动化重复劳动进一步渗透到编程、设计、写作、分析和专业服务等知识密集型工作领域。围绕“AI 是否会改变就业结构”的讨论已成为技术扩散过程中的核心社会议题。全球层面的研究和行业报告一方面强调自动化替代风险（Frey &amp; Osborne, 2017），另一方面也指出技术扩散可能通过任务重组和新岗位创造带来补偿效应（Arntz et al., 2016; Bessen, 2019）。这种分歧意味着，公众如何感知职业风险，并不必然与单一技术事件同步变化，而可能表现为跨平台、跨议题和跨时间的异质性。</w:t>
      </w:r>
    </w:p>
    <w:p>
      <w:pPr>
        <w:spacing w:line="300" w:lineRule="auto"/>
        <w:ind w:firstLine="480"/>
        <w:jc w:val="both"/>
      </w:pPr>
      <w:r>
        <w:rPr>
          <w:rFonts w:ascii="Times New Roman" w:hAnsi="Times New Roman" w:cs="Times New Roman" w:eastAsia="宋体"/>
          <w:b w:val="0"/>
          <w:i w:val="0"/>
          <w:color w:val="000000"/>
          <w:sz w:val="24"/>
          <w:u w:val="none"/>
        </w:rPr>
        <w:t>职业不安全感通常被界定为个体对工作连续性或重要工作特征可能受威胁的主观感知（Greenhalgh &amp; Rosenblatt, 1984; De Witte, 2005）。传统研究主要使用问卷量表测量这一构念，能够较好刻画个体层面的心理状态，但难以观察公众在自然讨论场景中的即时表达，更难呈现不同技术议题和不同平台环境下的公开反应差异。与此相比，社交媒体评论虽然不能直接等同于职业不安全感构念本身，却为研究者提供了一个可观察的表达层窗口，能够揭示职业风险感知在公共讨论中的呈现方式。</w:t>
      </w:r>
    </w:p>
    <w:p>
      <w:pPr>
        <w:pStyle w:val="Heading2"/>
        <w:spacing w:line="240" w:lineRule="auto" w:before="240" w:after="240"/>
        <w:jc w:val="left"/>
      </w:pPr>
      <w:r>
        <w:rPr>
          <w:rFonts w:ascii="Times New Roman" w:hAnsi="Times New Roman" w:cs="Times New Roman" w:eastAsia="黑体"/>
          <w:b/>
          <w:i w:val="0"/>
          <w:color w:val="000000"/>
          <w:sz w:val="28"/>
          <w:u w:val="none"/>
        </w:rPr>
        <w:t>1.2 问题提出</w:t>
      </w:r>
    </w:p>
    <w:p>
      <w:pPr>
        <w:spacing w:line="300" w:lineRule="auto"/>
        <w:ind w:firstLine="480"/>
        <w:jc w:val="both"/>
      </w:pPr>
      <w:r>
        <w:rPr>
          <w:rFonts w:ascii="Times New Roman" w:hAnsi="Times New Roman" w:cs="Times New Roman" w:eastAsia="宋体"/>
          <w:b w:val="0"/>
          <w:i w:val="0"/>
          <w:color w:val="000000"/>
          <w:sz w:val="24"/>
          <w:u w:val="none"/>
        </w:rPr>
        <w:t>围绕 AI 与职业风险感知的现有研究至少存在三个不足。第一，现有研究多把问题表述为“AI 是否与职业不安全感相联系”，但在经验层面经常使用单次问卷或短周期调查，这类设计很难细分平台结构、讨论议题和时间动态等差异来源。第二，即使采用文本数据，很多研究仍然停留在一般情绪或态度分析，较少聚焦与职业安全、岗位替代和技能贬值直接相关的表达。第三，平台结构和技术议题本身可能塑造表达环境：同样是讨论 AI，长文本问答社区、视频社区和热点社交平台的表达规则并不相同；“AI 编程”“AI 芯片”“AI 工具”“大语言模型”等议题与职业风险的贴近程度也不相同。</w:t>
      </w:r>
    </w:p>
    <w:p>
      <w:pPr>
        <w:spacing w:line="300" w:lineRule="auto"/>
        <w:ind w:firstLine="480"/>
        <w:jc w:val="both"/>
      </w:pPr>
      <w:r>
        <w:rPr>
          <w:rFonts w:ascii="Times New Roman" w:hAnsi="Times New Roman" w:cs="Times New Roman" w:eastAsia="宋体"/>
          <w:b w:val="0"/>
          <w:i w:val="0"/>
          <w:color w:val="000000"/>
          <w:sz w:val="24"/>
          <w:u w:val="none"/>
        </w:rPr>
        <w:t>因此，若继续把研究中心放在“事件是否与职业不安全感显著相关”这一单一主效应上，反而容易忽视更稳定、更可观测的差异来源。对于当前这类多平台公开评论数据，更合适的问题是：职业风险感知相关表达在不同平台是否存在稳定差异，不同 AI 议题是否关联不同强度的职业风险表达，以及这种表达是否在时间维度上呈现可识别的动态变化。</w:t>
      </w:r>
    </w:p>
    <w:p>
      <w:pPr>
        <w:pStyle w:val="Heading2"/>
        <w:spacing w:line="240" w:lineRule="auto" w:before="240" w:after="240"/>
        <w:jc w:val="left"/>
      </w:pPr>
      <w:r>
        <w:rPr>
          <w:rFonts w:ascii="Times New Roman" w:hAnsi="Times New Roman" w:cs="Times New Roman" w:eastAsia="黑体"/>
          <w:b/>
          <w:i w:val="0"/>
          <w:color w:val="000000"/>
          <w:sz w:val="28"/>
          <w:u w:val="none"/>
        </w:rPr>
        <w:t>1.3 研究目的与研究假设</w:t>
      </w:r>
    </w:p>
    <w:p>
      <w:pPr>
        <w:spacing w:line="300" w:lineRule="auto"/>
        <w:ind w:firstLine="480"/>
        <w:jc w:val="both"/>
      </w:pPr>
      <w:r>
        <w:rPr>
          <w:rFonts w:ascii="Times New Roman" w:hAnsi="Times New Roman" w:cs="Times New Roman" w:eastAsia="宋体"/>
          <w:b w:val="0"/>
          <w:i w:val="0"/>
          <w:color w:val="000000"/>
          <w:sz w:val="24"/>
          <w:u w:val="none"/>
        </w:rPr>
        <w:t>本文以公开社交媒体评论中的职业不安全感相关表达作为职业风险感知的可观察代理指标，而非对职业不安全感构念本身的直接量表测量。基于这一定位，本文围绕三个研究问题展开。</w:t>
      </w:r>
    </w:p>
    <w:p>
      <w:pPr>
        <w:spacing w:line="300" w:lineRule="auto"/>
        <w:ind w:left="480" w:hanging="240"/>
      </w:pPr>
      <w:r>
        <w:rPr>
          <w:rFonts w:ascii="Times New Roman" w:hAnsi="Times New Roman" w:cs="Times New Roman" w:eastAsia="宋体"/>
          <w:b w:val="0"/>
          <w:i w:val="0"/>
          <w:color w:val="000000"/>
          <w:sz w:val="24"/>
          <w:u w:val="none"/>
        </w:rPr>
        <w:t>• RQ1 / H1 平台异质性假设：不同社交媒体平台上的职业不安全感相关表达率存在显著差异。</w:t>
      </w:r>
    </w:p>
    <w:p>
      <w:pPr>
        <w:spacing w:line="300" w:lineRule="auto"/>
        <w:ind w:left="480" w:hanging="240"/>
      </w:pPr>
      <w:r>
        <w:rPr>
          <w:rFonts w:ascii="Times New Roman" w:hAnsi="Times New Roman" w:cs="Times New Roman" w:eastAsia="宋体"/>
          <w:b w:val="0"/>
          <w:i w:val="0"/>
          <w:color w:val="000000"/>
          <w:sz w:val="24"/>
          <w:u w:val="none"/>
        </w:rPr>
        <w:t>• RQ2 / H2 议题异质性假设：不同 AI 讨论议题下的职业不安全感相关表达率存在显著差异。</w:t>
      </w:r>
    </w:p>
    <w:p>
      <w:pPr>
        <w:spacing w:line="300" w:lineRule="auto"/>
        <w:ind w:left="480" w:hanging="240"/>
      </w:pPr>
      <w:r>
        <w:rPr>
          <w:rFonts w:ascii="Times New Roman" w:hAnsi="Times New Roman" w:cs="Times New Roman" w:eastAsia="宋体"/>
          <w:b w:val="0"/>
          <w:i w:val="0"/>
          <w:color w:val="000000"/>
          <w:sz w:val="24"/>
          <w:u w:val="none"/>
        </w:rPr>
        <w:t>• RQ3 / H3 时间动态假设：在时间覆盖完整且时间戳可靠的样本中，职业不安全感相关表达呈现上升趋势。</w:t>
      </w:r>
    </w:p>
    <w:p>
      <w:pPr>
        <w:spacing w:line="300" w:lineRule="auto"/>
        <w:ind w:firstLine="480"/>
        <w:jc w:val="both"/>
      </w:pPr>
      <w:r>
        <w:rPr>
          <w:rFonts w:ascii="Times New Roman" w:hAnsi="Times New Roman" w:cs="Times New Roman" w:eastAsia="宋体"/>
          <w:b w:val="0"/>
          <w:i w:val="0"/>
          <w:color w:val="000000"/>
          <w:sz w:val="24"/>
          <w:u w:val="none"/>
        </w:rPr>
        <w:t>与旧版本不同，本文不再把事件主效应和恢复时间作为核心假设。事件窗口分析仅保留为探索性补充，用于说明为何当前版本的核心发现应建立在平台异质性、议题异质性和时间动态这三个更稳健的结果之上。</w:t>
      </w:r>
    </w:p>
    <w:p>
      <w:pPr>
        <w:pStyle w:val="Heading2"/>
        <w:spacing w:line="240" w:lineRule="auto" w:before="240" w:after="240"/>
        <w:jc w:val="left"/>
      </w:pPr>
      <w:r>
        <w:rPr>
          <w:rFonts w:ascii="Times New Roman" w:hAnsi="Times New Roman" w:cs="Times New Roman" w:eastAsia="黑体"/>
          <w:b/>
          <w:i w:val="0"/>
          <w:color w:val="000000"/>
          <w:sz w:val="28"/>
          <w:u w:val="none"/>
        </w:rPr>
        <w:t>1.4 研究意义</w:t>
      </w:r>
    </w:p>
    <w:p>
      <w:pPr>
        <w:spacing w:line="300" w:lineRule="auto"/>
        <w:ind w:firstLine="480"/>
        <w:jc w:val="both"/>
      </w:pPr>
      <w:r>
        <w:rPr>
          <w:rFonts w:ascii="Times New Roman" w:hAnsi="Times New Roman" w:cs="Times New Roman" w:eastAsia="宋体"/>
          <w:b w:val="0"/>
          <w:i w:val="0"/>
          <w:color w:val="000000"/>
          <w:sz w:val="24"/>
          <w:u w:val="none"/>
        </w:rPr>
        <w:t>本文的价值主要体现在三个层面。第一，本文提供了中国 AI 相关公开讨论中的职业风险感知表达图谱，能够补充问卷研究难以覆盖的表达层证据。第二，本文将平台结构与技术议题同时纳入分析框架，避免把不同平台和不同主题下的差异简单归结为统一的“AI 威胁效应”。第三，本文在方法上把文件名中的检索主题标签转化为可分析的议题变量，使“多平台文本 + 议题标签 + 时间动态”成为可重复使用的研究路径。</w:t>
      </w:r>
    </w:p>
    <w:p>
      <w:pPr>
        <w:spacing w:line="300" w:lineRule="auto"/>
        <w:ind w:firstLine="480"/>
        <w:jc w:val="both"/>
      </w:pPr>
      <w:r>
        <w:rPr>
          <w:rFonts w:ascii="Times New Roman" w:hAnsi="Times New Roman" w:cs="Times New Roman" w:eastAsia="宋体"/>
          <w:b w:val="0"/>
          <w:i w:val="0"/>
          <w:color w:val="000000"/>
          <w:sz w:val="24"/>
          <w:u w:val="none"/>
        </w:rPr>
        <w:t>需要强调的是，本文的实践意义主要体现在监测和识别，而非因果干预建议。本文能够帮助研究者、平台治理者和组织管理者识别哪些平台、哪些技术议题更容易出现职业风险表达，但并不能据此直接推出特定政策或干预措施的有效性。</w:t>
      </w:r>
    </w:p>
    <w:p>
      <w:pPr>
        <w:pStyle w:val="Heading2"/>
        <w:spacing w:line="240" w:lineRule="auto" w:before="240" w:after="240"/>
        <w:jc w:val="left"/>
      </w:pPr>
      <w:r>
        <w:rPr>
          <w:rFonts w:ascii="Times New Roman" w:hAnsi="Times New Roman" w:cs="Times New Roman" w:eastAsia="黑体"/>
          <w:b/>
          <w:i w:val="0"/>
          <w:color w:val="000000"/>
          <w:sz w:val="28"/>
          <w:u w:val="none"/>
        </w:rPr>
        <w:t>1.5 论文结构</w:t>
      </w:r>
    </w:p>
    <w:p>
      <w:pPr>
        <w:spacing w:line="300" w:lineRule="auto"/>
        <w:ind w:firstLine="480"/>
        <w:jc w:val="both"/>
      </w:pPr>
      <w:r>
        <w:rPr>
          <w:rFonts w:ascii="Times New Roman" w:hAnsi="Times New Roman" w:cs="Times New Roman" w:eastAsia="宋体"/>
          <w:b w:val="0"/>
          <w:i w:val="0"/>
          <w:color w:val="000000"/>
          <w:sz w:val="24"/>
          <w:u w:val="none"/>
        </w:rPr>
        <w:t>第 2 章回顾职业风险感知与职业不安全感的理论基础、AI 与就业不确定性的研究分歧，以及社交媒体表达研究在平台结构和议题显著性方面的启示。第 3 章介绍数据来源、时间戳修复与预处理逻辑、职业不安全感相关表达的词典识别方法，以及平台差异、议题差异和时间动态的统计策略。第 4 章报告样本描述、平台异质性结果、议题异质性结果和时间趋势结果，并说明事件窗口分析为何仅作为探索性补充。第 5 章讨论主要发现的理论含义、实践启示与方法局限。第 6 章总结全文，并提出后续研究方向。</w:t>
      </w:r>
    </w:p>
    <w:p>
      <w:pPr>
        <w:pStyle w:val="Heading1"/>
        <w:spacing w:line="240" w:lineRule="auto" w:before="240" w:after="240"/>
        <w:jc w:val="center"/>
      </w:pPr>
      <w:r>
        <w:rPr>
          <w:rFonts w:ascii="Times New Roman" w:hAnsi="Times New Roman" w:cs="Times New Roman" w:eastAsia="黑体"/>
          <w:b/>
          <w:i w:val="0"/>
          <w:color w:val="000000"/>
          <w:sz w:val="32"/>
          <w:u w:val="none"/>
        </w:rPr>
        <w:t>2 文献综述</w:t>
      </w:r>
    </w:p>
    <w:p>
      <w:pPr>
        <w:pStyle w:val="Heading2"/>
        <w:spacing w:line="240" w:lineRule="auto" w:before="240" w:after="240"/>
        <w:jc w:val="left"/>
      </w:pPr>
      <w:r>
        <w:rPr>
          <w:rFonts w:ascii="Times New Roman" w:hAnsi="Times New Roman" w:cs="Times New Roman" w:eastAsia="黑体"/>
          <w:b/>
          <w:i w:val="0"/>
          <w:color w:val="000000"/>
          <w:sz w:val="28"/>
          <w:u w:val="none"/>
        </w:rPr>
        <w:t>2.1 职业风险感知与职业不安全感</w:t>
      </w:r>
    </w:p>
    <w:p>
      <w:pPr>
        <w:spacing w:line="300" w:lineRule="auto"/>
        <w:ind w:firstLine="480"/>
        <w:jc w:val="both"/>
      </w:pPr>
      <w:r>
        <w:rPr>
          <w:rFonts w:ascii="Times New Roman" w:hAnsi="Times New Roman" w:cs="Times New Roman" w:eastAsia="宋体"/>
          <w:b w:val="0"/>
          <w:i w:val="0"/>
          <w:color w:val="000000"/>
          <w:sz w:val="24"/>
          <w:u w:val="none"/>
        </w:rPr>
        <w:t>职业不安全感研究的核心问题，是个体如何感知自己的工作连续性、工作角色或关键工作资源可能受到威胁。Greenhalgh 和 Rosenblatt（1984）将其界定为对工作稳定性受威胁的主观感知，后续研究进一步区分了工作丧失不安全感与工作特征丧失不安全感，以及认知性与情感性两个维度（Ashford et al., 1989; De Witte, 2005; Jiang &amp; Lavaysse, 2018）。这些研究为理解职业风险感知提供了扎实的量表传统，但也意味着经典文献大多关注“被测量的构念”，而非“在公共讨论中被表达出来的风险语言”。</w:t>
      </w:r>
    </w:p>
    <w:p>
      <w:pPr>
        <w:spacing w:line="300" w:lineRule="auto"/>
        <w:ind w:firstLine="480"/>
        <w:jc w:val="both"/>
      </w:pPr>
      <w:r>
        <w:rPr>
          <w:rFonts w:ascii="Times New Roman" w:hAnsi="Times New Roman" w:cs="Times New Roman" w:eastAsia="宋体"/>
          <w:b w:val="0"/>
          <w:i w:val="0"/>
          <w:color w:val="000000"/>
          <w:sz w:val="24"/>
          <w:u w:val="none"/>
        </w:rPr>
        <w:t>从方法上看，问卷量表在信效度方面具有优势，却难以直接回答两个问题：第一，公众在自然情境中会以什么方式表达与职业风险相关的担忧；第二，这类表达是否会随着平台环境、议题结构和时间背景而变化。也就是说，量表研究与表达研究各自观察的是职业风险感知的不同层面。前者侧重个体心理状态，后者侧重公共讨论中的可见表达。本文选择后者，因而不将“职业不安全感相关表达”直接等同于“职业不安全感构念水平”。</w:t>
      </w:r>
    </w:p>
    <w:p>
      <w:pPr>
        <w:pStyle w:val="Heading2"/>
        <w:spacing w:line="240" w:lineRule="auto" w:before="240" w:after="240"/>
        <w:jc w:val="left"/>
      </w:pPr>
      <w:r>
        <w:rPr>
          <w:rFonts w:ascii="Times New Roman" w:hAnsi="Times New Roman" w:cs="Times New Roman" w:eastAsia="黑体"/>
          <w:b/>
          <w:i w:val="0"/>
          <w:color w:val="000000"/>
          <w:sz w:val="28"/>
          <w:u w:val="none"/>
        </w:rPr>
        <w:t>2.2 AI、就业不确定性与理论分歧</w:t>
      </w:r>
    </w:p>
    <w:p>
      <w:pPr>
        <w:spacing w:line="300" w:lineRule="auto"/>
        <w:ind w:firstLine="480"/>
        <w:jc w:val="both"/>
      </w:pPr>
      <w:r>
        <w:rPr>
          <w:rFonts w:ascii="Times New Roman" w:hAnsi="Times New Roman" w:cs="Times New Roman" w:eastAsia="宋体"/>
          <w:b w:val="0"/>
          <w:i w:val="0"/>
          <w:color w:val="000000"/>
          <w:sz w:val="24"/>
          <w:u w:val="none"/>
        </w:rPr>
        <w:t>关于 AI 与就业不确定性的讨论长期存在明显分歧。替代论强调技术进步可能削减岗位需求，尤其是高度可编码、可标准化的任务更容易被自动化吸收（Frey &amp; Osborne, 2017）。互补论则认为技术更多改变任务结构而非简单消灭工作，大量工作岗位会经历重组、升级或重新分工（Arntz et al., 2016; Bessen, 2019）。更综合的观点认为，AI 对劳动市场的作用具有高度异质性，取决于行业结构、任务类型、制度安排和技术扩散节奏（Manyika et al., 2017）。</w:t>
      </w:r>
    </w:p>
    <w:p>
      <w:pPr>
        <w:spacing w:line="300" w:lineRule="auto"/>
        <w:ind w:firstLine="480"/>
        <w:jc w:val="both"/>
      </w:pPr>
      <w:r>
        <w:rPr>
          <w:rFonts w:ascii="Times New Roman" w:hAnsi="Times New Roman" w:cs="Times New Roman" w:eastAsia="宋体"/>
          <w:b w:val="0"/>
          <w:i w:val="0"/>
          <w:color w:val="000000"/>
          <w:sz w:val="24"/>
          <w:u w:val="none"/>
        </w:rPr>
        <w:t>这种理论分歧对本文有两个启示。第一，如果就业不确定性并非由单一方向的技术冲击统一决定，那么公开表达很可能会呈现情境依赖和议题依赖特征。第二，即使不试图回答“AI 是否与职业不安全感相联系”，研究者仍然可以分析“哪些 AI 讨论场景更容易伴随职业风险表达”。这也是本文将研究重心放在平台异质性、议题异质性和时间动态上的原因。</w:t>
      </w:r>
    </w:p>
    <w:p>
      <w:pPr>
        <w:pStyle w:val="Heading2"/>
        <w:spacing w:line="240" w:lineRule="auto" w:before="240" w:after="240"/>
        <w:jc w:val="left"/>
      </w:pPr>
      <w:r>
        <w:rPr>
          <w:rFonts w:ascii="Times New Roman" w:hAnsi="Times New Roman" w:cs="Times New Roman" w:eastAsia="黑体"/>
          <w:b/>
          <w:i w:val="0"/>
          <w:color w:val="000000"/>
          <w:sz w:val="28"/>
          <w:u w:val="none"/>
        </w:rPr>
        <w:t>2.3 社交媒体表达、平台结构与议题显著性</w:t>
      </w:r>
    </w:p>
    <w:p>
      <w:pPr>
        <w:spacing w:line="300" w:lineRule="auto"/>
        <w:ind w:firstLine="480"/>
        <w:jc w:val="both"/>
      </w:pPr>
      <w:r>
        <w:rPr>
          <w:rFonts w:ascii="Times New Roman" w:hAnsi="Times New Roman" w:cs="Times New Roman" w:eastAsia="宋体"/>
          <w:b w:val="0"/>
          <w:i w:val="0"/>
          <w:color w:val="000000"/>
          <w:sz w:val="24"/>
          <w:u w:val="none"/>
        </w:rPr>
        <w:t>社交媒体为研究公共表达提供了比传统调查更高频、更开放的观察窗口，但其优势和局限同样明显。优势在于数据来自自然发生的讨论情境，能够追踪表达在时间上的波动，也能揭示不同平台社区规范的差异。局限在于平台用户并不代表总体人口，表达行为还会受到平台功能、算法曝光和讨论氛围的塑造（Sloan et al., 2015; Williams et al., 2017）。</w:t>
      </w:r>
    </w:p>
    <w:p>
      <w:pPr>
        <w:spacing w:line="300" w:lineRule="auto"/>
        <w:ind w:firstLine="480"/>
        <w:jc w:val="both"/>
      </w:pPr>
      <w:r>
        <w:rPr>
          <w:rFonts w:ascii="Times New Roman" w:hAnsi="Times New Roman" w:cs="Times New Roman" w:eastAsia="宋体"/>
          <w:b w:val="0"/>
          <w:i w:val="0"/>
          <w:color w:val="000000"/>
          <w:sz w:val="24"/>
          <w:u w:val="none"/>
        </w:rPr>
        <w:t>在文本研究方法上，基于词典的识别方式具有较强可解释性，适合构造“职业不安全感相关表达”这类边界相对明确的代理指标；但它难以覆盖隐喻、讽刺和复杂上下文，因此更适合进行描述性和关联性研究，而不是构念层的精确测量。与此同时，技术讨论并非同质整体。不同查询主题背后对应着不同的技术应用场景、职业替代想象与技能门槛，因而“议题显著性”本身可能就是风险表达的重要来源。</w:t>
      </w:r>
    </w:p>
    <w:p>
      <w:pPr>
        <w:pStyle w:val="Heading2"/>
        <w:spacing w:line="240" w:lineRule="auto" w:before="240" w:after="240"/>
        <w:jc w:val="left"/>
      </w:pPr>
      <w:r>
        <w:rPr>
          <w:rFonts w:ascii="Times New Roman" w:hAnsi="Times New Roman" w:cs="Times New Roman" w:eastAsia="黑体"/>
          <w:b/>
          <w:i w:val="0"/>
          <w:color w:val="000000"/>
          <w:sz w:val="28"/>
          <w:u w:val="none"/>
        </w:rPr>
        <w:t>2.4 研究空白与本文定位</w:t>
      </w:r>
    </w:p>
    <w:p>
      <w:pPr>
        <w:spacing w:line="300" w:lineRule="auto"/>
        <w:ind w:firstLine="480"/>
        <w:jc w:val="both"/>
      </w:pPr>
      <w:r>
        <w:rPr>
          <w:rFonts w:ascii="Times New Roman" w:hAnsi="Times New Roman" w:cs="Times New Roman" w:eastAsia="宋体"/>
          <w:b w:val="0"/>
          <w:i w:val="0"/>
          <w:color w:val="000000"/>
          <w:sz w:val="24"/>
          <w:u w:val="none"/>
        </w:rPr>
        <w:t>综上，现有文献在三个方面留下了空白。第一，职业不安全感研究多关注个体量表，而较少观察 AI 相关公开讨论中的表达层差异。第二，AI 与就业不确定性的讨论常以宏观理论争论为主，对不同技术议题之间的风险表达差异缺乏细化分析。第三，社交媒体研究虽然能够捕捉动态变化，但若忽略平台结构差异和主题标签信息，就容易把本来不同的表达场景混合为单一平均效应。</w:t>
      </w:r>
    </w:p>
    <w:p>
      <w:pPr>
        <w:spacing w:line="300" w:lineRule="auto"/>
        <w:ind w:firstLine="480"/>
        <w:jc w:val="both"/>
      </w:pPr>
      <w:r>
        <w:rPr>
          <w:rFonts w:ascii="Times New Roman" w:hAnsi="Times New Roman" w:cs="Times New Roman" w:eastAsia="宋体"/>
          <w:b w:val="0"/>
          <w:i w:val="0"/>
          <w:color w:val="000000"/>
          <w:sz w:val="24"/>
          <w:u w:val="none"/>
        </w:rPr>
        <w:t>本文据此将研究定位为一项描述性、关联性研究。本文不试图用当前数据建立强因果机制，而是通过多平台公开评论回答三个更适配数据的问题：不同平台上的职业不安全感相关表达率是否存在稳定差异，不同 AI 议题下的表达率是否存在系统性差异，以及在时间覆盖最完整的样本中，这类表达是否呈现上升趋势。通过这一定位，本文尝试把“职业风险感知”从抽象理论争论，转化为一个能够在公开讨论中被具体观察和比较的经验问题。</w:t>
      </w:r>
    </w:p>
    <w:p>
      <w:pPr>
        <w:pStyle w:val="Heading1"/>
        <w:spacing w:line="240" w:lineRule="auto" w:before="240" w:after="240"/>
        <w:jc w:val="center"/>
      </w:pPr>
      <w:r>
        <w:rPr>
          <w:rFonts w:ascii="Times New Roman" w:hAnsi="Times New Roman" w:cs="Times New Roman" w:eastAsia="黑体"/>
          <w:b/>
          <w:i w:val="0"/>
          <w:color w:val="000000"/>
          <w:sz w:val="32"/>
          <w:u w:val="none"/>
        </w:rPr>
        <w:t>3 研究方法</w:t>
      </w:r>
    </w:p>
    <w:p>
      <w:pPr>
        <w:pStyle w:val="Heading2"/>
        <w:spacing w:line="240" w:lineRule="auto" w:before="240" w:after="240"/>
        <w:jc w:val="left"/>
      </w:pPr>
      <w:r>
        <w:rPr>
          <w:rFonts w:ascii="Times New Roman" w:hAnsi="Times New Roman" w:cs="Times New Roman" w:eastAsia="黑体"/>
          <w:b/>
          <w:i w:val="0"/>
          <w:color w:val="000000"/>
          <w:sz w:val="28"/>
          <w:u w:val="none"/>
        </w:rPr>
        <w:t>3.1 研究设计与分析定位</w:t>
      </w:r>
    </w:p>
    <w:p>
      <w:pPr>
        <w:spacing w:line="300" w:lineRule="auto"/>
        <w:ind w:firstLine="480"/>
        <w:jc w:val="both"/>
      </w:pPr>
      <w:r>
        <w:rPr>
          <w:rFonts w:ascii="Times New Roman" w:hAnsi="Times New Roman" w:cs="Times New Roman" w:eastAsia="宋体"/>
          <w:b w:val="0"/>
          <w:i w:val="0"/>
          <w:color w:val="000000"/>
          <w:sz w:val="24"/>
          <w:u w:val="none"/>
        </w:rPr>
        <w:t>本文是一项基于公开社交媒体评论的描述性、关联性研究。本文关注的不是职业不安全感构念本身的量表得分，而是 AI 相关讨论中与职业风险感知相联系的公开表达。为避免概念偷换，本文将因变量统一表述为“职业不安全感相关表达”，并将其视为职业风险感知的可观察代理指标。全文的统计目标是识别平台差异、议题差异与时间动态，而非建立因果解释。</w:t>
      </w:r>
    </w:p>
    <w:p>
      <w:pPr>
        <w:pStyle w:val="Heading2"/>
        <w:spacing w:line="240" w:lineRule="auto" w:before="240" w:after="240"/>
        <w:jc w:val="left"/>
      </w:pPr>
      <w:r>
        <w:rPr>
          <w:rFonts w:ascii="Times New Roman" w:hAnsi="Times New Roman" w:cs="Times New Roman" w:eastAsia="黑体"/>
          <w:b/>
          <w:i w:val="0"/>
          <w:color w:val="000000"/>
          <w:sz w:val="28"/>
          <w:u w:val="none"/>
        </w:rPr>
        <w:t>3.2 数据来源与样本构成</w:t>
      </w:r>
    </w:p>
    <w:p>
      <w:pPr>
        <w:spacing w:line="300" w:lineRule="auto"/>
        <w:ind w:firstLine="480"/>
        <w:jc w:val="both"/>
      </w:pPr>
      <w:r>
        <w:rPr>
          <w:rFonts w:ascii="Times New Roman" w:hAnsi="Times New Roman" w:cs="Times New Roman" w:eastAsia="宋体"/>
          <w:b w:val="0"/>
          <w:i w:val="0"/>
          <w:color w:val="000000"/>
          <w:sz w:val="24"/>
          <w:u w:val="none"/>
        </w:rPr>
        <w:t>本文使用 ai_crawl_data_20260413_004926 作为核心数据源，纳入哔哩哔哩、知乎、微博和小红书四个平台的公开评论数据。所有样本均来自 AI 相关检索场景，文件名中保留了平台、日期和检索主题信息。经预处理后，最终样本包含 142,426 条评论，整体时间范围为 2024 年 10 月 12 日至 2026 年 4 月 13 日，在评论时间戳层面形成 380 个观测日期。</w:t>
      </w:r>
    </w:p>
    <w:p>
      <w:pPr>
        <w:spacing w:line="300" w:lineRule="auto"/>
        <w:ind w:firstLine="480"/>
        <w:jc w:val="both"/>
      </w:pPr>
      <w:r>
        <w:rPr>
          <w:rFonts w:ascii="Times New Roman" w:hAnsi="Times New Roman" w:cs="Times New Roman" w:eastAsia="宋体"/>
          <w:b w:val="0"/>
          <w:i w:val="0"/>
          <w:color w:val="000000"/>
          <w:sz w:val="24"/>
          <w:u w:val="none"/>
        </w:rPr>
        <w:t>各平台样本分布如下：哔哩哔哩 101,538 条评论、366 个观测日期；知乎 35,429 条评论、234 个观测日期；微博 5,317 条评论、44 个观测日期；小红书 142 条评论、3 个观测日期。由于微博和小红书在时间覆盖和样本量上明显弱于哔哩哔哩和知乎，本文将其仅作为描述性补充，不纳入核心平台推断。</w:t>
      </w:r>
    </w:p>
    <w:p>
      <w:pPr>
        <w:pStyle w:val="Heading2"/>
        <w:spacing w:line="240" w:lineRule="auto" w:before="240" w:after="240"/>
        <w:jc w:val="left"/>
      </w:pPr>
      <w:r>
        <w:rPr>
          <w:rFonts w:ascii="Times New Roman" w:hAnsi="Times New Roman" w:cs="Times New Roman" w:eastAsia="黑体"/>
          <w:b/>
          <w:i w:val="0"/>
          <w:color w:val="000000"/>
          <w:sz w:val="28"/>
          <w:u w:val="none"/>
        </w:rPr>
        <w:t>3.3 数据预处理</w:t>
      </w:r>
    </w:p>
    <w:p>
      <w:pPr>
        <w:spacing w:line="300" w:lineRule="auto"/>
        <w:ind w:firstLine="480"/>
        <w:jc w:val="both"/>
      </w:pPr>
      <w:r>
        <w:rPr>
          <w:rFonts w:ascii="Times New Roman" w:hAnsi="Times New Roman" w:cs="Times New Roman" w:eastAsia="宋体"/>
          <w:b w:val="0"/>
          <w:i w:val="0"/>
          <w:color w:val="000000"/>
          <w:sz w:val="24"/>
          <w:u w:val="none"/>
        </w:rPr>
        <w:t>预处理流程包括文件名元数据解析、时间戳修复、字段标准化和文本匹配四个步骤。首先，本文从文件名中提取两个元数据字段：source_date 与 source_query。其中 source_query 直接来自原始抓取文件名，例如 AI编程、AI芯片、AI绘画、AI教育、AI工具、大语言模型 等，作为后续议题差异分析的原始标签来源。本文不再对这些主题进行事后主观归类，而是优先使用抓取阶段已经存在的 query 标签。</w:t>
      </w:r>
    </w:p>
    <w:p>
      <w:pPr>
        <w:spacing w:line="300" w:lineRule="auto"/>
        <w:ind w:firstLine="480"/>
        <w:jc w:val="both"/>
      </w:pPr>
      <w:r>
        <w:rPr>
          <w:rFonts w:ascii="Times New Roman" w:hAnsi="Times New Roman" w:cs="Times New Roman" w:eastAsia="宋体"/>
          <w:b w:val="0"/>
          <w:i w:val="0"/>
          <w:color w:val="000000"/>
          <w:sz w:val="24"/>
          <w:u w:val="none"/>
        </w:rPr>
        <w:t>其次，本文统一修复各平台时间戳。时间字段按以下优先级解析：create_time、publish_time、create_date_time，若以上字段缺失或异常，则回退至文件名中的 source_date。这一修复对知乎数据尤为关键，因为旧版处理流程无法正确识别带 query 后缀的文件名，使部分日期信息丢失。新版预处理将文件名中的日期部分与 query 部分显式拆分，并统一转为可比较的日期格式。</w:t>
      </w:r>
    </w:p>
    <w:p>
      <w:pPr>
        <w:spacing w:line="300" w:lineRule="auto"/>
        <w:ind w:firstLine="480"/>
        <w:jc w:val="both"/>
      </w:pPr>
      <w:r>
        <w:rPr>
          <w:rFonts w:ascii="Times New Roman" w:hAnsi="Times New Roman" w:cs="Times New Roman" w:eastAsia="宋体"/>
          <w:b w:val="0"/>
          <w:i w:val="0"/>
          <w:color w:val="000000"/>
          <w:sz w:val="24"/>
          <w:u w:val="none"/>
        </w:rPr>
        <w:t>再次，本文在平台级保留 platform、source_query、date 等字段，以支持跨平台和跨议题统计。数据清洗仅限于标准化字段、转换时间戳和统一编码，不额外构造职业身份识别变量，以避免在缺乏稳定识别规则的情况下引入新的测量噪声。</w:t>
      </w:r>
    </w:p>
    <w:p>
      <w:pPr>
        <w:pStyle w:val="Heading2"/>
        <w:spacing w:line="240" w:lineRule="auto" w:before="240" w:after="240"/>
        <w:jc w:val="left"/>
      </w:pPr>
      <w:r>
        <w:rPr>
          <w:rFonts w:ascii="Times New Roman" w:hAnsi="Times New Roman" w:cs="Times New Roman" w:eastAsia="黑体"/>
          <w:b/>
          <w:i w:val="0"/>
          <w:color w:val="000000"/>
          <w:sz w:val="28"/>
          <w:u w:val="none"/>
        </w:rPr>
        <w:t>3.4 职业不安全感相关表达的操作化</w:t>
      </w:r>
    </w:p>
    <w:p>
      <w:pPr>
        <w:spacing w:line="300" w:lineRule="auto"/>
        <w:ind w:firstLine="480"/>
        <w:jc w:val="both"/>
      </w:pPr>
      <w:r>
        <w:rPr>
          <w:rFonts w:ascii="Times New Roman" w:hAnsi="Times New Roman" w:cs="Times New Roman" w:eastAsia="宋体"/>
          <w:b w:val="0"/>
          <w:i w:val="0"/>
          <w:color w:val="000000"/>
          <w:sz w:val="24"/>
          <w:u w:val="none"/>
        </w:rPr>
        <w:t>本文使用基于词典的关键词匹配法识别职业不安全感相关表达。词典包含五类风险表达：失业担忧、替代焦虑、技能过时、职业焦虑和未来担忧。匹配规则为：当评论文本出现任一职业风险相关词语时，即标记为一条职业不安全感相关表达。按照这一规则，142,426 条评论中共识别出 1,679 条相关表达，占比 1.18%。</w:t>
      </w:r>
    </w:p>
    <w:p>
      <w:pPr>
        <w:spacing w:line="300" w:lineRule="auto"/>
        <w:ind w:firstLine="480"/>
        <w:jc w:val="both"/>
      </w:pPr>
      <w:r>
        <w:rPr>
          <w:rFonts w:ascii="Times New Roman" w:hAnsi="Times New Roman" w:cs="Times New Roman" w:eastAsia="宋体"/>
          <w:b w:val="0"/>
          <w:i w:val="0"/>
          <w:color w:val="000000"/>
          <w:sz w:val="24"/>
          <w:u w:val="none"/>
        </w:rPr>
        <w:t>五类表达的计数分别为：失业担忧 837 条，替代焦虑 596 条，技能过时 242 条，职业焦虑 56 条，未来担忧 30 条。由于单条评论可能同时匹配多个类别，因此类别总和高于独立评论数。</w:t>
      </w:r>
    </w:p>
    <w:p>
      <w:pPr>
        <w:spacing w:line="300" w:lineRule="auto"/>
        <w:ind w:firstLine="480"/>
        <w:jc w:val="both"/>
      </w:pPr>
      <w:r>
        <w:rPr>
          <w:rFonts w:ascii="Times New Roman" w:hAnsi="Times New Roman" w:cs="Times New Roman" w:eastAsia="宋体"/>
          <w:b w:val="0"/>
          <w:i w:val="0"/>
          <w:color w:val="000000"/>
          <w:sz w:val="24"/>
          <w:u w:val="none"/>
        </w:rPr>
        <w:t>需要强调的是，这一指标具有三个边界。第一，它捕捉的是显性词汇信号，不能覆盖隐喻、讽刺或复杂语境中的风险表达。第二，它识别的是 AI 相关讨论中的职业不安全感相关表达，而不是职业不安全感构念水平。第三，由于原始样本本身来自 AI 相关检索场景，本文得到的表达率应被理解为“在 AI 讨论样本中的相关表达比例”，而不是更广泛公众总体中的发生率。</w:t>
      </w:r>
    </w:p>
    <w:p>
      <w:pPr>
        <w:pStyle w:val="Heading2"/>
        <w:spacing w:line="240" w:lineRule="auto" w:before="240" w:after="240"/>
        <w:jc w:val="left"/>
      </w:pPr>
      <w:r>
        <w:rPr>
          <w:rFonts w:ascii="Times New Roman" w:hAnsi="Times New Roman" w:cs="Times New Roman" w:eastAsia="黑体"/>
          <w:b/>
          <w:i w:val="0"/>
          <w:color w:val="000000"/>
          <w:sz w:val="28"/>
          <w:u w:val="none"/>
        </w:rPr>
        <w:t>3.5 研究假设与统计策略</w:t>
      </w:r>
    </w:p>
    <w:p>
      <w:pPr>
        <w:pStyle w:val="Heading3"/>
        <w:spacing w:line="240" w:lineRule="auto" w:before="240" w:after="240"/>
        <w:jc w:val="left"/>
      </w:pPr>
      <w:r>
        <w:rPr>
          <w:rFonts w:ascii="Times New Roman" w:hAnsi="Times New Roman" w:cs="Times New Roman" w:eastAsia="黑体"/>
          <w:b/>
          <w:i w:val="0"/>
          <w:color w:val="000000"/>
          <w:sz w:val="24"/>
          <w:u w:val="none"/>
        </w:rPr>
        <w:t>3.5.1 H1：平台异质性假设</w:t>
      </w:r>
    </w:p>
    <w:p>
      <w:pPr>
        <w:spacing w:line="300" w:lineRule="auto"/>
        <w:ind w:firstLine="480"/>
        <w:jc w:val="both"/>
      </w:pPr>
      <w:r>
        <w:rPr>
          <w:rFonts w:ascii="Times New Roman" w:hAnsi="Times New Roman" w:cs="Times New Roman" w:eastAsia="宋体"/>
          <w:b w:val="0"/>
          <w:i w:val="0"/>
          <w:color w:val="000000"/>
          <w:sz w:val="24"/>
          <w:u w:val="none"/>
        </w:rPr>
        <w:t>H1：不同社交媒体平台上的职业不安全感相关表达率存在显著差异。</w:t>
      </w:r>
    </w:p>
    <w:p>
      <w:pPr>
        <w:spacing w:line="300" w:lineRule="auto"/>
        <w:ind w:firstLine="480"/>
        <w:jc w:val="both"/>
      </w:pPr>
      <w:r>
        <w:rPr>
          <w:rFonts w:ascii="Times New Roman" w:hAnsi="Times New Roman" w:cs="Times New Roman" w:eastAsia="宋体"/>
          <w:b w:val="0"/>
          <w:i w:val="0"/>
          <w:color w:val="000000"/>
          <w:sz w:val="24"/>
          <w:u w:val="none"/>
        </w:rPr>
        <w:t>H1 的主检验平台限定为知乎与哔哩哔哩。理由是两者样本量显著高于微博和小红书，且时间覆盖更完整。统计上，本文以评论为观测单位，比较两平台职业不安全感相关表达率，并采用双样本比例差异检验（two-proportion z-test）评估差异显著性。微博与小红书仅报告描述性表达率，不进入核心假设检验。</w:t>
      </w:r>
    </w:p>
    <w:p>
      <w:pPr>
        <w:pStyle w:val="Heading3"/>
        <w:spacing w:line="240" w:lineRule="auto" w:before="240" w:after="240"/>
        <w:jc w:val="left"/>
      </w:pPr>
      <w:r>
        <w:rPr>
          <w:rFonts w:ascii="Times New Roman" w:hAnsi="Times New Roman" w:cs="Times New Roman" w:eastAsia="黑体"/>
          <w:b/>
          <w:i w:val="0"/>
          <w:color w:val="000000"/>
          <w:sz w:val="24"/>
          <w:u w:val="none"/>
        </w:rPr>
        <w:t>3.5.2 H2：议题异质性假设</w:t>
      </w:r>
    </w:p>
    <w:p>
      <w:pPr>
        <w:spacing w:line="300" w:lineRule="auto"/>
        <w:ind w:firstLine="480"/>
        <w:jc w:val="both"/>
      </w:pPr>
      <w:r>
        <w:rPr>
          <w:rFonts w:ascii="Times New Roman" w:hAnsi="Times New Roman" w:cs="Times New Roman" w:eastAsia="宋体"/>
          <w:b w:val="0"/>
          <w:i w:val="0"/>
          <w:color w:val="000000"/>
          <w:sz w:val="24"/>
          <w:u w:val="none"/>
        </w:rPr>
        <w:t>H2：不同 AI 讨论议题下的职业不安全感相关表达率存在显著差异。</w:t>
      </w:r>
    </w:p>
    <w:p>
      <w:pPr>
        <w:spacing w:line="300" w:lineRule="auto"/>
        <w:ind w:firstLine="480"/>
        <w:jc w:val="both"/>
      </w:pPr>
      <w:r>
        <w:rPr>
          <w:rFonts w:ascii="Times New Roman" w:hAnsi="Times New Roman" w:cs="Times New Roman" w:eastAsia="宋体"/>
          <w:b w:val="0"/>
          <w:i w:val="0"/>
          <w:color w:val="000000"/>
          <w:sz w:val="24"/>
          <w:u w:val="none"/>
        </w:rPr>
        <w:t>H2 以文件名中保留的 source_query 作为议题变量。为避免极小样本主题放大波动，本文仅将评论数不少于 500 条的 query 纳入正式比较。统计上，先按 query 计算职业不安全感相关表达率，再使用基于总体基准表达率的 Monte Carlo 异质性检验评估各 query 之间是否存在系统性差异。</w:t>
      </w:r>
    </w:p>
    <w:p>
      <w:pPr>
        <w:pStyle w:val="Heading3"/>
        <w:spacing w:line="240" w:lineRule="auto" w:before="240" w:after="240"/>
        <w:jc w:val="left"/>
      </w:pPr>
      <w:r>
        <w:rPr>
          <w:rFonts w:ascii="Times New Roman" w:hAnsi="Times New Roman" w:cs="Times New Roman" w:eastAsia="黑体"/>
          <w:b/>
          <w:i w:val="0"/>
          <w:color w:val="000000"/>
          <w:sz w:val="24"/>
          <w:u w:val="none"/>
        </w:rPr>
        <w:t>3.5.3 H3：时间动态假设</w:t>
      </w:r>
    </w:p>
    <w:p>
      <w:pPr>
        <w:spacing w:line="300" w:lineRule="auto"/>
        <w:ind w:firstLine="480"/>
        <w:jc w:val="both"/>
      </w:pPr>
      <w:r>
        <w:rPr>
          <w:rFonts w:ascii="Times New Roman" w:hAnsi="Times New Roman" w:cs="Times New Roman" w:eastAsia="宋体"/>
          <w:b w:val="0"/>
          <w:i w:val="0"/>
          <w:color w:val="000000"/>
          <w:sz w:val="24"/>
          <w:u w:val="none"/>
        </w:rPr>
        <w:t>H3：在时间覆盖完整且时间戳可靠的样本中，职业不安全感相关表达呈现上升趋势。</w:t>
      </w:r>
    </w:p>
    <w:p>
      <w:pPr>
        <w:spacing w:line="300" w:lineRule="auto"/>
        <w:ind w:firstLine="480"/>
        <w:jc w:val="both"/>
      </w:pPr>
      <w:r>
        <w:rPr>
          <w:rFonts w:ascii="Times New Roman" w:hAnsi="Times New Roman" w:cs="Times New Roman" w:eastAsia="宋体"/>
          <w:b w:val="0"/>
          <w:i w:val="0"/>
          <w:color w:val="000000"/>
          <w:sz w:val="24"/>
          <w:u w:val="none"/>
        </w:rPr>
        <w:t>H3 的主分析样本为哔哩哔哩平台。选择该平台的原因在于其观测日期最多、时间覆盖最连续，能够避免平台覆盖不均衡对趋势估计的干扰。本文先按日聚合哔哩哔哩评论中的职业不安全感相关表达率，再使用线性趋势模型估计斜率，并通过置换检验评估趋势显著性。完成时间戳修复后，本文同时计算全样本趋势，作为稳健性补充，但不将其作为主结论的首要证据。</w:t>
      </w:r>
    </w:p>
    <w:p>
      <w:pPr>
        <w:pStyle w:val="Heading3"/>
        <w:spacing w:line="240" w:lineRule="auto" w:before="240" w:after="240"/>
        <w:jc w:val="left"/>
      </w:pPr>
      <w:r>
        <w:rPr>
          <w:rFonts w:ascii="Times New Roman" w:hAnsi="Times New Roman" w:cs="Times New Roman" w:eastAsia="黑体"/>
          <w:b/>
          <w:i w:val="0"/>
          <w:color w:val="000000"/>
          <w:sz w:val="24"/>
          <w:u w:val="none"/>
        </w:rPr>
        <w:t>3.5.4 探索性事件窗口分析</w:t>
      </w:r>
    </w:p>
    <w:p>
      <w:pPr>
        <w:spacing w:line="300" w:lineRule="auto"/>
        <w:ind w:firstLine="480"/>
        <w:jc w:val="both"/>
      </w:pPr>
      <w:r>
        <w:rPr>
          <w:rFonts w:ascii="Times New Roman" w:hAnsi="Times New Roman" w:cs="Times New Roman" w:eastAsia="宋体"/>
          <w:b w:val="0"/>
          <w:i w:val="0"/>
          <w:color w:val="000000"/>
          <w:sz w:val="24"/>
          <w:u w:val="none"/>
        </w:rPr>
        <w:t>旧版本中的事件主效应、恢复时间和事件类型差异分析在当前版本中不再作为核心假设。原因是当前数据更适合支撑平台异质性、议题异质性与时间动态，而事件分析仍依赖事件库边界、窗口定义和事件类型划分的进一步清理。因此，事件窗口分析仅保留为后续附录方向，不与核心假设共享摘要叙事。</w:t>
      </w:r>
    </w:p>
    <w:p>
      <w:pPr>
        <w:pStyle w:val="Heading2"/>
        <w:spacing w:line="240" w:lineRule="auto" w:before="240" w:after="240"/>
        <w:jc w:val="left"/>
      </w:pPr>
      <w:r>
        <w:rPr>
          <w:rFonts w:ascii="Times New Roman" w:hAnsi="Times New Roman" w:cs="Times New Roman" w:eastAsia="黑体"/>
          <w:b/>
          <w:i w:val="0"/>
          <w:color w:val="000000"/>
          <w:sz w:val="28"/>
          <w:u w:val="none"/>
        </w:rPr>
        <w:t>3.6 伦理考量</w:t>
      </w:r>
    </w:p>
    <w:p>
      <w:pPr>
        <w:spacing w:line="300" w:lineRule="auto"/>
        <w:ind w:firstLine="480"/>
        <w:jc w:val="both"/>
      </w:pPr>
      <w:r>
        <w:rPr>
          <w:rFonts w:ascii="Times New Roman" w:hAnsi="Times New Roman" w:cs="Times New Roman" w:eastAsia="宋体"/>
          <w:b w:val="0"/>
          <w:i w:val="0"/>
          <w:color w:val="000000"/>
          <w:sz w:val="24"/>
          <w:u w:val="none"/>
        </w:rPr>
        <w:t>本文仅使用公开可见评论，不纳入私密内容，也不进行个体识别性展示。用户标识在分析环节仅用于聚合统计，不用于个体画像。全文只在平台、日期和 query 等聚合层面报告结果，不作个体层推断。由于样本来自公开讨论，且本文关注的是表达模式而非个体诊断，伦理风险主要来自去标识化和结果解释边界；对此，本文统一采用匿名化处理和非因果表述。</w:t>
      </w:r>
    </w:p>
    <w:p>
      <w:pPr>
        <w:pStyle w:val="Heading1"/>
        <w:spacing w:line="240" w:lineRule="auto" w:before="240" w:after="240"/>
        <w:jc w:val="center"/>
      </w:pPr>
      <w:r>
        <w:rPr>
          <w:rFonts w:ascii="Times New Roman" w:hAnsi="Times New Roman" w:cs="Times New Roman" w:eastAsia="黑体"/>
          <w:b/>
          <w:i w:val="0"/>
          <w:color w:val="000000"/>
          <w:sz w:val="32"/>
          <w:u w:val="none"/>
        </w:rPr>
        <w:t>4 研究结果</w:t>
      </w:r>
    </w:p>
    <w:p>
      <w:pPr>
        <w:pStyle w:val="Heading2"/>
        <w:spacing w:line="240" w:lineRule="auto" w:before="240" w:after="240"/>
        <w:jc w:val="left"/>
      </w:pPr>
      <w:r>
        <w:rPr>
          <w:rFonts w:ascii="Times New Roman" w:hAnsi="Times New Roman" w:cs="Times New Roman" w:eastAsia="黑体"/>
          <w:b/>
          <w:i w:val="0"/>
          <w:color w:val="000000"/>
          <w:sz w:val="28"/>
          <w:u w:val="none"/>
        </w:rPr>
        <w:t>4.1 样本描述</w:t>
      </w:r>
    </w:p>
    <w:p>
      <w:pPr>
        <w:spacing w:line="300" w:lineRule="auto"/>
        <w:ind w:firstLine="480"/>
        <w:jc w:val="both"/>
      </w:pPr>
      <w:r>
        <w:rPr>
          <w:rFonts w:ascii="Times New Roman" w:hAnsi="Times New Roman" w:cs="Times New Roman" w:eastAsia="宋体"/>
          <w:b w:val="0"/>
          <w:i w:val="0"/>
          <w:color w:val="000000"/>
          <w:sz w:val="24"/>
          <w:u w:val="none"/>
        </w:rPr>
        <w:t>基于 ai_crawl_data_20260413_004926 的预处理结果，本文最终纳入 142,426 条公开评论，其中 1,679 条被识别为职业不安全感相关表达，占总评论数的 1.18%。样本覆盖 4 个平台和 380 个观测日期。表 1 报告平台层面的基本情况。</w:t>
      </w:r>
    </w:p>
    <w:p>
      <w:pPr>
        <w:spacing w:line="300" w:lineRule="auto"/>
        <w:jc w:val="center"/>
      </w:pPr>
      <w:r>
        <w:rPr>
          <w:rFonts w:ascii="Times New Roman" w:hAnsi="Times New Roman" w:cs="Times New Roman" w:eastAsia="宋体"/>
          <w:b/>
          <w:i w:val="0"/>
          <w:color w:val="000000"/>
          <w:sz w:val="24"/>
          <w:u w:val="none"/>
        </w:rPr>
        <w:t>表 1 样本基本特征</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color w:val="000000"/>
                <w:sz w:val="21"/>
                <w:u w:val="none"/>
              </w:rPr>
              <w:t>平台</w:t>
            </w:r>
          </w:p>
        </w:tc>
        <w:tc>
          <w:tcPr>
            <w:tcW w:type="dxa" w:w="2041"/>
          </w:tcPr>
          <w:p>
            <w:pPr>
              <w:spacing w:line="240" w:lineRule="auto"/>
              <w:jc w:val="center"/>
            </w:pPr>
            <w:r>
              <w:rPr>
                <w:rFonts w:ascii="Times New Roman" w:hAnsi="Times New Roman" w:cs="Times New Roman" w:eastAsia="宋体"/>
                <w:b/>
                <w:i w:val="0"/>
                <w:color w:val="000000"/>
                <w:sz w:val="21"/>
                <w:u w:val="none"/>
              </w:rPr>
              <w:t>评论数</w:t>
            </w:r>
          </w:p>
        </w:tc>
        <w:tc>
          <w:tcPr>
            <w:tcW w:type="dxa" w:w="2041"/>
          </w:tcPr>
          <w:p>
            <w:pPr>
              <w:spacing w:line="240" w:lineRule="auto"/>
              <w:jc w:val="center"/>
            </w:pPr>
            <w:r>
              <w:rPr>
                <w:rFonts w:ascii="Times New Roman" w:hAnsi="Times New Roman" w:cs="Times New Roman" w:eastAsia="宋体"/>
                <w:b/>
                <w:i w:val="0"/>
                <w:color w:val="000000"/>
                <w:sz w:val="21"/>
                <w:u w:val="none"/>
              </w:rPr>
              <w:t>职业不安全感相关表达数</w:t>
            </w:r>
          </w:p>
        </w:tc>
        <w:tc>
          <w:tcPr>
            <w:tcW w:type="dxa" w:w="2041"/>
          </w:tcPr>
          <w:p>
            <w:pPr>
              <w:spacing w:line="240" w:lineRule="auto"/>
              <w:jc w:val="center"/>
            </w:pPr>
            <w:r>
              <w:rPr>
                <w:rFonts w:ascii="Times New Roman" w:hAnsi="Times New Roman" w:cs="Times New Roman" w:eastAsia="宋体"/>
                <w:b/>
                <w:i w:val="0"/>
                <w:color w:val="000000"/>
                <w:sz w:val="21"/>
                <w:u w:val="none"/>
              </w:rPr>
              <w:t>表达率 (%)</w:t>
            </w:r>
          </w:p>
        </w:tc>
        <w:tc>
          <w:tcPr>
            <w:tcW w:type="dxa" w:w="2041"/>
          </w:tcPr>
          <w:p>
            <w:pPr>
              <w:spacing w:line="240" w:lineRule="auto"/>
              <w:jc w:val="center"/>
            </w:pPr>
            <w:r>
              <w:rPr>
                <w:rFonts w:ascii="Times New Roman" w:hAnsi="Times New Roman" w:cs="Times New Roman" w:eastAsia="宋体"/>
                <w:b/>
                <w:i w:val="0"/>
                <w:color w:val="000000"/>
                <w:sz w:val="21"/>
                <w:u w:val="none"/>
              </w:rPr>
              <w:t>观测日期数</w:t>
            </w:r>
          </w:p>
        </w:tc>
      </w:tr>
      <w:tr>
        <w:tc>
          <w:tcPr>
            <w:tcW w:type="dxa" w:w="2041"/>
          </w:tcPr>
          <w:p>
            <w:pPr>
              <w:spacing w:line="240" w:lineRule="auto"/>
              <w:jc w:val="left"/>
            </w:pPr>
            <w:r>
              <w:rPr>
                <w:rFonts w:ascii="Times New Roman" w:hAnsi="Times New Roman" w:cs="Times New Roman" w:eastAsia="宋体"/>
                <w:b w:val="0"/>
                <w:i w:val="0"/>
                <w:color w:val="000000"/>
                <w:sz w:val="21"/>
                <w:u w:val="none"/>
              </w:rPr>
              <w:t>知乎</w:t>
            </w:r>
          </w:p>
        </w:tc>
        <w:tc>
          <w:tcPr>
            <w:tcW w:type="dxa" w:w="2041"/>
          </w:tcPr>
          <w:p>
            <w:pPr>
              <w:spacing w:line="240" w:lineRule="auto"/>
              <w:jc w:val="left"/>
            </w:pPr>
            <w:r>
              <w:rPr>
                <w:rFonts w:ascii="Times New Roman" w:hAnsi="Times New Roman" w:cs="Times New Roman" w:eastAsia="宋体"/>
                <w:b w:val="0"/>
                <w:i w:val="0"/>
                <w:color w:val="000000"/>
                <w:sz w:val="21"/>
                <w:u w:val="none"/>
              </w:rPr>
              <w:t>35,429</w:t>
            </w:r>
          </w:p>
        </w:tc>
        <w:tc>
          <w:tcPr>
            <w:tcW w:type="dxa" w:w="2041"/>
          </w:tcPr>
          <w:p>
            <w:pPr>
              <w:spacing w:line="240" w:lineRule="auto"/>
              <w:jc w:val="left"/>
            </w:pPr>
            <w:r>
              <w:rPr>
                <w:rFonts w:ascii="Times New Roman" w:hAnsi="Times New Roman" w:cs="Times New Roman" w:eastAsia="宋体"/>
                <w:b w:val="0"/>
                <w:i w:val="0"/>
                <w:color w:val="000000"/>
                <w:sz w:val="21"/>
                <w:u w:val="none"/>
              </w:rPr>
              <w:t>776</w:t>
            </w:r>
          </w:p>
        </w:tc>
        <w:tc>
          <w:tcPr>
            <w:tcW w:type="dxa" w:w="2041"/>
          </w:tcPr>
          <w:p>
            <w:pPr>
              <w:spacing w:line="240" w:lineRule="auto"/>
              <w:jc w:val="left"/>
            </w:pPr>
            <w:r>
              <w:rPr>
                <w:rFonts w:ascii="Times New Roman" w:hAnsi="Times New Roman" w:cs="Times New Roman" w:eastAsia="宋体"/>
                <w:b w:val="0"/>
                <w:i w:val="0"/>
                <w:color w:val="000000"/>
                <w:sz w:val="21"/>
                <w:u w:val="none"/>
              </w:rPr>
              <w:t>2.19</w:t>
            </w:r>
          </w:p>
        </w:tc>
        <w:tc>
          <w:tcPr>
            <w:tcW w:type="dxa" w:w="2041"/>
          </w:tcPr>
          <w:p>
            <w:pPr>
              <w:spacing w:line="240" w:lineRule="auto"/>
              <w:jc w:val="left"/>
            </w:pPr>
            <w:r>
              <w:rPr>
                <w:rFonts w:ascii="Times New Roman" w:hAnsi="Times New Roman" w:cs="Times New Roman" w:eastAsia="宋体"/>
                <w:b w:val="0"/>
                <w:i w:val="0"/>
                <w:color w:val="000000"/>
                <w:sz w:val="21"/>
                <w:u w:val="none"/>
              </w:rPr>
              <w:t>234</w:t>
            </w:r>
          </w:p>
        </w:tc>
      </w:tr>
      <w:tr>
        <w:tc>
          <w:tcPr>
            <w:tcW w:type="dxa" w:w="2041"/>
          </w:tcPr>
          <w:p>
            <w:pPr>
              <w:spacing w:line="240" w:lineRule="auto"/>
              <w:jc w:val="left"/>
            </w:pPr>
            <w:r>
              <w:rPr>
                <w:rFonts w:ascii="Times New Roman" w:hAnsi="Times New Roman" w:cs="Times New Roman" w:eastAsia="宋体"/>
                <w:b w:val="0"/>
                <w:i w:val="0"/>
                <w:color w:val="000000"/>
                <w:sz w:val="21"/>
                <w:u w:val="none"/>
              </w:rPr>
              <w:t>哔哩哔哩</w:t>
            </w:r>
          </w:p>
        </w:tc>
        <w:tc>
          <w:tcPr>
            <w:tcW w:type="dxa" w:w="2041"/>
          </w:tcPr>
          <w:p>
            <w:pPr>
              <w:spacing w:line="240" w:lineRule="auto"/>
              <w:jc w:val="left"/>
            </w:pPr>
            <w:r>
              <w:rPr>
                <w:rFonts w:ascii="Times New Roman" w:hAnsi="Times New Roman" w:cs="Times New Roman" w:eastAsia="宋体"/>
                <w:b w:val="0"/>
                <w:i w:val="0"/>
                <w:color w:val="000000"/>
                <w:sz w:val="21"/>
                <w:u w:val="none"/>
              </w:rPr>
              <w:t>101,538</w:t>
            </w:r>
          </w:p>
        </w:tc>
        <w:tc>
          <w:tcPr>
            <w:tcW w:type="dxa" w:w="2041"/>
          </w:tcPr>
          <w:p>
            <w:pPr>
              <w:spacing w:line="240" w:lineRule="auto"/>
              <w:jc w:val="left"/>
            </w:pPr>
            <w:r>
              <w:rPr>
                <w:rFonts w:ascii="Times New Roman" w:hAnsi="Times New Roman" w:cs="Times New Roman" w:eastAsia="宋体"/>
                <w:b w:val="0"/>
                <w:i w:val="0"/>
                <w:color w:val="000000"/>
                <w:sz w:val="21"/>
                <w:u w:val="none"/>
              </w:rPr>
              <w:t>870</w:t>
            </w:r>
          </w:p>
        </w:tc>
        <w:tc>
          <w:tcPr>
            <w:tcW w:type="dxa" w:w="2041"/>
          </w:tcPr>
          <w:p>
            <w:pPr>
              <w:spacing w:line="240" w:lineRule="auto"/>
              <w:jc w:val="left"/>
            </w:pPr>
            <w:r>
              <w:rPr>
                <w:rFonts w:ascii="Times New Roman" w:hAnsi="Times New Roman" w:cs="Times New Roman" w:eastAsia="宋体"/>
                <w:b w:val="0"/>
                <w:i w:val="0"/>
                <w:color w:val="000000"/>
                <w:sz w:val="21"/>
                <w:u w:val="none"/>
              </w:rPr>
              <w:t>0.86</w:t>
            </w:r>
          </w:p>
        </w:tc>
        <w:tc>
          <w:tcPr>
            <w:tcW w:type="dxa" w:w="2041"/>
          </w:tcPr>
          <w:p>
            <w:pPr>
              <w:spacing w:line="240" w:lineRule="auto"/>
              <w:jc w:val="left"/>
            </w:pPr>
            <w:r>
              <w:rPr>
                <w:rFonts w:ascii="Times New Roman" w:hAnsi="Times New Roman" w:cs="Times New Roman" w:eastAsia="宋体"/>
                <w:b w:val="0"/>
                <w:i w:val="0"/>
                <w:color w:val="000000"/>
                <w:sz w:val="21"/>
                <w:u w:val="none"/>
              </w:rPr>
              <w:t>366</w:t>
            </w:r>
          </w:p>
        </w:tc>
      </w:tr>
      <w:tr>
        <w:tc>
          <w:tcPr>
            <w:tcW w:type="dxa" w:w="2041"/>
          </w:tcPr>
          <w:p>
            <w:pPr>
              <w:spacing w:line="240" w:lineRule="auto"/>
              <w:jc w:val="left"/>
            </w:pPr>
            <w:r>
              <w:rPr>
                <w:rFonts w:ascii="Times New Roman" w:hAnsi="Times New Roman" w:cs="Times New Roman" w:eastAsia="宋体"/>
                <w:b w:val="0"/>
                <w:i w:val="0"/>
                <w:color w:val="000000"/>
                <w:sz w:val="21"/>
                <w:u w:val="none"/>
              </w:rPr>
              <w:t>微博</w:t>
            </w:r>
          </w:p>
        </w:tc>
        <w:tc>
          <w:tcPr>
            <w:tcW w:type="dxa" w:w="2041"/>
          </w:tcPr>
          <w:p>
            <w:pPr>
              <w:spacing w:line="240" w:lineRule="auto"/>
              <w:jc w:val="left"/>
            </w:pPr>
            <w:r>
              <w:rPr>
                <w:rFonts w:ascii="Times New Roman" w:hAnsi="Times New Roman" w:cs="Times New Roman" w:eastAsia="宋体"/>
                <w:b w:val="0"/>
                <w:i w:val="0"/>
                <w:color w:val="000000"/>
                <w:sz w:val="21"/>
                <w:u w:val="none"/>
              </w:rPr>
              <w:t>5,317</w:t>
            </w:r>
          </w:p>
        </w:tc>
        <w:tc>
          <w:tcPr>
            <w:tcW w:type="dxa" w:w="2041"/>
          </w:tcPr>
          <w:p>
            <w:pPr>
              <w:spacing w:line="240" w:lineRule="auto"/>
              <w:jc w:val="left"/>
            </w:pPr>
            <w:r>
              <w:rPr>
                <w:rFonts w:ascii="Times New Roman" w:hAnsi="Times New Roman" w:cs="Times New Roman" w:eastAsia="宋体"/>
                <w:b w:val="0"/>
                <w:i w:val="0"/>
                <w:color w:val="000000"/>
                <w:sz w:val="21"/>
                <w:u w:val="none"/>
              </w:rPr>
              <w:t>32</w:t>
            </w:r>
          </w:p>
        </w:tc>
        <w:tc>
          <w:tcPr>
            <w:tcW w:type="dxa" w:w="2041"/>
          </w:tcPr>
          <w:p>
            <w:pPr>
              <w:spacing w:line="240" w:lineRule="auto"/>
              <w:jc w:val="left"/>
            </w:pPr>
            <w:r>
              <w:rPr>
                <w:rFonts w:ascii="Times New Roman" w:hAnsi="Times New Roman" w:cs="Times New Roman" w:eastAsia="宋体"/>
                <w:b w:val="0"/>
                <w:i w:val="0"/>
                <w:color w:val="000000"/>
                <w:sz w:val="21"/>
                <w:u w:val="none"/>
              </w:rPr>
              <w:t>0.60</w:t>
            </w:r>
          </w:p>
        </w:tc>
        <w:tc>
          <w:tcPr>
            <w:tcW w:type="dxa" w:w="2041"/>
          </w:tcPr>
          <w:p>
            <w:pPr>
              <w:spacing w:line="240" w:lineRule="auto"/>
              <w:jc w:val="left"/>
            </w:pPr>
            <w:r>
              <w:rPr>
                <w:rFonts w:ascii="Times New Roman" w:hAnsi="Times New Roman" w:cs="Times New Roman" w:eastAsia="宋体"/>
                <w:b w:val="0"/>
                <w:i w:val="0"/>
                <w:color w:val="000000"/>
                <w:sz w:val="21"/>
                <w:u w:val="none"/>
              </w:rPr>
              <w:t>44</w:t>
            </w:r>
          </w:p>
        </w:tc>
      </w:tr>
      <w:tr>
        <w:tc>
          <w:tcPr>
            <w:tcW w:type="dxa" w:w="2041"/>
          </w:tcPr>
          <w:p>
            <w:pPr>
              <w:spacing w:line="240" w:lineRule="auto"/>
              <w:jc w:val="left"/>
            </w:pPr>
            <w:r>
              <w:rPr>
                <w:rFonts w:ascii="Times New Roman" w:hAnsi="Times New Roman" w:cs="Times New Roman" w:eastAsia="宋体"/>
                <w:b w:val="0"/>
                <w:i w:val="0"/>
                <w:color w:val="000000"/>
                <w:sz w:val="21"/>
                <w:u w:val="none"/>
              </w:rPr>
              <w:t>小红书</w:t>
            </w:r>
          </w:p>
        </w:tc>
        <w:tc>
          <w:tcPr>
            <w:tcW w:type="dxa" w:w="2041"/>
          </w:tcPr>
          <w:p>
            <w:pPr>
              <w:spacing w:line="240" w:lineRule="auto"/>
              <w:jc w:val="left"/>
            </w:pPr>
            <w:r>
              <w:rPr>
                <w:rFonts w:ascii="Times New Roman" w:hAnsi="Times New Roman" w:cs="Times New Roman" w:eastAsia="宋体"/>
                <w:b w:val="0"/>
                <w:i w:val="0"/>
                <w:color w:val="000000"/>
                <w:sz w:val="21"/>
                <w:u w:val="none"/>
              </w:rPr>
              <w:t>142</w:t>
            </w:r>
          </w:p>
        </w:tc>
        <w:tc>
          <w:tcPr>
            <w:tcW w:type="dxa" w:w="2041"/>
          </w:tcPr>
          <w:p>
            <w:pPr>
              <w:spacing w:line="240" w:lineRule="auto"/>
              <w:jc w:val="left"/>
            </w:pPr>
            <w:r>
              <w:rPr>
                <w:rFonts w:ascii="Times New Roman" w:hAnsi="Times New Roman" w:cs="Times New Roman" w:eastAsia="宋体"/>
                <w:b w:val="0"/>
                <w:i w:val="0"/>
                <w:color w:val="000000"/>
                <w:sz w:val="21"/>
                <w:u w:val="none"/>
              </w:rPr>
              <w:t>1</w:t>
            </w:r>
          </w:p>
        </w:tc>
        <w:tc>
          <w:tcPr>
            <w:tcW w:type="dxa" w:w="2041"/>
          </w:tcPr>
          <w:p>
            <w:pPr>
              <w:spacing w:line="240" w:lineRule="auto"/>
              <w:jc w:val="left"/>
            </w:pPr>
            <w:r>
              <w:rPr>
                <w:rFonts w:ascii="Times New Roman" w:hAnsi="Times New Roman" w:cs="Times New Roman" w:eastAsia="宋体"/>
                <w:b w:val="0"/>
                <w:i w:val="0"/>
                <w:color w:val="000000"/>
                <w:sz w:val="21"/>
                <w:u w:val="none"/>
              </w:rPr>
              <w:t>0.70</w:t>
            </w:r>
          </w:p>
        </w:tc>
        <w:tc>
          <w:tcPr>
            <w:tcW w:type="dxa" w:w="2041"/>
          </w:tcPr>
          <w:p>
            <w:pPr>
              <w:spacing w:line="240" w:lineRule="auto"/>
              <w:jc w:val="left"/>
            </w:pPr>
            <w:r>
              <w:rPr>
                <w:rFonts w:ascii="Times New Roman" w:hAnsi="Times New Roman" w:cs="Times New Roman" w:eastAsia="宋体"/>
                <w:b w:val="0"/>
                <w:i w:val="0"/>
                <w:color w:val="000000"/>
                <w:sz w:val="21"/>
                <w:u w:val="none"/>
              </w:rPr>
              <w:t>3</w:t>
            </w:r>
          </w:p>
        </w:tc>
      </w:tr>
      <w:tr>
        <w:tc>
          <w:tcPr>
            <w:tcW w:type="dxa" w:w="2041"/>
          </w:tcPr>
          <w:p>
            <w:pPr>
              <w:spacing w:line="240" w:lineRule="auto"/>
              <w:jc w:val="left"/>
            </w:pPr>
            <w:r>
              <w:rPr>
                <w:rFonts w:ascii="Times New Roman" w:hAnsi="Times New Roman" w:cs="Times New Roman" w:eastAsia="宋体"/>
                <w:b w:val="0"/>
                <w:i w:val="0"/>
                <w:color w:val="000000"/>
                <w:sz w:val="21"/>
                <w:u w:val="none"/>
              </w:rPr>
              <w:t>合计</w:t>
            </w:r>
          </w:p>
        </w:tc>
        <w:tc>
          <w:tcPr>
            <w:tcW w:type="dxa" w:w="2041"/>
          </w:tcPr>
          <w:p>
            <w:pPr>
              <w:spacing w:line="240" w:lineRule="auto"/>
              <w:jc w:val="left"/>
            </w:pPr>
            <w:r>
              <w:rPr>
                <w:rFonts w:ascii="Times New Roman" w:hAnsi="Times New Roman" w:cs="Times New Roman" w:eastAsia="宋体"/>
                <w:b w:val="0"/>
                <w:i w:val="0"/>
                <w:color w:val="000000"/>
                <w:sz w:val="21"/>
                <w:u w:val="none"/>
              </w:rPr>
              <w:t>142,426</w:t>
            </w:r>
          </w:p>
        </w:tc>
        <w:tc>
          <w:tcPr>
            <w:tcW w:type="dxa" w:w="2041"/>
          </w:tcPr>
          <w:p>
            <w:pPr>
              <w:spacing w:line="240" w:lineRule="auto"/>
              <w:jc w:val="left"/>
            </w:pPr>
            <w:r>
              <w:rPr>
                <w:rFonts w:ascii="Times New Roman" w:hAnsi="Times New Roman" w:cs="Times New Roman" w:eastAsia="宋体"/>
                <w:b w:val="0"/>
                <w:i w:val="0"/>
                <w:color w:val="000000"/>
                <w:sz w:val="21"/>
                <w:u w:val="none"/>
              </w:rPr>
              <w:t>1,679</w:t>
            </w:r>
          </w:p>
        </w:tc>
        <w:tc>
          <w:tcPr>
            <w:tcW w:type="dxa" w:w="2041"/>
          </w:tcPr>
          <w:p>
            <w:pPr>
              <w:spacing w:line="240" w:lineRule="auto"/>
              <w:jc w:val="left"/>
            </w:pPr>
            <w:r>
              <w:rPr>
                <w:rFonts w:ascii="Times New Roman" w:hAnsi="Times New Roman" w:cs="Times New Roman" w:eastAsia="宋体"/>
                <w:b w:val="0"/>
                <w:i w:val="0"/>
                <w:color w:val="000000"/>
                <w:sz w:val="21"/>
                <w:u w:val="none"/>
              </w:rPr>
              <w:t>1.18</w:t>
            </w:r>
          </w:p>
        </w:tc>
        <w:tc>
          <w:tcPr>
            <w:tcW w:type="dxa" w:w="2041"/>
          </w:tcPr>
          <w:p>
            <w:pPr>
              <w:spacing w:line="240" w:lineRule="auto"/>
              <w:jc w:val="left"/>
            </w:pPr>
            <w:r>
              <w:rPr>
                <w:rFonts w:ascii="Times New Roman" w:hAnsi="Times New Roman" w:cs="Times New Roman" w:eastAsia="宋体"/>
                <w:b w:val="0"/>
                <w:i w:val="0"/>
                <w:color w:val="000000"/>
                <w:sz w:val="21"/>
                <w:u w:val="none"/>
              </w:rPr>
              <w:t>380</w:t>
            </w:r>
          </w:p>
        </w:tc>
      </w:tr>
    </w:tbl>
    <w:p>
      <w:pPr>
        <w:spacing w:line="300" w:lineRule="auto"/>
        <w:ind w:firstLine="480"/>
        <w:jc w:val="both"/>
      </w:pPr>
      <w:r>
        <w:rPr>
          <w:rFonts w:ascii="Times New Roman" w:hAnsi="Times New Roman" w:cs="Times New Roman" w:eastAsia="宋体"/>
          <w:b w:val="0"/>
          <w:i w:val="0"/>
          <w:color w:val="000000"/>
          <w:sz w:val="24"/>
          <w:u w:val="none"/>
        </w:rPr>
        <w:t>需要说明的是，平台间覆盖显著不均衡。知乎和哔哩哔哩构成核心分析样本，微博和小红书仅用于描述性补充，因此后文的正式推断不把四个平台视为完全可比的同质总体。</w:t>
      </w:r>
    </w:p>
    <w:p>
      <w:pPr>
        <w:pStyle w:val="Heading2"/>
        <w:spacing w:line="240" w:lineRule="auto" w:before="240" w:after="240"/>
        <w:jc w:val="left"/>
      </w:pPr>
      <w:r>
        <w:rPr>
          <w:rFonts w:ascii="Times New Roman" w:hAnsi="Times New Roman" w:cs="Times New Roman" w:eastAsia="黑体"/>
          <w:b/>
          <w:i w:val="0"/>
          <w:color w:val="000000"/>
          <w:sz w:val="28"/>
          <w:u w:val="none"/>
        </w:rPr>
        <w:t>4.2 H1：平台异质性结果</w:t>
      </w:r>
    </w:p>
    <w:p>
      <w:pPr>
        <w:pStyle w:val="Heading3"/>
        <w:spacing w:line="240" w:lineRule="auto" w:before="240" w:after="240"/>
        <w:jc w:val="left"/>
      </w:pPr>
      <w:r>
        <w:rPr>
          <w:rFonts w:ascii="Times New Roman" w:hAnsi="Times New Roman" w:cs="Times New Roman" w:eastAsia="黑体"/>
          <w:b/>
          <w:i w:val="0"/>
          <w:color w:val="000000"/>
          <w:sz w:val="24"/>
          <w:u w:val="none"/>
        </w:rPr>
        <w:t>4.2.1 假设内容</w:t>
      </w:r>
    </w:p>
    <w:p>
      <w:pPr>
        <w:spacing w:line="300" w:lineRule="auto"/>
        <w:ind w:firstLine="480"/>
        <w:jc w:val="both"/>
      </w:pPr>
      <w:r>
        <w:rPr>
          <w:rFonts w:ascii="Times New Roman" w:hAnsi="Times New Roman" w:cs="Times New Roman" w:eastAsia="宋体"/>
          <w:b w:val="0"/>
          <w:i w:val="0"/>
          <w:color w:val="000000"/>
          <w:sz w:val="24"/>
          <w:u w:val="none"/>
        </w:rPr>
        <w:t>H1：不同社交媒体平台上的职业不安全感相关表达率存在显著差异。</w:t>
      </w:r>
    </w:p>
    <w:p>
      <w:pPr>
        <w:pStyle w:val="Heading3"/>
        <w:spacing w:line="240" w:lineRule="auto" w:before="240" w:after="240"/>
        <w:jc w:val="left"/>
      </w:pPr>
      <w:r>
        <w:rPr>
          <w:rFonts w:ascii="Times New Roman" w:hAnsi="Times New Roman" w:cs="Times New Roman" w:eastAsia="黑体"/>
          <w:b/>
          <w:i w:val="0"/>
          <w:color w:val="000000"/>
          <w:sz w:val="24"/>
          <w:u w:val="none"/>
        </w:rPr>
        <w:t>4.2.2 主检验结果</w:t>
      </w:r>
    </w:p>
    <w:p>
      <w:pPr>
        <w:spacing w:line="300" w:lineRule="auto"/>
        <w:ind w:firstLine="480"/>
        <w:jc w:val="both"/>
      </w:pPr>
      <w:r>
        <w:rPr>
          <w:rFonts w:ascii="Times New Roman" w:hAnsi="Times New Roman" w:cs="Times New Roman" w:eastAsia="宋体"/>
          <w:b w:val="0"/>
          <w:i w:val="0"/>
          <w:color w:val="000000"/>
          <w:sz w:val="24"/>
          <w:u w:val="none"/>
        </w:rPr>
        <w:t>在主检验平台中，知乎的职业不安全感相关表达率为 2.19%（776/35,429），显著高于哔哩哔哩的 0.86%（870/101,538）。双样本比例差异检验结果为 z = 19.833，p = 1.54 × 10^-87，支持 H1。</w:t>
      </w:r>
    </w:p>
    <w:p>
      <w:pPr>
        <w:spacing w:line="300" w:lineRule="auto"/>
        <w:ind w:firstLine="480"/>
        <w:jc w:val="both"/>
      </w:pPr>
      <w:r>
        <w:rPr>
          <w:rFonts w:ascii="Times New Roman" w:hAnsi="Times New Roman" w:cs="Times New Roman" w:eastAsia="宋体"/>
          <w:b w:val="0"/>
          <w:i w:val="0"/>
          <w:color w:val="000000"/>
          <w:sz w:val="24"/>
          <w:u w:val="none"/>
        </w:rPr>
        <w:t>从效应大小看，知乎的表达率约为哔哩哔哩的 2.56 倍。该差异表明，不同平台的讨论结构和用户构成与职业风险表达存在系统性关联。由于微博和小红书在样本量和覆盖期上明显不足，本文不将其纳入 H1 的主检验，但其表达率分别为 0.60% 和 0.70%，未显示出高于知乎的水平。</w:t>
      </w:r>
    </w:p>
    <w:p>
      <w:pPr>
        <w:pStyle w:val="Heading3"/>
        <w:spacing w:line="240" w:lineRule="auto" w:before="240" w:after="240"/>
        <w:jc w:val="left"/>
      </w:pPr>
      <w:r>
        <w:rPr>
          <w:rFonts w:ascii="Times New Roman" w:hAnsi="Times New Roman" w:cs="Times New Roman" w:eastAsia="黑体"/>
          <w:b/>
          <w:i w:val="0"/>
          <w:color w:val="000000"/>
          <w:sz w:val="24"/>
          <w:u w:val="none"/>
        </w:rPr>
        <w:t>4.2.3 结果解释边界</w:t>
      </w:r>
    </w:p>
    <w:p>
      <w:pPr>
        <w:spacing w:line="300" w:lineRule="auto"/>
        <w:ind w:firstLine="480"/>
        <w:jc w:val="both"/>
      </w:pPr>
      <w:r>
        <w:rPr>
          <w:rFonts w:ascii="Times New Roman" w:hAnsi="Times New Roman" w:cs="Times New Roman" w:eastAsia="宋体"/>
          <w:b w:val="0"/>
          <w:i w:val="0"/>
          <w:color w:val="000000"/>
          <w:sz w:val="24"/>
          <w:u w:val="none"/>
        </w:rPr>
        <w:t>H1 的结果应被理解为“在当前采样覆盖下，不同平台的职业不安全感相关表达率存在显著差异”，而不是“平台本身塑造了职业风险感知差异”的直接证明。平台用户构成、讨论规范、话题分布和时间覆盖都可能与这一差异共同出现，因此该发现更适合作为平台异质性的经验事实，而非平台因果效应结论。</w:t>
      </w:r>
    </w:p>
    <w:p>
      <w:pPr>
        <w:pStyle w:val="Heading2"/>
        <w:spacing w:line="240" w:lineRule="auto" w:before="240" w:after="240"/>
        <w:jc w:val="left"/>
      </w:pPr>
      <w:r>
        <w:rPr>
          <w:rFonts w:ascii="Times New Roman" w:hAnsi="Times New Roman" w:cs="Times New Roman" w:eastAsia="黑体"/>
          <w:b/>
          <w:i w:val="0"/>
          <w:color w:val="000000"/>
          <w:sz w:val="28"/>
          <w:u w:val="none"/>
        </w:rPr>
        <w:t>4.3 H2：议题异质性结果</w:t>
      </w:r>
    </w:p>
    <w:p>
      <w:pPr>
        <w:pStyle w:val="Heading3"/>
        <w:spacing w:line="240" w:lineRule="auto" w:before="240" w:after="240"/>
        <w:jc w:val="left"/>
      </w:pPr>
      <w:r>
        <w:rPr>
          <w:rFonts w:ascii="Times New Roman" w:hAnsi="Times New Roman" w:cs="Times New Roman" w:eastAsia="黑体"/>
          <w:b/>
          <w:i w:val="0"/>
          <w:color w:val="000000"/>
          <w:sz w:val="24"/>
          <w:u w:val="none"/>
        </w:rPr>
        <w:t>4.3.1 假设内容</w:t>
      </w:r>
    </w:p>
    <w:p>
      <w:pPr>
        <w:spacing w:line="300" w:lineRule="auto"/>
        <w:ind w:firstLine="480"/>
        <w:jc w:val="both"/>
      </w:pPr>
      <w:r>
        <w:rPr>
          <w:rFonts w:ascii="Times New Roman" w:hAnsi="Times New Roman" w:cs="Times New Roman" w:eastAsia="宋体"/>
          <w:b w:val="0"/>
          <w:i w:val="0"/>
          <w:color w:val="000000"/>
          <w:sz w:val="24"/>
          <w:u w:val="none"/>
        </w:rPr>
        <w:t>H2：不同 AI 讨论议题下的职业不安全感相关表达率存在显著差异。</w:t>
      </w:r>
    </w:p>
    <w:p>
      <w:pPr>
        <w:pStyle w:val="Heading3"/>
        <w:spacing w:line="240" w:lineRule="auto" w:before="240" w:after="240"/>
        <w:jc w:val="left"/>
      </w:pPr>
      <w:r>
        <w:rPr>
          <w:rFonts w:ascii="Times New Roman" w:hAnsi="Times New Roman" w:cs="Times New Roman" w:eastAsia="黑体"/>
          <w:b/>
          <w:i w:val="0"/>
          <w:color w:val="000000"/>
          <w:sz w:val="24"/>
          <w:u w:val="none"/>
        </w:rPr>
        <w:t>4.3.2 总体检验</w:t>
      </w:r>
    </w:p>
    <w:p>
      <w:pPr>
        <w:spacing w:line="300" w:lineRule="auto"/>
        <w:ind w:firstLine="480"/>
        <w:jc w:val="both"/>
      </w:pPr>
      <w:r>
        <w:rPr>
          <w:rFonts w:ascii="Times New Roman" w:hAnsi="Times New Roman" w:cs="Times New Roman" w:eastAsia="宋体"/>
          <w:b w:val="0"/>
          <w:i w:val="0"/>
          <w:color w:val="000000"/>
          <w:sz w:val="24"/>
          <w:u w:val="none"/>
        </w:rPr>
        <w:t>本文仅将评论数不少于 500 条的 query 纳入正式比较，共有 11 个议题满足阈值。基于这些 query 的总体异质性检验结果为 chi-square = 113.456，Monte Carlo p = 0.0002，支持 H2。</w:t>
      </w:r>
    </w:p>
    <w:p>
      <w:pPr>
        <w:pStyle w:val="Heading3"/>
        <w:spacing w:line="240" w:lineRule="auto" w:before="240" w:after="240"/>
        <w:jc w:val="left"/>
      </w:pPr>
      <w:r>
        <w:rPr>
          <w:rFonts w:ascii="Times New Roman" w:hAnsi="Times New Roman" w:cs="Times New Roman" w:eastAsia="黑体"/>
          <w:b/>
          <w:i w:val="0"/>
          <w:color w:val="000000"/>
          <w:sz w:val="24"/>
          <w:u w:val="none"/>
        </w:rPr>
        <w:t>4.3.3 分议题结果</w:t>
      </w:r>
    </w:p>
    <w:p>
      <w:pPr>
        <w:spacing w:line="300" w:lineRule="auto"/>
        <w:jc w:val="center"/>
      </w:pPr>
      <w:r>
        <w:rPr>
          <w:rFonts w:ascii="Times New Roman" w:hAnsi="Times New Roman" w:cs="Times New Roman" w:eastAsia="宋体"/>
          <w:b/>
          <w:i w:val="0"/>
          <w:color w:val="000000"/>
          <w:sz w:val="24"/>
          <w:u w:val="none"/>
        </w:rPr>
        <w:t>表 2 展示了样本量达到阈值的主要 query。高表达率议题集中在与技能替代、专业能力升级和应用场景重构关系更紧密的主题上，尤其是 AI 编程、AI 芯片和 AI 绘画。</w:t>
      </w:r>
    </w:p>
    <w:p>
      <w:pPr>
        <w:spacing w:line="300" w:lineRule="auto"/>
        <w:jc w:val="center"/>
      </w:pPr>
      <w:r>
        <w:rPr>
          <w:rFonts w:ascii="Times New Roman" w:hAnsi="Times New Roman" w:cs="Times New Roman" w:eastAsia="宋体"/>
          <w:b/>
          <w:i w:val="0"/>
          <w:color w:val="000000"/>
          <w:sz w:val="24"/>
          <w:u w:val="none"/>
        </w:rPr>
        <w:t>表 2 高样本量 query 的职业不安全感相关表达率</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Query</w:t>
            </w:r>
          </w:p>
        </w:tc>
        <w:tc>
          <w:tcPr>
            <w:tcW w:type="dxa" w:w="2551"/>
          </w:tcPr>
          <w:p>
            <w:pPr>
              <w:spacing w:line="240" w:lineRule="auto"/>
              <w:jc w:val="center"/>
            </w:pPr>
            <w:r>
              <w:rPr>
                <w:rFonts w:ascii="Times New Roman" w:hAnsi="Times New Roman" w:cs="Times New Roman" w:eastAsia="宋体"/>
                <w:b/>
                <w:i w:val="0"/>
                <w:color w:val="000000"/>
                <w:sz w:val="21"/>
                <w:u w:val="none"/>
              </w:rPr>
              <w:t>评论数</w:t>
            </w:r>
          </w:p>
        </w:tc>
        <w:tc>
          <w:tcPr>
            <w:tcW w:type="dxa" w:w="2551"/>
          </w:tcPr>
          <w:p>
            <w:pPr>
              <w:spacing w:line="240" w:lineRule="auto"/>
              <w:jc w:val="center"/>
            </w:pPr>
            <w:r>
              <w:rPr>
                <w:rFonts w:ascii="Times New Roman" w:hAnsi="Times New Roman" w:cs="Times New Roman" w:eastAsia="宋体"/>
                <w:b/>
                <w:i w:val="0"/>
                <w:color w:val="000000"/>
                <w:sz w:val="21"/>
                <w:u w:val="none"/>
              </w:rPr>
              <w:t>相关表达数</w:t>
            </w:r>
          </w:p>
        </w:tc>
        <w:tc>
          <w:tcPr>
            <w:tcW w:type="dxa" w:w="2551"/>
          </w:tcPr>
          <w:p>
            <w:pPr>
              <w:spacing w:line="240" w:lineRule="auto"/>
              <w:jc w:val="center"/>
            </w:pPr>
            <w:r>
              <w:rPr>
                <w:rFonts w:ascii="Times New Roman" w:hAnsi="Times New Roman" w:cs="Times New Roman" w:eastAsia="宋体"/>
                <w:b/>
                <w:i w:val="0"/>
                <w:color w:val="000000"/>
                <w:sz w:val="21"/>
                <w:u w:val="none"/>
              </w:rPr>
              <w:t>表达率 (%)</w:t>
            </w:r>
          </w:p>
        </w:tc>
      </w:tr>
      <w:tr>
        <w:tc>
          <w:tcPr>
            <w:tcW w:type="dxa" w:w="2551"/>
          </w:tcPr>
          <w:p>
            <w:pPr>
              <w:spacing w:line="240" w:lineRule="auto"/>
              <w:jc w:val="left"/>
            </w:pPr>
            <w:r>
              <w:rPr>
                <w:rFonts w:ascii="Times New Roman" w:hAnsi="Times New Roman" w:cs="Times New Roman" w:eastAsia="宋体"/>
                <w:b w:val="0"/>
                <w:i w:val="0"/>
                <w:color w:val="000000"/>
                <w:sz w:val="21"/>
                <w:u w:val="none"/>
              </w:rPr>
              <w:t>AI编程</w:t>
            </w:r>
          </w:p>
        </w:tc>
        <w:tc>
          <w:tcPr>
            <w:tcW w:type="dxa" w:w="2551"/>
          </w:tcPr>
          <w:p>
            <w:pPr>
              <w:spacing w:line="240" w:lineRule="auto"/>
              <w:jc w:val="left"/>
            </w:pPr>
            <w:r>
              <w:rPr>
                <w:rFonts w:ascii="Times New Roman" w:hAnsi="Times New Roman" w:cs="Times New Roman" w:eastAsia="宋体"/>
                <w:b w:val="0"/>
                <w:i w:val="0"/>
                <w:color w:val="000000"/>
                <w:sz w:val="21"/>
                <w:u w:val="none"/>
              </w:rPr>
              <w:t>1,203</w:t>
            </w:r>
          </w:p>
        </w:tc>
        <w:tc>
          <w:tcPr>
            <w:tcW w:type="dxa" w:w="2551"/>
          </w:tcPr>
          <w:p>
            <w:pPr>
              <w:spacing w:line="240" w:lineRule="auto"/>
              <w:jc w:val="left"/>
            </w:pPr>
            <w:r>
              <w:rPr>
                <w:rFonts w:ascii="Times New Roman" w:hAnsi="Times New Roman" w:cs="Times New Roman" w:eastAsia="宋体"/>
                <w:b w:val="0"/>
                <w:i w:val="0"/>
                <w:color w:val="000000"/>
                <w:sz w:val="21"/>
                <w:u w:val="none"/>
              </w:rPr>
              <w:t>47</w:t>
            </w:r>
          </w:p>
        </w:tc>
        <w:tc>
          <w:tcPr>
            <w:tcW w:type="dxa" w:w="2551"/>
          </w:tcPr>
          <w:p>
            <w:pPr>
              <w:spacing w:line="240" w:lineRule="auto"/>
              <w:jc w:val="left"/>
            </w:pPr>
            <w:r>
              <w:rPr>
                <w:rFonts w:ascii="Times New Roman" w:hAnsi="Times New Roman" w:cs="Times New Roman" w:eastAsia="宋体"/>
                <w:b w:val="0"/>
                <w:i w:val="0"/>
                <w:color w:val="000000"/>
                <w:sz w:val="21"/>
                <w:u w:val="none"/>
              </w:rPr>
              <w:t>3.91</w:t>
            </w:r>
          </w:p>
        </w:tc>
      </w:tr>
      <w:tr>
        <w:tc>
          <w:tcPr>
            <w:tcW w:type="dxa" w:w="2551"/>
          </w:tcPr>
          <w:p>
            <w:pPr>
              <w:spacing w:line="240" w:lineRule="auto"/>
              <w:jc w:val="left"/>
            </w:pPr>
            <w:r>
              <w:rPr>
                <w:rFonts w:ascii="Times New Roman" w:hAnsi="Times New Roman" w:cs="Times New Roman" w:eastAsia="宋体"/>
                <w:b w:val="0"/>
                <w:i w:val="0"/>
                <w:color w:val="000000"/>
                <w:sz w:val="21"/>
                <w:u w:val="none"/>
              </w:rPr>
              <w:t>AI芯片</w:t>
            </w:r>
          </w:p>
        </w:tc>
        <w:tc>
          <w:tcPr>
            <w:tcW w:type="dxa" w:w="2551"/>
          </w:tcPr>
          <w:p>
            <w:pPr>
              <w:spacing w:line="240" w:lineRule="auto"/>
              <w:jc w:val="left"/>
            </w:pPr>
            <w:r>
              <w:rPr>
                <w:rFonts w:ascii="Times New Roman" w:hAnsi="Times New Roman" w:cs="Times New Roman" w:eastAsia="宋体"/>
                <w:b w:val="0"/>
                <w:i w:val="0"/>
                <w:color w:val="000000"/>
                <w:sz w:val="21"/>
                <w:u w:val="none"/>
              </w:rPr>
              <w:t>983</w:t>
            </w:r>
          </w:p>
        </w:tc>
        <w:tc>
          <w:tcPr>
            <w:tcW w:type="dxa" w:w="2551"/>
          </w:tcPr>
          <w:p>
            <w:pPr>
              <w:spacing w:line="240" w:lineRule="auto"/>
              <w:jc w:val="left"/>
            </w:pPr>
            <w:r>
              <w:rPr>
                <w:rFonts w:ascii="Times New Roman" w:hAnsi="Times New Roman" w:cs="Times New Roman" w:eastAsia="宋体"/>
                <w:b w:val="0"/>
                <w:i w:val="0"/>
                <w:color w:val="000000"/>
                <w:sz w:val="21"/>
                <w:u w:val="none"/>
              </w:rPr>
              <w:t>25</w:t>
            </w:r>
          </w:p>
        </w:tc>
        <w:tc>
          <w:tcPr>
            <w:tcW w:type="dxa" w:w="2551"/>
          </w:tcPr>
          <w:p>
            <w:pPr>
              <w:spacing w:line="240" w:lineRule="auto"/>
              <w:jc w:val="left"/>
            </w:pPr>
            <w:r>
              <w:rPr>
                <w:rFonts w:ascii="Times New Roman" w:hAnsi="Times New Roman" w:cs="Times New Roman" w:eastAsia="宋体"/>
                <w:b w:val="0"/>
                <w:i w:val="0"/>
                <w:color w:val="000000"/>
                <w:sz w:val="21"/>
                <w:u w:val="none"/>
              </w:rPr>
              <w:t>2.54</w:t>
            </w:r>
          </w:p>
        </w:tc>
      </w:tr>
      <w:tr>
        <w:tc>
          <w:tcPr>
            <w:tcW w:type="dxa" w:w="2551"/>
          </w:tcPr>
          <w:p>
            <w:pPr>
              <w:spacing w:line="240" w:lineRule="auto"/>
              <w:jc w:val="left"/>
            </w:pPr>
            <w:r>
              <w:rPr>
                <w:rFonts w:ascii="Times New Roman" w:hAnsi="Times New Roman" w:cs="Times New Roman" w:eastAsia="宋体"/>
                <w:b w:val="0"/>
                <w:i w:val="0"/>
                <w:color w:val="000000"/>
                <w:sz w:val="21"/>
                <w:u w:val="none"/>
              </w:rPr>
              <w:t>AI绘画</w:t>
            </w:r>
          </w:p>
        </w:tc>
        <w:tc>
          <w:tcPr>
            <w:tcW w:type="dxa" w:w="2551"/>
          </w:tcPr>
          <w:p>
            <w:pPr>
              <w:spacing w:line="240" w:lineRule="auto"/>
              <w:jc w:val="left"/>
            </w:pPr>
            <w:r>
              <w:rPr>
                <w:rFonts w:ascii="Times New Roman" w:hAnsi="Times New Roman" w:cs="Times New Roman" w:eastAsia="宋体"/>
                <w:b w:val="0"/>
                <w:i w:val="0"/>
                <w:color w:val="000000"/>
                <w:sz w:val="21"/>
                <w:u w:val="none"/>
              </w:rPr>
              <w:t>1,766</w:t>
            </w:r>
          </w:p>
        </w:tc>
        <w:tc>
          <w:tcPr>
            <w:tcW w:type="dxa" w:w="2551"/>
          </w:tcPr>
          <w:p>
            <w:pPr>
              <w:spacing w:line="240" w:lineRule="auto"/>
              <w:jc w:val="left"/>
            </w:pPr>
            <w:r>
              <w:rPr>
                <w:rFonts w:ascii="Times New Roman" w:hAnsi="Times New Roman" w:cs="Times New Roman" w:eastAsia="宋体"/>
                <w:b w:val="0"/>
                <w:i w:val="0"/>
                <w:color w:val="000000"/>
                <w:sz w:val="21"/>
                <w:u w:val="none"/>
              </w:rPr>
              <w:t>37</w:t>
            </w:r>
          </w:p>
        </w:tc>
        <w:tc>
          <w:tcPr>
            <w:tcW w:type="dxa" w:w="2551"/>
          </w:tcPr>
          <w:p>
            <w:pPr>
              <w:spacing w:line="240" w:lineRule="auto"/>
              <w:jc w:val="left"/>
            </w:pPr>
            <w:r>
              <w:rPr>
                <w:rFonts w:ascii="Times New Roman" w:hAnsi="Times New Roman" w:cs="Times New Roman" w:eastAsia="宋体"/>
                <w:b w:val="0"/>
                <w:i w:val="0"/>
                <w:color w:val="000000"/>
                <w:sz w:val="21"/>
                <w:u w:val="none"/>
              </w:rPr>
              <w:t>2.10</w:t>
            </w:r>
          </w:p>
        </w:tc>
      </w:tr>
      <w:tr>
        <w:tc>
          <w:tcPr>
            <w:tcW w:type="dxa" w:w="2551"/>
          </w:tcPr>
          <w:p>
            <w:pPr>
              <w:spacing w:line="240" w:lineRule="auto"/>
              <w:jc w:val="left"/>
            </w:pPr>
            <w:r>
              <w:rPr>
                <w:rFonts w:ascii="Times New Roman" w:hAnsi="Times New Roman" w:cs="Times New Roman" w:eastAsia="宋体"/>
                <w:b w:val="0"/>
                <w:i w:val="0"/>
                <w:color w:val="000000"/>
                <w:sz w:val="21"/>
                <w:u w:val="none"/>
              </w:rPr>
              <w:t>AI教育</w:t>
            </w:r>
          </w:p>
        </w:tc>
        <w:tc>
          <w:tcPr>
            <w:tcW w:type="dxa" w:w="2551"/>
          </w:tcPr>
          <w:p>
            <w:pPr>
              <w:spacing w:line="240" w:lineRule="auto"/>
              <w:jc w:val="left"/>
            </w:pPr>
            <w:r>
              <w:rPr>
                <w:rFonts w:ascii="Times New Roman" w:hAnsi="Times New Roman" w:cs="Times New Roman" w:eastAsia="宋体"/>
                <w:b w:val="0"/>
                <w:i w:val="0"/>
                <w:color w:val="000000"/>
                <w:sz w:val="21"/>
                <w:u w:val="none"/>
              </w:rPr>
              <w:t>1,004</w:t>
            </w:r>
          </w:p>
        </w:tc>
        <w:tc>
          <w:tcPr>
            <w:tcW w:type="dxa" w:w="2551"/>
          </w:tcPr>
          <w:p>
            <w:pPr>
              <w:spacing w:line="240" w:lineRule="auto"/>
              <w:jc w:val="left"/>
            </w:pPr>
            <w:r>
              <w:rPr>
                <w:rFonts w:ascii="Times New Roman" w:hAnsi="Times New Roman" w:cs="Times New Roman" w:eastAsia="宋体"/>
                <w:b w:val="0"/>
                <w:i w:val="0"/>
                <w:color w:val="000000"/>
                <w:sz w:val="21"/>
                <w:u w:val="none"/>
              </w:rPr>
              <w:t>19</w:t>
            </w:r>
          </w:p>
        </w:tc>
        <w:tc>
          <w:tcPr>
            <w:tcW w:type="dxa" w:w="2551"/>
          </w:tcPr>
          <w:p>
            <w:pPr>
              <w:spacing w:line="240" w:lineRule="auto"/>
              <w:jc w:val="left"/>
            </w:pPr>
            <w:r>
              <w:rPr>
                <w:rFonts w:ascii="Times New Roman" w:hAnsi="Times New Roman" w:cs="Times New Roman" w:eastAsia="宋体"/>
                <w:b w:val="0"/>
                <w:i w:val="0"/>
                <w:color w:val="000000"/>
                <w:sz w:val="21"/>
                <w:u w:val="none"/>
              </w:rPr>
              <w:t>1.89</w:t>
            </w:r>
          </w:p>
        </w:tc>
      </w:tr>
      <w:tr>
        <w:tc>
          <w:tcPr>
            <w:tcW w:type="dxa" w:w="2551"/>
          </w:tcPr>
          <w:p>
            <w:pPr>
              <w:spacing w:line="240" w:lineRule="auto"/>
              <w:jc w:val="left"/>
            </w:pPr>
            <w:r>
              <w:rPr>
                <w:rFonts w:ascii="Times New Roman" w:hAnsi="Times New Roman" w:cs="Times New Roman" w:eastAsia="宋体"/>
                <w:b w:val="0"/>
                <w:i w:val="0"/>
                <w:color w:val="000000"/>
                <w:sz w:val="21"/>
                <w:u w:val="none"/>
              </w:rPr>
              <w:t>AI视频</w:t>
            </w:r>
          </w:p>
        </w:tc>
        <w:tc>
          <w:tcPr>
            <w:tcW w:type="dxa" w:w="2551"/>
          </w:tcPr>
          <w:p>
            <w:pPr>
              <w:spacing w:line="240" w:lineRule="auto"/>
              <w:jc w:val="left"/>
            </w:pPr>
            <w:r>
              <w:rPr>
                <w:rFonts w:ascii="Times New Roman" w:hAnsi="Times New Roman" w:cs="Times New Roman" w:eastAsia="宋体"/>
                <w:b w:val="0"/>
                <w:i w:val="0"/>
                <w:color w:val="000000"/>
                <w:sz w:val="21"/>
                <w:u w:val="none"/>
              </w:rPr>
              <w:t>1,306</w:t>
            </w:r>
          </w:p>
        </w:tc>
        <w:tc>
          <w:tcPr>
            <w:tcW w:type="dxa" w:w="2551"/>
          </w:tcPr>
          <w:p>
            <w:pPr>
              <w:spacing w:line="240" w:lineRule="auto"/>
              <w:jc w:val="left"/>
            </w:pPr>
            <w:r>
              <w:rPr>
                <w:rFonts w:ascii="Times New Roman" w:hAnsi="Times New Roman" w:cs="Times New Roman" w:eastAsia="宋体"/>
                <w:b w:val="0"/>
                <w:i w:val="0"/>
                <w:color w:val="000000"/>
                <w:sz w:val="21"/>
                <w:u w:val="none"/>
              </w:rPr>
              <w:t>24</w:t>
            </w:r>
          </w:p>
        </w:tc>
        <w:tc>
          <w:tcPr>
            <w:tcW w:type="dxa" w:w="2551"/>
          </w:tcPr>
          <w:p>
            <w:pPr>
              <w:spacing w:line="240" w:lineRule="auto"/>
              <w:jc w:val="left"/>
            </w:pPr>
            <w:r>
              <w:rPr>
                <w:rFonts w:ascii="Times New Roman" w:hAnsi="Times New Roman" w:cs="Times New Roman" w:eastAsia="宋体"/>
                <w:b w:val="0"/>
                <w:i w:val="0"/>
                <w:color w:val="000000"/>
                <w:sz w:val="21"/>
                <w:u w:val="none"/>
              </w:rPr>
              <w:t>1.84</w:t>
            </w:r>
          </w:p>
        </w:tc>
      </w:tr>
      <w:tr>
        <w:tc>
          <w:tcPr>
            <w:tcW w:type="dxa" w:w="2551"/>
          </w:tcPr>
          <w:p>
            <w:pPr>
              <w:spacing w:line="240" w:lineRule="auto"/>
              <w:jc w:val="left"/>
            </w:pPr>
            <w:r>
              <w:rPr>
                <w:rFonts w:ascii="Times New Roman" w:hAnsi="Times New Roman" w:cs="Times New Roman" w:eastAsia="宋体"/>
                <w:b w:val="0"/>
                <w:i w:val="0"/>
                <w:color w:val="000000"/>
                <w:sz w:val="21"/>
                <w:u w:val="none"/>
              </w:rPr>
              <w:t>ai</w:t>
            </w:r>
          </w:p>
        </w:tc>
        <w:tc>
          <w:tcPr>
            <w:tcW w:type="dxa" w:w="2551"/>
          </w:tcPr>
          <w:p>
            <w:pPr>
              <w:spacing w:line="240" w:lineRule="auto"/>
              <w:jc w:val="left"/>
            </w:pPr>
            <w:r>
              <w:rPr>
                <w:rFonts w:ascii="Times New Roman" w:hAnsi="Times New Roman" w:cs="Times New Roman" w:eastAsia="宋体"/>
                <w:b w:val="0"/>
                <w:i w:val="0"/>
                <w:color w:val="000000"/>
                <w:sz w:val="21"/>
                <w:u w:val="none"/>
              </w:rPr>
              <w:t>2,447</w:t>
            </w:r>
          </w:p>
        </w:tc>
        <w:tc>
          <w:tcPr>
            <w:tcW w:type="dxa" w:w="2551"/>
          </w:tcPr>
          <w:p>
            <w:pPr>
              <w:spacing w:line="240" w:lineRule="auto"/>
              <w:jc w:val="left"/>
            </w:pPr>
            <w:r>
              <w:rPr>
                <w:rFonts w:ascii="Times New Roman" w:hAnsi="Times New Roman" w:cs="Times New Roman" w:eastAsia="宋体"/>
                <w:b w:val="0"/>
                <w:i w:val="0"/>
                <w:color w:val="000000"/>
                <w:sz w:val="21"/>
                <w:u w:val="none"/>
              </w:rPr>
              <w:t>33</w:t>
            </w:r>
          </w:p>
        </w:tc>
        <w:tc>
          <w:tcPr>
            <w:tcW w:type="dxa" w:w="2551"/>
          </w:tcPr>
          <w:p>
            <w:pPr>
              <w:spacing w:line="240" w:lineRule="auto"/>
              <w:jc w:val="left"/>
            </w:pPr>
            <w:r>
              <w:rPr>
                <w:rFonts w:ascii="Times New Roman" w:hAnsi="Times New Roman" w:cs="Times New Roman" w:eastAsia="宋体"/>
                <w:b w:val="0"/>
                <w:i w:val="0"/>
                <w:color w:val="000000"/>
                <w:sz w:val="21"/>
                <w:u w:val="none"/>
              </w:rPr>
              <w:t>1.35</w:t>
            </w:r>
          </w:p>
        </w:tc>
      </w:tr>
      <w:tr>
        <w:tc>
          <w:tcPr>
            <w:tcW w:type="dxa" w:w="2551"/>
          </w:tcPr>
          <w:p>
            <w:pPr>
              <w:spacing w:line="240" w:lineRule="auto"/>
              <w:jc w:val="left"/>
            </w:pPr>
            <w:r>
              <w:rPr>
                <w:rFonts w:ascii="Times New Roman" w:hAnsi="Times New Roman" w:cs="Times New Roman" w:eastAsia="宋体"/>
                <w:b w:val="0"/>
                <w:i w:val="0"/>
                <w:color w:val="000000"/>
                <w:sz w:val="21"/>
                <w:u w:val="none"/>
              </w:rPr>
              <w:t>AI_agent</w:t>
            </w:r>
          </w:p>
        </w:tc>
        <w:tc>
          <w:tcPr>
            <w:tcW w:type="dxa" w:w="2551"/>
          </w:tcPr>
          <w:p>
            <w:pPr>
              <w:spacing w:line="240" w:lineRule="auto"/>
              <w:jc w:val="left"/>
            </w:pPr>
            <w:r>
              <w:rPr>
                <w:rFonts w:ascii="Times New Roman" w:hAnsi="Times New Roman" w:cs="Times New Roman" w:eastAsia="宋体"/>
                <w:b w:val="0"/>
                <w:i w:val="0"/>
                <w:color w:val="000000"/>
                <w:sz w:val="21"/>
                <w:u w:val="none"/>
              </w:rPr>
              <w:t>672</w:t>
            </w:r>
          </w:p>
        </w:tc>
        <w:tc>
          <w:tcPr>
            <w:tcW w:type="dxa" w:w="2551"/>
          </w:tcPr>
          <w:p>
            <w:pPr>
              <w:spacing w:line="240" w:lineRule="auto"/>
              <w:jc w:val="left"/>
            </w:pPr>
            <w:r>
              <w:rPr>
                <w:rFonts w:ascii="Times New Roman" w:hAnsi="Times New Roman" w:cs="Times New Roman" w:eastAsia="宋体"/>
                <w:b w:val="0"/>
                <w:i w:val="0"/>
                <w:color w:val="000000"/>
                <w:sz w:val="21"/>
                <w:u w:val="none"/>
              </w:rPr>
              <w:t>5</w:t>
            </w:r>
          </w:p>
        </w:tc>
        <w:tc>
          <w:tcPr>
            <w:tcW w:type="dxa" w:w="2551"/>
          </w:tcPr>
          <w:p>
            <w:pPr>
              <w:spacing w:line="240" w:lineRule="auto"/>
              <w:jc w:val="left"/>
            </w:pPr>
            <w:r>
              <w:rPr>
                <w:rFonts w:ascii="Times New Roman" w:hAnsi="Times New Roman" w:cs="Times New Roman" w:eastAsia="宋体"/>
                <w:b w:val="0"/>
                <w:i w:val="0"/>
                <w:color w:val="000000"/>
                <w:sz w:val="21"/>
                <w:u w:val="none"/>
              </w:rPr>
              <w:t>0.74</w:t>
            </w:r>
          </w:p>
        </w:tc>
      </w:tr>
      <w:tr>
        <w:tc>
          <w:tcPr>
            <w:tcW w:type="dxa" w:w="2551"/>
          </w:tcPr>
          <w:p>
            <w:pPr>
              <w:spacing w:line="240" w:lineRule="auto"/>
              <w:jc w:val="left"/>
            </w:pPr>
            <w:r>
              <w:rPr>
                <w:rFonts w:ascii="Times New Roman" w:hAnsi="Times New Roman" w:cs="Times New Roman" w:eastAsia="宋体"/>
                <w:b w:val="0"/>
                <w:i w:val="0"/>
                <w:color w:val="000000"/>
                <w:sz w:val="21"/>
                <w:u w:val="none"/>
              </w:rPr>
              <w:t>AI应用</w:t>
            </w:r>
          </w:p>
        </w:tc>
        <w:tc>
          <w:tcPr>
            <w:tcW w:type="dxa" w:w="2551"/>
          </w:tcPr>
          <w:p>
            <w:pPr>
              <w:spacing w:line="240" w:lineRule="auto"/>
              <w:jc w:val="left"/>
            </w:pPr>
            <w:r>
              <w:rPr>
                <w:rFonts w:ascii="Times New Roman" w:hAnsi="Times New Roman" w:cs="Times New Roman" w:eastAsia="宋体"/>
                <w:b w:val="0"/>
                <w:i w:val="0"/>
                <w:color w:val="000000"/>
                <w:sz w:val="21"/>
                <w:u w:val="none"/>
              </w:rPr>
              <w:t>1,105</w:t>
            </w:r>
          </w:p>
        </w:tc>
        <w:tc>
          <w:tcPr>
            <w:tcW w:type="dxa" w:w="2551"/>
          </w:tcPr>
          <w:p>
            <w:pPr>
              <w:spacing w:line="240" w:lineRule="auto"/>
              <w:jc w:val="left"/>
            </w:pPr>
            <w:r>
              <w:rPr>
                <w:rFonts w:ascii="Times New Roman" w:hAnsi="Times New Roman" w:cs="Times New Roman" w:eastAsia="宋体"/>
                <w:b w:val="0"/>
                <w:i w:val="0"/>
                <w:color w:val="000000"/>
                <w:sz w:val="21"/>
                <w:u w:val="none"/>
              </w:rPr>
              <w:t>8</w:t>
            </w:r>
          </w:p>
        </w:tc>
        <w:tc>
          <w:tcPr>
            <w:tcW w:type="dxa" w:w="2551"/>
          </w:tcPr>
          <w:p>
            <w:pPr>
              <w:spacing w:line="240" w:lineRule="auto"/>
              <w:jc w:val="left"/>
            </w:pPr>
            <w:r>
              <w:rPr>
                <w:rFonts w:ascii="Times New Roman" w:hAnsi="Times New Roman" w:cs="Times New Roman" w:eastAsia="宋体"/>
                <w:b w:val="0"/>
                <w:i w:val="0"/>
                <w:color w:val="000000"/>
                <w:sz w:val="21"/>
                <w:u w:val="none"/>
              </w:rPr>
              <w:t>0.72</w:t>
            </w:r>
          </w:p>
        </w:tc>
      </w:tr>
      <w:tr>
        <w:tc>
          <w:tcPr>
            <w:tcW w:type="dxa" w:w="2551"/>
          </w:tcPr>
          <w:p>
            <w:pPr>
              <w:spacing w:line="240" w:lineRule="auto"/>
              <w:jc w:val="left"/>
            </w:pPr>
            <w:r>
              <w:rPr>
                <w:rFonts w:ascii="Times New Roman" w:hAnsi="Times New Roman" w:cs="Times New Roman" w:eastAsia="宋体"/>
                <w:b w:val="0"/>
                <w:i w:val="0"/>
                <w:color w:val="000000"/>
                <w:sz w:val="21"/>
                <w:u w:val="none"/>
              </w:rPr>
              <w:t>AI工具</w:t>
            </w:r>
          </w:p>
        </w:tc>
        <w:tc>
          <w:tcPr>
            <w:tcW w:type="dxa" w:w="2551"/>
          </w:tcPr>
          <w:p>
            <w:pPr>
              <w:spacing w:line="240" w:lineRule="auto"/>
              <w:jc w:val="left"/>
            </w:pPr>
            <w:r>
              <w:rPr>
                <w:rFonts w:ascii="Times New Roman" w:hAnsi="Times New Roman" w:cs="Times New Roman" w:eastAsia="宋体"/>
                <w:b w:val="0"/>
                <w:i w:val="0"/>
                <w:color w:val="000000"/>
                <w:sz w:val="21"/>
                <w:u w:val="none"/>
              </w:rPr>
              <w:t>4,706</w:t>
            </w:r>
          </w:p>
        </w:tc>
        <w:tc>
          <w:tcPr>
            <w:tcW w:type="dxa" w:w="2551"/>
          </w:tcPr>
          <w:p>
            <w:pPr>
              <w:spacing w:line="240" w:lineRule="auto"/>
              <w:jc w:val="left"/>
            </w:pPr>
            <w:r>
              <w:rPr>
                <w:rFonts w:ascii="Times New Roman" w:hAnsi="Times New Roman" w:cs="Times New Roman" w:eastAsia="宋体"/>
                <w:b w:val="0"/>
                <w:i w:val="0"/>
                <w:color w:val="000000"/>
                <w:sz w:val="21"/>
                <w:u w:val="none"/>
              </w:rPr>
              <w:t>29</w:t>
            </w:r>
          </w:p>
        </w:tc>
        <w:tc>
          <w:tcPr>
            <w:tcW w:type="dxa" w:w="2551"/>
          </w:tcPr>
          <w:p>
            <w:pPr>
              <w:spacing w:line="240" w:lineRule="auto"/>
              <w:jc w:val="left"/>
            </w:pPr>
            <w:r>
              <w:rPr>
                <w:rFonts w:ascii="Times New Roman" w:hAnsi="Times New Roman" w:cs="Times New Roman" w:eastAsia="宋体"/>
                <w:b w:val="0"/>
                <w:i w:val="0"/>
                <w:color w:val="000000"/>
                <w:sz w:val="21"/>
                <w:u w:val="none"/>
              </w:rPr>
              <w:t>0.62</w:t>
            </w:r>
          </w:p>
        </w:tc>
      </w:tr>
      <w:tr>
        <w:tc>
          <w:tcPr>
            <w:tcW w:type="dxa" w:w="2551"/>
          </w:tcPr>
          <w:p>
            <w:pPr>
              <w:spacing w:line="240" w:lineRule="auto"/>
              <w:jc w:val="left"/>
            </w:pPr>
            <w:r>
              <w:rPr>
                <w:rFonts w:ascii="Times New Roman" w:hAnsi="Times New Roman" w:cs="Times New Roman" w:eastAsia="宋体"/>
                <w:b w:val="0"/>
                <w:i w:val="0"/>
                <w:color w:val="000000"/>
                <w:sz w:val="21"/>
                <w:u w:val="none"/>
              </w:rPr>
              <w:t>大语言模型</w:t>
            </w:r>
          </w:p>
        </w:tc>
        <w:tc>
          <w:tcPr>
            <w:tcW w:type="dxa" w:w="2551"/>
          </w:tcPr>
          <w:p>
            <w:pPr>
              <w:spacing w:line="240" w:lineRule="auto"/>
              <w:jc w:val="left"/>
            </w:pPr>
            <w:r>
              <w:rPr>
                <w:rFonts w:ascii="Times New Roman" w:hAnsi="Times New Roman" w:cs="Times New Roman" w:eastAsia="宋体"/>
                <w:b w:val="0"/>
                <w:i w:val="0"/>
                <w:color w:val="000000"/>
                <w:sz w:val="21"/>
                <w:u w:val="none"/>
              </w:rPr>
              <w:t>772</w:t>
            </w:r>
          </w:p>
        </w:tc>
        <w:tc>
          <w:tcPr>
            <w:tcW w:type="dxa" w:w="2551"/>
          </w:tcPr>
          <w:p>
            <w:pPr>
              <w:spacing w:line="240" w:lineRule="auto"/>
              <w:jc w:val="left"/>
            </w:pPr>
            <w:r>
              <w:rPr>
                <w:rFonts w:ascii="Times New Roman" w:hAnsi="Times New Roman" w:cs="Times New Roman" w:eastAsia="宋体"/>
                <w:b w:val="0"/>
                <w:i w:val="0"/>
                <w:color w:val="000000"/>
                <w:sz w:val="21"/>
                <w:u w:val="none"/>
              </w:rPr>
              <w:t>3</w:t>
            </w:r>
          </w:p>
        </w:tc>
        <w:tc>
          <w:tcPr>
            <w:tcW w:type="dxa" w:w="2551"/>
          </w:tcPr>
          <w:p>
            <w:pPr>
              <w:spacing w:line="240" w:lineRule="auto"/>
              <w:jc w:val="left"/>
            </w:pPr>
            <w:r>
              <w:rPr>
                <w:rFonts w:ascii="Times New Roman" w:hAnsi="Times New Roman" w:cs="Times New Roman" w:eastAsia="宋体"/>
                <w:b w:val="0"/>
                <w:i w:val="0"/>
                <w:color w:val="000000"/>
                <w:sz w:val="21"/>
                <w:u w:val="none"/>
              </w:rPr>
              <w:t>0.39</w:t>
            </w:r>
          </w:p>
        </w:tc>
      </w:tr>
      <w:tr>
        <w:tc>
          <w:tcPr>
            <w:tcW w:type="dxa" w:w="2551"/>
          </w:tcPr>
          <w:p>
            <w:pPr>
              <w:spacing w:line="240" w:lineRule="auto"/>
              <w:jc w:val="left"/>
            </w:pPr>
            <w:r>
              <w:rPr>
                <w:rFonts w:ascii="Times New Roman" w:hAnsi="Times New Roman" w:cs="Times New Roman" w:eastAsia="宋体"/>
                <w:b w:val="0"/>
                <w:i w:val="0"/>
                <w:color w:val="000000"/>
                <w:sz w:val="21"/>
                <w:u w:val="none"/>
              </w:rPr>
              <w:t>深度学习</w:t>
            </w:r>
          </w:p>
        </w:tc>
        <w:tc>
          <w:tcPr>
            <w:tcW w:type="dxa" w:w="2551"/>
          </w:tcPr>
          <w:p>
            <w:pPr>
              <w:spacing w:line="240" w:lineRule="auto"/>
              <w:jc w:val="left"/>
            </w:pPr>
            <w:r>
              <w:rPr>
                <w:rFonts w:ascii="Times New Roman" w:hAnsi="Times New Roman" w:cs="Times New Roman" w:eastAsia="宋体"/>
                <w:b w:val="0"/>
                <w:i w:val="0"/>
                <w:color w:val="000000"/>
                <w:sz w:val="21"/>
                <w:u w:val="none"/>
              </w:rPr>
              <w:t>814</w:t>
            </w:r>
          </w:p>
        </w:tc>
        <w:tc>
          <w:tcPr>
            <w:tcW w:type="dxa" w:w="2551"/>
          </w:tcPr>
          <w:p>
            <w:pPr>
              <w:spacing w:line="240" w:lineRule="auto"/>
              <w:jc w:val="left"/>
            </w:pPr>
            <w:r>
              <w:rPr>
                <w:rFonts w:ascii="Times New Roman" w:hAnsi="Times New Roman" w:cs="Times New Roman" w:eastAsia="宋体"/>
                <w:b w:val="0"/>
                <w:i w:val="0"/>
                <w:color w:val="000000"/>
                <w:sz w:val="21"/>
                <w:u w:val="none"/>
              </w:rPr>
              <w:t>3</w:t>
            </w:r>
          </w:p>
        </w:tc>
        <w:tc>
          <w:tcPr>
            <w:tcW w:type="dxa" w:w="2551"/>
          </w:tcPr>
          <w:p>
            <w:pPr>
              <w:spacing w:line="240" w:lineRule="auto"/>
              <w:jc w:val="left"/>
            </w:pPr>
            <w:r>
              <w:rPr>
                <w:rFonts w:ascii="Times New Roman" w:hAnsi="Times New Roman" w:cs="Times New Roman" w:eastAsia="宋体"/>
                <w:b w:val="0"/>
                <w:i w:val="0"/>
                <w:color w:val="000000"/>
                <w:sz w:val="21"/>
                <w:u w:val="none"/>
              </w:rPr>
              <w:t>0.37</w:t>
            </w:r>
          </w:p>
        </w:tc>
      </w:tr>
    </w:tbl>
    <w:p>
      <w:pPr>
        <w:spacing w:line="300" w:lineRule="auto"/>
        <w:ind w:firstLine="480"/>
        <w:jc w:val="both"/>
      </w:pPr>
      <w:r>
        <w:rPr>
          <w:rFonts w:ascii="Times New Roman" w:hAnsi="Times New Roman" w:cs="Times New Roman" w:eastAsia="宋体"/>
          <w:b w:val="0"/>
          <w:i w:val="0"/>
          <w:color w:val="000000"/>
          <w:sz w:val="24"/>
          <w:u w:val="none"/>
        </w:rPr>
        <w:t>从排序上看，AI 编程（3.91%）明显高于 AI 工具（0.62%）、AI 应用（0.72%）、大语言模型（0.39%）和深度学习（0.37%）。这说明“AI”并不是单一议题，不同技术讨论场景与职业风险表达的贴近程度存在明显差异。</w:t>
      </w:r>
    </w:p>
    <w:p>
      <w:pPr>
        <w:pStyle w:val="Heading3"/>
        <w:spacing w:line="240" w:lineRule="auto" w:before="240" w:after="240"/>
        <w:jc w:val="left"/>
      </w:pPr>
      <w:r>
        <w:rPr>
          <w:rFonts w:ascii="Times New Roman" w:hAnsi="Times New Roman" w:cs="Times New Roman" w:eastAsia="黑体"/>
          <w:b/>
          <w:i w:val="0"/>
          <w:color w:val="000000"/>
          <w:sz w:val="24"/>
          <w:u w:val="none"/>
        </w:rPr>
        <w:t>4.3.4 结果解释边界</w:t>
      </w:r>
    </w:p>
    <w:p>
      <w:pPr>
        <w:spacing w:line="300" w:lineRule="auto"/>
        <w:ind w:firstLine="480"/>
        <w:jc w:val="both"/>
      </w:pPr>
      <w:r>
        <w:rPr>
          <w:rFonts w:ascii="Times New Roman" w:hAnsi="Times New Roman" w:cs="Times New Roman" w:eastAsia="宋体"/>
          <w:b w:val="0"/>
          <w:i w:val="0"/>
          <w:color w:val="000000"/>
          <w:sz w:val="24"/>
          <w:u w:val="none"/>
        </w:rPr>
        <w:t>H2 的结果表明 query 标签能够区分不同强度的职业风险表达，但并不意味着某一技术议题必然伴随更高的职业风险感知。由于 query 来自抓取阶段的搜索条件，相关表达率同时受到议题本身、样本构成和平台分布的共同塑造，因此更应被解读为“议题异质性”，而非“议题冲击效应”。</w:t>
      </w:r>
    </w:p>
    <w:p>
      <w:pPr>
        <w:pStyle w:val="Heading2"/>
        <w:spacing w:line="240" w:lineRule="auto" w:before="240" w:after="240"/>
        <w:jc w:val="left"/>
      </w:pPr>
      <w:r>
        <w:rPr>
          <w:rFonts w:ascii="Times New Roman" w:hAnsi="Times New Roman" w:cs="Times New Roman" w:eastAsia="黑体"/>
          <w:b/>
          <w:i w:val="0"/>
          <w:color w:val="000000"/>
          <w:sz w:val="28"/>
          <w:u w:val="none"/>
        </w:rPr>
        <w:t>4.4 H3：时间动态结果</w:t>
      </w:r>
    </w:p>
    <w:p>
      <w:pPr>
        <w:pStyle w:val="Heading3"/>
        <w:spacing w:line="240" w:lineRule="auto" w:before="240" w:after="240"/>
        <w:jc w:val="left"/>
      </w:pPr>
      <w:r>
        <w:rPr>
          <w:rFonts w:ascii="Times New Roman" w:hAnsi="Times New Roman" w:cs="Times New Roman" w:eastAsia="黑体"/>
          <w:b/>
          <w:i w:val="0"/>
          <w:color w:val="000000"/>
          <w:sz w:val="24"/>
          <w:u w:val="none"/>
        </w:rPr>
        <w:t>4.4.1 假设内容</w:t>
      </w:r>
    </w:p>
    <w:p>
      <w:pPr>
        <w:spacing w:line="300" w:lineRule="auto"/>
        <w:ind w:firstLine="480"/>
        <w:jc w:val="both"/>
      </w:pPr>
      <w:r>
        <w:rPr>
          <w:rFonts w:ascii="Times New Roman" w:hAnsi="Times New Roman" w:cs="Times New Roman" w:eastAsia="宋体"/>
          <w:b w:val="0"/>
          <w:i w:val="0"/>
          <w:color w:val="000000"/>
          <w:sz w:val="24"/>
          <w:u w:val="none"/>
        </w:rPr>
        <w:t>H3：在时间覆盖完整且时间戳可靠的样本中，职业不安全感相关表达呈现上升趋势。</w:t>
      </w:r>
    </w:p>
    <w:p>
      <w:pPr>
        <w:pStyle w:val="Heading3"/>
        <w:spacing w:line="240" w:lineRule="auto" w:before="240" w:after="240"/>
        <w:jc w:val="left"/>
      </w:pPr>
      <w:r>
        <w:rPr>
          <w:rFonts w:ascii="Times New Roman" w:hAnsi="Times New Roman" w:cs="Times New Roman" w:eastAsia="黑体"/>
          <w:b/>
          <w:i w:val="0"/>
          <w:color w:val="000000"/>
          <w:sz w:val="24"/>
          <w:u w:val="none"/>
        </w:rPr>
        <w:t>4.4.2 主分析结果</w:t>
      </w:r>
    </w:p>
    <w:p>
      <w:pPr>
        <w:spacing w:line="300" w:lineRule="auto"/>
        <w:ind w:firstLine="480"/>
        <w:jc w:val="both"/>
      </w:pPr>
      <w:r>
        <w:rPr>
          <w:rFonts w:ascii="Times New Roman" w:hAnsi="Times New Roman" w:cs="Times New Roman" w:eastAsia="宋体"/>
          <w:b w:val="0"/>
          <w:i w:val="0"/>
          <w:color w:val="000000"/>
          <w:sz w:val="24"/>
          <w:u w:val="none"/>
        </w:rPr>
        <w:t>H3 的主分析样本为哔哩哔哩平台，共覆盖 366 个观测日期（2024 年 10 月 12 日至 2026 年 3 月 30 日）。按日聚合后，职业不安全感相关表达率的线性趋势斜率为 0.00002293，置换检验 p = 0.0002，支持 H3。该结果表明，在时间覆盖最完整的平台样本中，职业不安全感相关表达存在稳定的上升关联。</w:t>
      </w:r>
    </w:p>
    <w:p>
      <w:pPr>
        <w:pStyle w:val="Heading3"/>
        <w:spacing w:line="240" w:lineRule="auto" w:before="240" w:after="240"/>
        <w:jc w:val="left"/>
      </w:pPr>
      <w:r>
        <w:rPr>
          <w:rFonts w:ascii="Times New Roman" w:hAnsi="Times New Roman" w:cs="Times New Roman" w:eastAsia="黑体"/>
          <w:b/>
          <w:i w:val="0"/>
          <w:color w:val="000000"/>
          <w:sz w:val="24"/>
          <w:u w:val="none"/>
        </w:rPr>
        <w:t>4.4.3 稳健性结果</w:t>
      </w:r>
    </w:p>
    <w:p>
      <w:pPr>
        <w:spacing w:line="300" w:lineRule="auto"/>
        <w:ind w:firstLine="480"/>
        <w:jc w:val="both"/>
      </w:pPr>
      <w:r>
        <w:rPr>
          <w:rFonts w:ascii="Times New Roman" w:hAnsi="Times New Roman" w:cs="Times New Roman" w:eastAsia="宋体"/>
          <w:b w:val="0"/>
          <w:i w:val="0"/>
          <w:color w:val="000000"/>
          <w:sz w:val="24"/>
          <w:u w:val="none"/>
        </w:rPr>
        <w:t>在完成知乎时间戳修复并纳入全部平台后，全样本趋势斜率为 0.00003852，置换检验 p = 0.0002，结果方向与主分析一致。由于平台覆盖和议题构成并不均衡，本文仍以哔哩哔哩结果作为主结论依据，而将全样本趋势视为稳健性补充。</w:t>
      </w:r>
    </w:p>
    <w:p>
      <w:pPr>
        <w:pStyle w:val="Heading3"/>
        <w:spacing w:line="240" w:lineRule="auto" w:before="240" w:after="240"/>
        <w:jc w:val="left"/>
      </w:pPr>
      <w:r>
        <w:rPr>
          <w:rFonts w:ascii="Times New Roman" w:hAnsi="Times New Roman" w:cs="Times New Roman" w:eastAsia="黑体"/>
          <w:b/>
          <w:i w:val="0"/>
          <w:color w:val="000000"/>
          <w:sz w:val="24"/>
          <w:u w:val="none"/>
        </w:rPr>
        <w:t>4.4.4 结果解释边界</w:t>
      </w:r>
    </w:p>
    <w:p>
      <w:pPr>
        <w:spacing w:line="300" w:lineRule="auto"/>
        <w:ind w:firstLine="480"/>
        <w:jc w:val="both"/>
      </w:pPr>
      <w:r>
        <w:rPr>
          <w:rFonts w:ascii="Times New Roman" w:hAnsi="Times New Roman" w:cs="Times New Roman" w:eastAsia="宋体"/>
          <w:b w:val="0"/>
          <w:i w:val="0"/>
          <w:color w:val="000000"/>
          <w:sz w:val="24"/>
          <w:u w:val="none"/>
        </w:rPr>
        <w:t>H3 只能说明职业不安全感相关表达随时间呈现上升趋势，不能直接推出“AI 技术发展与职业风险感知上升之间存在单向作用”。趋势可能同时与技术迭代、媒体讨论密度、议题结构变化和样本覆盖扩展共同出现，因此这一结果仍属于关联性发现。</w:t>
      </w:r>
    </w:p>
    <w:p>
      <w:pPr>
        <w:pStyle w:val="Heading2"/>
        <w:spacing w:line="240" w:lineRule="auto" w:before="240" w:after="240"/>
        <w:jc w:val="left"/>
      </w:pPr>
      <w:r>
        <w:rPr>
          <w:rFonts w:ascii="Times New Roman" w:hAnsi="Times New Roman" w:cs="Times New Roman" w:eastAsia="黑体"/>
          <w:b/>
          <w:i w:val="0"/>
          <w:color w:val="000000"/>
          <w:sz w:val="28"/>
          <w:u w:val="none"/>
        </w:rPr>
        <w:t>4.5 探索性事件窗口说明</w:t>
      </w:r>
    </w:p>
    <w:p>
      <w:pPr>
        <w:spacing w:line="300" w:lineRule="auto"/>
        <w:ind w:firstLine="480"/>
        <w:jc w:val="both"/>
      </w:pPr>
      <w:r>
        <w:rPr>
          <w:rFonts w:ascii="Times New Roman" w:hAnsi="Times New Roman" w:cs="Times New Roman" w:eastAsia="宋体"/>
          <w:b w:val="0"/>
          <w:i w:val="0"/>
          <w:color w:val="000000"/>
          <w:sz w:val="24"/>
          <w:u w:val="none"/>
        </w:rPr>
        <w:t>旧版本研究将事件主效应和恢复时间作为核心结果，但在新版数据和新版假设体系下，事件窗口分析不再承担核心证据功能。当前版本保留平台异质性、议题异质性和时间动态作为主结果，事件窗口分析仅作为后续附录方向，待事件库边界和窗口设定进一步清理后再单独报告。</w:t>
      </w:r>
    </w:p>
    <w:p>
      <w:pPr>
        <w:pStyle w:val="Heading2"/>
        <w:spacing w:line="240" w:lineRule="auto" w:before="240" w:after="240"/>
        <w:jc w:val="left"/>
      </w:pPr>
      <w:r>
        <w:rPr>
          <w:rFonts w:ascii="Times New Roman" w:hAnsi="Times New Roman" w:cs="Times New Roman" w:eastAsia="黑体"/>
          <w:b/>
          <w:i w:val="0"/>
          <w:color w:val="000000"/>
          <w:sz w:val="28"/>
          <w:u w:val="none"/>
        </w:rPr>
        <w:t>4.6 本章小结</w:t>
      </w:r>
    </w:p>
    <w:p>
      <w:pPr>
        <w:spacing w:line="300" w:lineRule="auto"/>
        <w:ind w:firstLine="480"/>
        <w:jc w:val="both"/>
      </w:pPr>
      <w:r>
        <w:rPr>
          <w:rFonts w:ascii="Times New Roman" w:hAnsi="Times New Roman" w:cs="Times New Roman" w:eastAsia="宋体"/>
          <w:b w:val="0"/>
          <w:i w:val="0"/>
          <w:color w:val="000000"/>
          <w:sz w:val="24"/>
          <w:u w:val="none"/>
        </w:rPr>
        <w:t>本章基于 142,426 条评论报告了三项核心结果。第一，知乎与哔哩哔哩之间存在显著的平台异质性，知乎的职业不安全感相关表达率显著更高。第二，不同 AI 议题之间存在显著表达率差异，风险表达更集中于 AI 编程、AI 芯片、AI 绘画、AI 教育等与技能替代或能力重估更贴近的主题。第三，在时间覆盖最完整的哔哩哔哩样本中，职业不安全感相关表达呈现显著上升趋势，并在全样本中得到方向一致的稳健性支持。</w:t>
      </w:r>
    </w:p>
    <w:p>
      <w:pPr>
        <w:pStyle w:val="Heading1"/>
        <w:spacing w:line="240" w:lineRule="auto" w:before="240" w:after="240"/>
        <w:jc w:val="center"/>
      </w:pPr>
      <w:r>
        <w:rPr>
          <w:rFonts w:ascii="Times New Roman" w:hAnsi="Times New Roman" w:cs="Times New Roman" w:eastAsia="黑体"/>
          <w:b/>
          <w:i w:val="0"/>
          <w:color w:val="000000"/>
          <w:sz w:val="32"/>
          <w:u w:val="none"/>
        </w:rPr>
        <w:t>5 讨论</w:t>
      </w:r>
    </w:p>
    <w:p>
      <w:pPr>
        <w:pStyle w:val="Heading2"/>
        <w:spacing w:line="240" w:lineRule="auto" w:before="240" w:after="240"/>
        <w:jc w:val="left"/>
      </w:pPr>
      <w:r>
        <w:rPr>
          <w:rFonts w:ascii="Times New Roman" w:hAnsi="Times New Roman" w:cs="Times New Roman" w:eastAsia="黑体"/>
          <w:b/>
          <w:i w:val="0"/>
          <w:color w:val="000000"/>
          <w:sz w:val="28"/>
          <w:u w:val="none"/>
        </w:rPr>
        <w:t>5.1 主要发现的解释</w:t>
      </w:r>
    </w:p>
    <w:p>
      <w:pPr>
        <w:spacing w:line="300" w:lineRule="auto"/>
        <w:ind w:firstLine="480"/>
        <w:jc w:val="both"/>
      </w:pPr>
      <w:r>
        <w:rPr>
          <w:rFonts w:ascii="Times New Roman" w:hAnsi="Times New Roman" w:cs="Times New Roman" w:eastAsia="宋体"/>
          <w:b w:val="0"/>
          <w:i w:val="0"/>
          <w:color w:val="000000"/>
          <w:sz w:val="24"/>
          <w:u w:val="none"/>
        </w:rPr>
        <w:t>本文的核心发现有三个。第一，平台间职业不安全感相关表达率存在显著差异，知乎明显高于哔哩哔哩。与其把这一结果简单理解为“知乎用户更焦虑”，不如更谨慎地理解为：在当前采样覆盖下，问答型、长文本导向的平台更容易出现与职业风险相关的显性表达。这一差异既可能来自用户构成，也可能来自平台的表达规范和讨论深度。</w:t>
      </w:r>
    </w:p>
    <w:p>
      <w:pPr>
        <w:spacing w:line="300" w:lineRule="auto"/>
        <w:ind w:firstLine="480"/>
        <w:jc w:val="both"/>
      </w:pPr>
      <w:r>
        <w:rPr>
          <w:rFonts w:ascii="Times New Roman" w:hAnsi="Times New Roman" w:cs="Times New Roman" w:eastAsia="宋体"/>
          <w:b w:val="0"/>
          <w:i w:val="0"/>
          <w:color w:val="000000"/>
          <w:sz w:val="24"/>
          <w:u w:val="none"/>
        </w:rPr>
        <w:t>第二，议题异质性比单一“AI 风险”叙事更有解释力。职业不安全感相关表达并不是在所有 AI 讨论中平均出现，而是明显集中在 AI 编程、AI 芯片、AI 绘画、AI 教育和 AI 视频等议题上。相比之下，AI 工具、AI 应用、大语言模型和深度学习等更一般化、抽象化的讨论，职业风险表达率更低。这意味着，公众并不是对“AI”这个总标签做出统一反应，而是对与自身技能、职业角色和岗位边界更贴近的议题表现出更强的风险表达。</w:t>
      </w:r>
    </w:p>
    <w:p>
      <w:pPr>
        <w:spacing w:line="300" w:lineRule="auto"/>
        <w:ind w:firstLine="480"/>
        <w:jc w:val="both"/>
      </w:pPr>
      <w:r>
        <w:rPr>
          <w:rFonts w:ascii="Times New Roman" w:hAnsi="Times New Roman" w:cs="Times New Roman" w:eastAsia="宋体"/>
          <w:b w:val="0"/>
          <w:i w:val="0"/>
          <w:color w:val="000000"/>
          <w:sz w:val="24"/>
          <w:u w:val="none"/>
        </w:rPr>
        <w:t>第三，时间动态呈现出一种缓慢积累而非单次冲击驱动的模式。在哔哩哔哩主样本中，职业不安全感相关表达随时间上升，且在全样本趋势中方向一致。这一结果支持本文把重点从“某个事件是否引发显著波动”转向“职业风险表达是否在长期讨论中逐渐累积”的调整。至少在当前数据结构下，时间趋势比事件主效应更稳定，也更适合作为论文的核心经验发现。</w:t>
      </w:r>
    </w:p>
    <w:p>
      <w:pPr>
        <w:pStyle w:val="Heading2"/>
        <w:spacing w:line="240" w:lineRule="auto" w:before="240" w:after="240"/>
        <w:jc w:val="left"/>
      </w:pPr>
      <w:r>
        <w:rPr>
          <w:rFonts w:ascii="Times New Roman" w:hAnsi="Times New Roman" w:cs="Times New Roman" w:eastAsia="黑体"/>
          <w:b/>
          <w:i w:val="0"/>
          <w:color w:val="000000"/>
          <w:sz w:val="28"/>
          <w:u w:val="none"/>
        </w:rPr>
        <w:t>5.2 与现有研究的关系</w:t>
      </w:r>
    </w:p>
    <w:p>
      <w:pPr>
        <w:spacing w:line="300" w:lineRule="auto"/>
        <w:ind w:firstLine="480"/>
        <w:jc w:val="both"/>
      </w:pPr>
      <w:r>
        <w:rPr>
          <w:rFonts w:ascii="Times New Roman" w:hAnsi="Times New Roman" w:cs="Times New Roman" w:eastAsia="宋体"/>
          <w:b w:val="0"/>
          <w:i w:val="0"/>
          <w:color w:val="000000"/>
          <w:sz w:val="24"/>
          <w:u w:val="none"/>
        </w:rPr>
        <w:t>本文与传统职业不安全感研究的关系，不是替代，而是补充。问卷研究测量的是个体层面的构念状态，本文观察的是公开讨论中的表达层差异。两者回答的问题不同，但可以相互衔接。本文的结果提示，在 AI 相关讨论中，职业风险感知并不以均匀方式分布，而是受到平台结构和议题结构的共同塑造。</w:t>
      </w:r>
    </w:p>
    <w:p>
      <w:pPr>
        <w:spacing w:line="300" w:lineRule="auto"/>
        <w:ind w:firstLine="480"/>
        <w:jc w:val="both"/>
      </w:pPr>
      <w:r>
        <w:rPr>
          <w:rFonts w:ascii="Times New Roman" w:hAnsi="Times New Roman" w:cs="Times New Roman" w:eastAsia="宋体"/>
          <w:b w:val="0"/>
          <w:i w:val="0"/>
          <w:color w:val="000000"/>
          <w:sz w:val="24"/>
          <w:u w:val="none"/>
        </w:rPr>
        <w:t>在 AI 与就业不确定性的理论争论中，本文也不试图直接站到替代论或互补论任何一端。更准确地说，本文发现某些更贴近技能替代、岗位重组和职业门槛变化的议题更容易伴随职业风险表达，这说明替代想象并非平均附着在所有 AI 讨论之上，而是具有明确的场景依赖性。</w:t>
      </w:r>
    </w:p>
    <w:p>
      <w:pPr>
        <w:pStyle w:val="Heading2"/>
        <w:spacing w:line="240" w:lineRule="auto" w:before="240" w:after="240"/>
        <w:jc w:val="left"/>
      </w:pPr>
      <w:r>
        <w:rPr>
          <w:rFonts w:ascii="Times New Roman" w:hAnsi="Times New Roman" w:cs="Times New Roman" w:eastAsia="黑体"/>
          <w:b/>
          <w:i w:val="0"/>
          <w:color w:val="000000"/>
          <w:sz w:val="28"/>
          <w:u w:val="none"/>
        </w:rPr>
        <w:t>5.3 理论贡献</w:t>
      </w:r>
    </w:p>
    <w:p>
      <w:pPr>
        <w:spacing w:line="300" w:lineRule="auto"/>
        <w:ind w:firstLine="480"/>
        <w:jc w:val="both"/>
      </w:pPr>
      <w:r>
        <w:rPr>
          <w:rFonts w:ascii="Times New Roman" w:hAnsi="Times New Roman" w:cs="Times New Roman" w:eastAsia="宋体"/>
          <w:b w:val="0"/>
          <w:i w:val="0"/>
          <w:color w:val="000000"/>
          <w:sz w:val="24"/>
          <w:u w:val="none"/>
        </w:rPr>
        <w:t>本文的理论贡献主要体现在三个方面。第一，本文提供了职业风险感知在公开 AI 讨论中的表达层证据，把“职业不安全感”从量表研究拓展到平台和议题可观察的表达研究。第二，本文证明平台结构和议题结构不是外围条件，而是理解职业风险表达差异的核心维度。第三，本文展示了如何利用抓取文件名中已有的 query 标签，把原本只是数据采集条件的信息转化为正式研究变量，从而为后续平台研究和议题研究提供方法论参考。</w:t>
      </w:r>
    </w:p>
    <w:p>
      <w:pPr>
        <w:spacing w:line="300" w:lineRule="auto"/>
        <w:ind w:firstLine="480"/>
        <w:jc w:val="both"/>
      </w:pPr>
      <w:r>
        <w:rPr>
          <w:rFonts w:ascii="Times New Roman" w:hAnsi="Times New Roman" w:cs="Times New Roman" w:eastAsia="宋体"/>
          <w:b w:val="0"/>
          <w:i w:val="0"/>
          <w:color w:val="000000"/>
          <w:sz w:val="24"/>
          <w:u w:val="none"/>
        </w:rPr>
        <w:t>需要强调的是，这些贡献仍然是描述性和关联性的，而不是因果性的。本文没有验证某项技术突破、某个平台机制或某一议题本身对职业风险感知的净因果作用，而是识别出职业风险表达在公开讨论中的分布规律。</w:t>
      </w:r>
    </w:p>
    <w:p>
      <w:pPr>
        <w:pStyle w:val="Heading2"/>
        <w:spacing w:line="240" w:lineRule="auto" w:before="240" w:after="240"/>
        <w:jc w:val="left"/>
      </w:pPr>
      <w:r>
        <w:rPr>
          <w:rFonts w:ascii="Times New Roman" w:hAnsi="Times New Roman" w:cs="Times New Roman" w:eastAsia="黑体"/>
          <w:b/>
          <w:i w:val="0"/>
          <w:color w:val="000000"/>
          <w:sz w:val="28"/>
          <w:u w:val="none"/>
        </w:rPr>
        <w:t>5.4 实践启示</w:t>
      </w:r>
    </w:p>
    <w:p>
      <w:pPr>
        <w:spacing w:line="300" w:lineRule="auto"/>
        <w:ind w:firstLine="480"/>
        <w:jc w:val="both"/>
      </w:pPr>
      <w:r>
        <w:rPr>
          <w:rFonts w:ascii="Times New Roman" w:hAnsi="Times New Roman" w:cs="Times New Roman" w:eastAsia="宋体"/>
          <w:b w:val="0"/>
          <w:i w:val="0"/>
          <w:color w:val="000000"/>
          <w:sz w:val="24"/>
          <w:u w:val="none"/>
        </w:rPr>
        <w:t>本文的实践启示主要集中在监测与识别，而非干预处方。对于研究者和平台治理者而言，平台差异意味着风险监测不宜只依赖单一平台；议题差异则意味着“AI 总体讨论热度”不能代替“职业风险表达强度”，更需要关注与技能替代和岗位边界更贴近的具体主题。对于组织管理者而言，若要理解员工或求职者在公开讨论中的风险感知，优先观察 AI 编程、AI 芯片、AI 绘画、AI 教育等议题，通常比观察宽泛的“AI 工具”讨论更有信息量。</w:t>
      </w:r>
    </w:p>
    <w:p>
      <w:pPr>
        <w:pStyle w:val="Heading2"/>
        <w:spacing w:line="240" w:lineRule="auto" w:before="240" w:after="240"/>
        <w:jc w:val="left"/>
      </w:pPr>
      <w:r>
        <w:rPr>
          <w:rFonts w:ascii="Times New Roman" w:hAnsi="Times New Roman" w:cs="Times New Roman" w:eastAsia="黑体"/>
          <w:b/>
          <w:i w:val="0"/>
          <w:color w:val="000000"/>
          <w:sz w:val="28"/>
          <w:u w:val="none"/>
        </w:rPr>
        <w:t>5.5 研究局限</w:t>
      </w:r>
    </w:p>
    <w:p>
      <w:pPr>
        <w:spacing w:line="300" w:lineRule="auto"/>
        <w:ind w:firstLine="480"/>
        <w:jc w:val="both"/>
      </w:pPr>
      <w:r>
        <w:rPr>
          <w:rFonts w:ascii="Times New Roman" w:hAnsi="Times New Roman" w:cs="Times New Roman" w:eastAsia="宋体"/>
          <w:b w:val="0"/>
          <w:i w:val="0"/>
          <w:color w:val="000000"/>
          <w:sz w:val="24"/>
          <w:u w:val="none"/>
        </w:rPr>
        <w:t>本文至少有五项局限。第一，本文使用的是职业不安全感相关表达的代理指标，而不是职业不安全感构念的直接量表测量，因此不能把表达率直接解释为构念水平。第二，样本来自 AI 相关检索场景，存在明确的议题选择偏差，因而表达率只适用于该类讨论样本。第三，平台覆盖高度不均衡，微博和小红书样本量较小，只能做描述性补充。第四，基于词典的匹配方法具有可解释性，但对隐喻、反讽、语境反转和隐性担忧的识别能力有限。第五，本文是观察性研究，无法据此进行因果推断，因而不能把平台差异、议题差异或时间趋势直接解释为技术关联强度本身。</w:t>
      </w:r>
    </w:p>
    <w:p>
      <w:pPr>
        <w:spacing w:line="300" w:lineRule="auto"/>
        <w:ind w:firstLine="480"/>
        <w:jc w:val="both"/>
      </w:pPr>
      <w:r>
        <w:rPr>
          <w:rFonts w:ascii="Times New Roman" w:hAnsi="Times New Roman" w:cs="Times New Roman" w:eastAsia="宋体"/>
          <w:b w:val="0"/>
          <w:i w:val="0"/>
          <w:color w:val="000000"/>
          <w:sz w:val="24"/>
          <w:u w:val="none"/>
        </w:rPr>
        <w:t>此外，旧版本中的事件窗口分析在当前版本中被降为探索性方向，这本身也反映了研究设计调整后的取舍：当事件库边界、时间窗口和分母波动无法稳定控制时，硬把事件效应写成核心贡献反而会削弱全文可信度。</w:t>
      </w:r>
    </w:p>
    <w:p>
      <w:pPr>
        <w:pStyle w:val="Heading2"/>
        <w:spacing w:line="240" w:lineRule="auto" w:before="240" w:after="240"/>
        <w:jc w:val="left"/>
      </w:pPr>
      <w:r>
        <w:rPr>
          <w:rFonts w:ascii="Times New Roman" w:hAnsi="Times New Roman" w:cs="Times New Roman" w:eastAsia="黑体"/>
          <w:b/>
          <w:i w:val="0"/>
          <w:color w:val="000000"/>
          <w:sz w:val="28"/>
          <w:u w:val="none"/>
        </w:rPr>
        <w:t>5.6 未来研究方向</w:t>
      </w:r>
    </w:p>
    <w:p>
      <w:pPr>
        <w:spacing w:line="300" w:lineRule="auto"/>
        <w:ind w:firstLine="480"/>
        <w:jc w:val="both"/>
      </w:pPr>
      <w:r>
        <w:rPr>
          <w:rFonts w:ascii="Times New Roman" w:hAnsi="Times New Roman" w:cs="Times New Roman" w:eastAsia="宋体"/>
          <w:b w:val="0"/>
          <w:i w:val="0"/>
          <w:color w:val="000000"/>
          <w:sz w:val="24"/>
          <w:u w:val="none"/>
        </w:rPr>
        <w:t>未来研究可沿三个方向推进。第一，将本文的表达代理指标与问卷量表、访谈材料或实验情境结合，验证平台表达与个体职业风险感知之间的联系。第二，围绕高风险议题开展更细的主题层或职业层分析，例如比较 AI 编程、AI 教育和 AI 芯片议题下不同职业群体的表达模式。第三，在事件数据库和时间窗口设定更成熟的前提下，再回到事件冲击问题，检验特定技术发布、政策出台或就业新闻是否会带来可识别的短期表达变化。</w:t>
      </w:r>
    </w:p>
    <w:p>
      <w:pPr>
        <w:pStyle w:val="Heading2"/>
        <w:spacing w:line="240" w:lineRule="auto" w:before="240" w:after="240"/>
        <w:jc w:val="left"/>
      </w:pPr>
      <w:r>
        <w:rPr>
          <w:rFonts w:ascii="Times New Roman" w:hAnsi="Times New Roman" w:cs="Times New Roman" w:eastAsia="黑体"/>
          <w:b/>
          <w:i w:val="0"/>
          <w:color w:val="000000"/>
          <w:sz w:val="28"/>
          <w:u w:val="none"/>
        </w:rPr>
        <w:t>5.7 本章小结</w:t>
      </w:r>
    </w:p>
    <w:p>
      <w:pPr>
        <w:spacing w:line="300" w:lineRule="auto"/>
        <w:ind w:firstLine="480"/>
        <w:jc w:val="both"/>
      </w:pPr>
      <w:r>
        <w:rPr>
          <w:rFonts w:ascii="Times New Roman" w:hAnsi="Times New Roman" w:cs="Times New Roman" w:eastAsia="宋体"/>
          <w:b w:val="0"/>
          <w:i w:val="0"/>
          <w:color w:val="000000"/>
          <w:sz w:val="24"/>
          <w:u w:val="none"/>
        </w:rPr>
        <w:t>总体而言，本文的关键贡献不在于证明“AI 事件与职业不安全感存在单一强关联”，而在于展示职业风险感知相关表达如何在平台、议题与时间上呈现出稳定而可识别的异质性。对当前这类公开评论数据而言，这一结论比旧版本中的单一事件主效应更稳健，也更符合证据强度。</w:t>
      </w:r>
    </w:p>
    <w:p>
      <w:pPr>
        <w:pStyle w:val="Heading1"/>
        <w:spacing w:line="240" w:lineRule="auto" w:before="240" w:after="240"/>
        <w:jc w:val="center"/>
      </w:pPr>
      <w:r>
        <w:rPr>
          <w:rFonts w:ascii="Times New Roman" w:hAnsi="Times New Roman" w:cs="Times New Roman" w:eastAsia="黑体"/>
          <w:b/>
          <w:i w:val="0"/>
          <w:color w:val="000000"/>
          <w:sz w:val="32"/>
          <w:u w:val="none"/>
        </w:rPr>
        <w:t>6 结论</w:t>
      </w:r>
    </w:p>
    <w:p>
      <w:pPr>
        <w:pStyle w:val="Heading2"/>
        <w:spacing w:line="240" w:lineRule="auto" w:before="240" w:after="240"/>
        <w:jc w:val="left"/>
      </w:pPr>
      <w:r>
        <w:rPr>
          <w:rFonts w:ascii="Times New Roman" w:hAnsi="Times New Roman" w:cs="Times New Roman" w:eastAsia="黑体"/>
          <w:b/>
          <w:i w:val="0"/>
          <w:color w:val="000000"/>
          <w:sz w:val="28"/>
          <w:u w:val="none"/>
        </w:rPr>
        <w:t>6.1 研究总结</w:t>
      </w:r>
    </w:p>
    <w:p>
      <w:pPr>
        <w:spacing w:line="300" w:lineRule="auto"/>
        <w:ind w:firstLine="480"/>
        <w:jc w:val="both"/>
      </w:pPr>
      <w:r>
        <w:rPr>
          <w:rFonts w:ascii="Times New Roman" w:hAnsi="Times New Roman" w:cs="Times New Roman" w:eastAsia="宋体"/>
          <w:b w:val="0"/>
          <w:i w:val="0"/>
          <w:color w:val="000000"/>
          <w:sz w:val="24"/>
          <w:u w:val="none"/>
        </w:rPr>
        <w:t>本文围绕“AI相关讨论中的职业风险感知如何在平台、议题与时间上呈现差异”这一问题，基于 ai_crawl_data_20260413_004926 构建了多平台公开评论样本。经预处理后，本文纳入 2024 年 10 月 12 日至 2026 年 4 月 13 日的 142,426 条评论，覆盖哔哩哔哩、知乎、微博和小红书 4 个平台、380 个观测日期。其中，1,679 条评论被识别为职业不安全感相关表达，占总评论数的 1.18%。</w:t>
      </w:r>
    </w:p>
    <w:p>
      <w:pPr>
        <w:spacing w:line="300" w:lineRule="auto"/>
        <w:ind w:firstLine="480"/>
        <w:jc w:val="both"/>
      </w:pPr>
      <w:r>
        <w:rPr>
          <w:rFonts w:ascii="Times New Roman" w:hAnsi="Times New Roman" w:cs="Times New Roman" w:eastAsia="宋体"/>
          <w:b w:val="0"/>
          <w:i w:val="0"/>
          <w:color w:val="000000"/>
          <w:sz w:val="24"/>
          <w:u w:val="none"/>
        </w:rPr>
        <w:t>需要再次强调的是，本文的理论对象是职业风险感知，而可观察指标是“职业不安全感相关表达”。本文识别的是公开讨论中与职业风险相关的表达模式，而不是对职业不安全感构念本身进行直接量表测量。因此，全文结论都应理解为对表达分布的描述性、关联性总结，而不是对心理构念水平的直接判断。</w:t>
      </w:r>
    </w:p>
    <w:p>
      <w:pPr>
        <w:pStyle w:val="Heading2"/>
        <w:spacing w:line="240" w:lineRule="auto" w:before="240" w:after="240"/>
        <w:jc w:val="left"/>
      </w:pPr>
      <w:r>
        <w:rPr>
          <w:rFonts w:ascii="Times New Roman" w:hAnsi="Times New Roman" w:cs="Times New Roman" w:eastAsia="黑体"/>
          <w:b/>
          <w:i w:val="0"/>
          <w:color w:val="000000"/>
          <w:sz w:val="28"/>
          <w:u w:val="none"/>
        </w:rPr>
        <w:t>6.2 研究问题回答</w:t>
      </w:r>
    </w:p>
    <w:p>
      <w:pPr>
        <w:spacing w:line="300" w:lineRule="auto"/>
        <w:ind w:firstLine="480"/>
        <w:jc w:val="both"/>
      </w:pPr>
      <w:r>
        <w:rPr>
          <w:rFonts w:ascii="Times New Roman" w:hAnsi="Times New Roman" w:cs="Times New Roman" w:eastAsia="宋体"/>
          <w:b w:val="0"/>
          <w:i w:val="0"/>
          <w:color w:val="000000"/>
          <w:sz w:val="24"/>
          <w:u w:val="none"/>
        </w:rPr>
        <w:t>围绕本文提出的三项核心假设，研究结果给出了相对清晰的回答。</w:t>
      </w:r>
    </w:p>
    <w:p>
      <w:pPr>
        <w:spacing w:line="300" w:lineRule="auto"/>
        <w:ind w:firstLine="480"/>
        <w:jc w:val="both"/>
      </w:pPr>
      <w:r>
        <w:rPr>
          <w:rFonts w:ascii="Times New Roman" w:hAnsi="Times New Roman" w:cs="Times New Roman" w:eastAsia="宋体"/>
          <w:b w:val="0"/>
          <w:i w:val="0"/>
          <w:color w:val="000000"/>
          <w:sz w:val="24"/>
          <w:u w:val="none"/>
        </w:rPr>
        <w:t>第一，平台异质性假设得到支持。知乎的职业不安全感相关表达率为 2.19%（776/35,429），显著高于哔哩哔哩的 0.86%（870/101,538），双样本比例差异检验结果为 z = 19.833，p = 1.54 × 10^-87。这表明，在当前采样覆盖下，不同平台上的职业风险表达呈现稳定差异。</w:t>
      </w:r>
    </w:p>
    <w:p>
      <w:pPr>
        <w:spacing w:line="300" w:lineRule="auto"/>
        <w:ind w:firstLine="480"/>
        <w:jc w:val="both"/>
      </w:pPr>
      <w:r>
        <w:rPr>
          <w:rFonts w:ascii="Times New Roman" w:hAnsi="Times New Roman" w:cs="Times New Roman" w:eastAsia="宋体"/>
          <w:b w:val="0"/>
          <w:i w:val="0"/>
          <w:color w:val="000000"/>
          <w:sz w:val="24"/>
          <w:u w:val="none"/>
        </w:rPr>
        <w:t>第二，议题异质性假设得到支持。以文件名中的 query 作为议题标签，并将评论数不少于 500 条的 11 个议题纳入正式比较后，总体异质性检验结果为 chi-square = 113.456，Monte Carlo p = 0.0002。其中，AI 编程、AI 芯片、AI 绘画、AI 教育和 AI 视频的职业不安全感相关表达率明显更高，而 AI 工具、AI 应用、大语言模型和深度学习等更一般化技术议题的表达率较低。由此可见，公众对“AI”的风险表达并非均匀分布，而是具有明确的议题依赖性。</w:t>
      </w:r>
    </w:p>
    <w:p>
      <w:pPr>
        <w:spacing w:line="300" w:lineRule="auto"/>
        <w:ind w:firstLine="480"/>
        <w:jc w:val="both"/>
      </w:pPr>
      <w:r>
        <w:rPr>
          <w:rFonts w:ascii="Times New Roman" w:hAnsi="Times New Roman" w:cs="Times New Roman" w:eastAsia="宋体"/>
          <w:b w:val="0"/>
          <w:i w:val="0"/>
          <w:color w:val="000000"/>
          <w:sz w:val="24"/>
          <w:u w:val="none"/>
        </w:rPr>
        <w:t>第三，时间动态假设得到支持。在时间覆盖最完整的哔哩哔哩样本中，按日聚合后的职业不安全感相关表达率呈现显著上升趋势，线性趋势斜率为 0.00002293，置换检验 p = 0.0002。在修复知乎时间戳并纳入全部平台后，全样本趋势斜率为 0.00003852，方向一致。该结果说明，与其把研究重心放在单次事件窗口上，不如更谨慎地把职业风险表达理解为在长期讨论中逐步累积的关联性现象。</w:t>
      </w:r>
    </w:p>
    <w:p>
      <w:pPr>
        <w:pStyle w:val="Heading2"/>
        <w:spacing w:line="240" w:lineRule="auto" w:before="240" w:after="240"/>
        <w:jc w:val="left"/>
      </w:pPr>
      <w:r>
        <w:rPr>
          <w:rFonts w:ascii="Times New Roman" w:hAnsi="Times New Roman" w:cs="Times New Roman" w:eastAsia="黑体"/>
          <w:b/>
          <w:i w:val="0"/>
          <w:color w:val="000000"/>
          <w:sz w:val="28"/>
          <w:u w:val="none"/>
        </w:rPr>
        <w:t>6.3 理论与方法贡献</w:t>
      </w:r>
    </w:p>
    <w:p>
      <w:pPr>
        <w:spacing w:line="300" w:lineRule="auto"/>
        <w:ind w:firstLine="480"/>
        <w:jc w:val="both"/>
      </w:pPr>
      <w:r>
        <w:rPr>
          <w:rFonts w:ascii="Times New Roman" w:hAnsi="Times New Roman" w:cs="Times New Roman" w:eastAsia="宋体"/>
          <w:b w:val="0"/>
          <w:i w:val="0"/>
          <w:color w:val="000000"/>
          <w:sz w:val="24"/>
          <w:u w:val="none"/>
        </w:rPr>
        <w:t>本文的贡献主要体现在三个方面。第一，本文把 AI 相关职业风险研究的观察对象从问卷中的构念状态扩展到公开讨论中的表达模式，为职业风险感知研究提供了新的经验入口。第二，本文表明平台结构和议题结构并不是外围背景，而是决定表达分布差异的关键维度。第三，本文将抓取阶段已有的 query 标签转化为正式研究变量，证明数据采集条件本身也可以经过清理后转化为可分析的议题维度。</w:t>
      </w:r>
    </w:p>
    <w:p>
      <w:pPr>
        <w:spacing w:line="300" w:lineRule="auto"/>
        <w:ind w:firstLine="480"/>
        <w:jc w:val="both"/>
      </w:pPr>
      <w:r>
        <w:rPr>
          <w:rFonts w:ascii="Times New Roman" w:hAnsi="Times New Roman" w:cs="Times New Roman" w:eastAsia="宋体"/>
          <w:b w:val="0"/>
          <w:i w:val="0"/>
          <w:color w:val="000000"/>
          <w:sz w:val="24"/>
          <w:u w:val="none"/>
        </w:rPr>
        <w:t>同时，本文也对研究边界作了明确收缩。旧版本中试图把事件主效应和恢复时间作为核心发现，但在新版数据和新版假设体系下，事件窗口分析不再承担论文主证据功能，而仅保留为探索性附录方向。这一调整并非“降低标准”，而是使论文贡献与证据强度重新匹配。</w:t>
      </w:r>
    </w:p>
    <w:p>
      <w:pPr>
        <w:pStyle w:val="Heading2"/>
        <w:spacing w:line="240" w:lineRule="auto" w:before="240" w:after="240"/>
        <w:jc w:val="left"/>
      </w:pPr>
      <w:r>
        <w:rPr>
          <w:rFonts w:ascii="Times New Roman" w:hAnsi="Times New Roman" w:cs="Times New Roman" w:eastAsia="黑体"/>
          <w:b/>
          <w:i w:val="0"/>
          <w:color w:val="000000"/>
          <w:sz w:val="28"/>
          <w:u w:val="none"/>
        </w:rPr>
        <w:t>6.4 实践启示</w:t>
      </w:r>
    </w:p>
    <w:p>
      <w:pPr>
        <w:spacing w:line="300" w:lineRule="auto"/>
        <w:ind w:firstLine="480"/>
        <w:jc w:val="both"/>
      </w:pPr>
      <w:r>
        <w:rPr>
          <w:rFonts w:ascii="Times New Roman" w:hAnsi="Times New Roman" w:cs="Times New Roman" w:eastAsia="宋体"/>
          <w:b w:val="0"/>
          <w:i w:val="0"/>
          <w:color w:val="000000"/>
          <w:sz w:val="24"/>
          <w:u w:val="none"/>
        </w:rPr>
        <w:t>本文的实践启示主要集中在监测和识别层面。对于平台治理和舆情观察而言，职业风险表达并不适合通过单一平台或单一总热度指标来把握，更有效的路径是同时关注平台差异与议题差异。对于组织管理者而言，如果希望理解 AI 相关讨论中哪些场景更容易伴随职业风险表达，那么 AI 编程、AI 芯片、AI 绘画、AI 教育等议题比“AI工具”或“AI应用”这类宽泛标签更具识别价值。对于后续研究而言，本文提供的表达代理指标和议题拆分路径，可以作为问卷、访谈或实验设计的前期观察基础。</w:t>
      </w:r>
    </w:p>
    <w:p>
      <w:pPr>
        <w:pStyle w:val="Heading2"/>
        <w:spacing w:line="240" w:lineRule="auto" w:before="240" w:after="240"/>
        <w:jc w:val="left"/>
      </w:pPr>
      <w:r>
        <w:rPr>
          <w:rFonts w:ascii="Times New Roman" w:hAnsi="Times New Roman" w:cs="Times New Roman" w:eastAsia="黑体"/>
          <w:b/>
          <w:i w:val="0"/>
          <w:color w:val="000000"/>
          <w:sz w:val="28"/>
          <w:u w:val="none"/>
        </w:rPr>
        <w:t>6.5 研究局限与未来方向</w:t>
      </w:r>
    </w:p>
    <w:p>
      <w:pPr>
        <w:spacing w:line="300" w:lineRule="auto"/>
        <w:ind w:firstLine="480"/>
        <w:jc w:val="both"/>
      </w:pPr>
      <w:r>
        <w:rPr>
          <w:rFonts w:ascii="Times New Roman" w:hAnsi="Times New Roman" w:cs="Times New Roman" w:eastAsia="宋体"/>
          <w:b w:val="0"/>
          <w:i w:val="0"/>
          <w:color w:val="000000"/>
          <w:sz w:val="24"/>
          <w:u w:val="none"/>
        </w:rPr>
        <w:t>本文仍存在若干局限。第一，职业不安全感相关表达只是职业风险感知的代理指标，不能等同于构念水平本身。第二，样本来自 AI 相关检索场景，存在明确的议题选择偏差，因此结果只适用于该类讨论样本。第三，平台覆盖和时间覆盖高度不均衡，微博和小红书只能承担描述性角色。第四，词典法具有可解释性，但对隐喻、反讽和复杂语境的识别能力有限。第五，本文是观察性研究，不支持因果推断，因此不能把平台差异、议题差异或时间趋势解释为技术冲击的净效应。</w:t>
      </w:r>
    </w:p>
    <w:p>
      <w:pPr>
        <w:spacing w:line="300" w:lineRule="auto"/>
        <w:ind w:firstLine="480"/>
        <w:jc w:val="both"/>
      </w:pPr>
      <w:r>
        <w:rPr>
          <w:rFonts w:ascii="Times New Roman" w:hAnsi="Times New Roman" w:cs="Times New Roman" w:eastAsia="宋体"/>
          <w:b w:val="0"/>
          <w:i w:val="0"/>
          <w:color w:val="000000"/>
          <w:sz w:val="24"/>
          <w:u w:val="none"/>
        </w:rPr>
        <w:t>未来研究可以沿三个方向推进。其一，将本文的表达代理指标与问卷、访谈和实验材料结合，检验公开表达与个体职业风险感知之间的联系。其二，针对高风险议题开展更细的职业层或语义层分析，识别不同职业群体的表达模式。其三，在事件数据库、时间窗口和分母控制更加稳定的前提下，再重新评估特定事件窗口是否存在可识别的短期波动。</w:t>
      </w:r>
    </w:p>
    <w:p>
      <w:pPr>
        <w:pStyle w:val="Heading2"/>
        <w:spacing w:line="240" w:lineRule="auto" w:before="240" w:after="240"/>
        <w:jc w:val="left"/>
      </w:pPr>
      <w:r>
        <w:rPr>
          <w:rFonts w:ascii="Times New Roman" w:hAnsi="Times New Roman" w:cs="Times New Roman" w:eastAsia="黑体"/>
          <w:b/>
          <w:i w:val="0"/>
          <w:color w:val="000000"/>
          <w:sz w:val="28"/>
          <w:u w:val="none"/>
        </w:rPr>
        <w:t>6.6 结语</w:t>
      </w:r>
    </w:p>
    <w:p>
      <w:pPr>
        <w:spacing w:line="300" w:lineRule="auto"/>
        <w:ind w:firstLine="480"/>
        <w:jc w:val="both"/>
      </w:pPr>
      <w:r>
        <w:rPr>
          <w:rFonts w:ascii="Times New Roman" w:hAnsi="Times New Roman" w:cs="Times New Roman" w:eastAsia="宋体"/>
          <w:b w:val="0"/>
          <w:i w:val="0"/>
          <w:color w:val="000000"/>
          <w:sz w:val="24"/>
          <w:u w:val="none"/>
        </w:rPr>
        <w:t>本文并未证明“AI事件显著改变职业不安全感”，而是更稳健地揭示了：在 AI 相关公开讨论中，职业风险感知相关表达会随着平台结构、议题结构和时间进程而呈现出可识别的异质性。对当前这组社交媒体评论数据而言，这一结论比旧版本中的事件主效应更可信，也更符合学位论文应有的证据约束。换言之，本文最重要的贡献不在于替复杂现实给出过强解释，而在于把能够被明确验证的经验事实清楚地呈现出来。</w:t>
      </w:r>
    </w:p>
    <w:p>
      <w:pPr>
        <w:spacing w:before="480" w:after="480"/>
      </w:pPr>
      <w:r>
        <w:rPr>
          <w:rFonts w:ascii="Times New Roman" w:hAnsi="Times New Roman" w:cs="Times New Roman" w:eastAsia="黑体"/>
          <w:b/>
          <w:i w:val="0"/>
          <w:color w:val="00000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color w:val="000000"/>
          <w:sz w:val="32"/>
          <w:u w:val="none"/>
        </w:rPr>
        <w:t>参考文献</w:t>
      </w:r>
    </w:p>
    <w:p>
      <w:pPr>
        <w:spacing w:line="300" w:lineRule="auto"/>
        <w:ind w:left="480" w:hanging="480"/>
      </w:pPr>
      <w:r>
        <w:rPr>
          <w:rFonts w:ascii="Times New Roman" w:hAnsi="Times New Roman" w:cs="Times New Roman" w:eastAsia="宋体"/>
          <w:b w:val="0"/>
          <w:i w:val="0"/>
          <w:color w:val="000000"/>
          <w:sz w:val="24"/>
          <w:u w:val="none"/>
        </w:rPr>
        <w:t>[1] Ashford, S. J., Lee, C., &amp; Bobko, P. Content, causes, and consequences of job insecurity: A theory-based measure and substantive test[J]. Academy of Management Journal, 1989, 32(4): 803–829。 https://doi.org/10.2307/256569</w:t>
      </w:r>
    </w:p>
    <w:p>
      <w:pPr>
        <w:spacing w:line="300" w:lineRule="auto"/>
        <w:ind w:left="480" w:hanging="480"/>
      </w:pPr>
      <w:r>
        <w:rPr>
          <w:rFonts w:ascii="Times New Roman" w:hAnsi="Times New Roman" w:cs="Times New Roman" w:eastAsia="宋体"/>
          <w:b w:val="0"/>
          <w:i w:val="0"/>
          <w:color w:val="000000"/>
          <w:sz w:val="24"/>
          <w:u w:val="none"/>
        </w:rPr>
        <w:t>[2] Cheng, G. H. L., &amp; Chan, D. K. S. Who suffers more from job insecurity? A meta-analytic review[J]. Journal of Applied Psychology, 2008, 93(2): 383–402。 https://doi.org/10.1037/0021-9010.93.2.383</w:t>
      </w:r>
    </w:p>
    <w:p>
      <w:pPr>
        <w:spacing w:line="300" w:lineRule="auto"/>
        <w:ind w:left="480" w:hanging="480"/>
      </w:pPr>
      <w:r>
        <w:rPr>
          <w:rFonts w:ascii="Times New Roman" w:hAnsi="Times New Roman" w:cs="Times New Roman" w:eastAsia="宋体"/>
          <w:b w:val="0"/>
          <w:i w:val="0"/>
          <w:color w:val="000000"/>
          <w:sz w:val="24"/>
          <w:u w:val="none"/>
        </w:rPr>
        <w:t>[3] De Witte, H. Job insecurity: Review of the international literature on definitions, prevalence, antecedents and consequences[J]. SA Journal of Industrial Psychology, 2005, 31(4): 1–6。</w:t>
      </w:r>
    </w:p>
    <w:p>
      <w:pPr>
        <w:spacing w:line="300" w:lineRule="auto"/>
        <w:ind w:left="480" w:hanging="480"/>
      </w:pPr>
      <w:r>
        <w:rPr>
          <w:rFonts w:ascii="Times New Roman" w:hAnsi="Times New Roman" w:cs="Times New Roman" w:eastAsia="宋体"/>
          <w:b w:val="0"/>
          <w:i w:val="0"/>
          <w:color w:val="000000"/>
          <w:sz w:val="24"/>
          <w:u w:val="none"/>
        </w:rPr>
        <w:t>[4] Greenhalgh, L., &amp; Rosenblatt, Z. Job insecurity: Toward conceptual clarity[J]. Academy of Management Review, 1984, 9(3): 438–448。 https://doi.org/10.5465/amr.1984.4279673</w:t>
      </w:r>
    </w:p>
    <w:p>
      <w:pPr>
        <w:spacing w:line="300" w:lineRule="auto"/>
        <w:ind w:left="480" w:hanging="480"/>
      </w:pPr>
      <w:r>
        <w:rPr>
          <w:rFonts w:ascii="Times New Roman" w:hAnsi="Times New Roman" w:cs="Times New Roman" w:eastAsia="宋体"/>
          <w:b w:val="0"/>
          <w:i w:val="0"/>
          <w:color w:val="000000"/>
          <w:sz w:val="24"/>
          <w:u w:val="none"/>
        </w:rPr>
        <w:t>[5] Jiang, L., &amp; Lavaysse, L. M. Cognitive and affective job insecurity: A meta-analysis and a primary study[J]. Journal of Management, 2018, 44(6): 2307–2332。 https://doi.org/10.1177/0149206318773853</w:t>
      </w:r>
    </w:p>
    <w:p>
      <w:pPr>
        <w:spacing w:line="300" w:lineRule="auto"/>
        <w:ind w:left="480" w:hanging="480"/>
      </w:pPr>
      <w:r>
        <w:rPr>
          <w:rFonts w:ascii="Times New Roman" w:hAnsi="Times New Roman" w:cs="Times New Roman" w:eastAsia="宋体"/>
          <w:b w:val="0"/>
          <w:i w:val="0"/>
          <w:color w:val="000000"/>
          <w:sz w:val="24"/>
          <w:u w:val="none"/>
        </w:rPr>
        <w:t>[6] Sverke, M., Hellgren, J., &amp; Näswall, K. No security: A meta-analysis and review of job insecurity and its consequences[J]. Journal of Occupational Health Psychology, 2002, 7(3): 242–264。 https://doi.org/10.1037/1076-8998.7.3.242</w:t>
      </w:r>
    </w:p>
    <w:p>
      <w:pPr>
        <w:spacing w:line="300" w:lineRule="auto"/>
        <w:ind w:left="480" w:hanging="480"/>
      </w:pPr>
      <w:r>
        <w:rPr>
          <w:rFonts w:ascii="Times New Roman" w:hAnsi="Times New Roman" w:cs="Times New Roman" w:eastAsia="宋体"/>
          <w:b w:val="0"/>
          <w:i w:val="0"/>
          <w:color w:val="000000"/>
          <w:sz w:val="24"/>
          <w:u w:val="none"/>
        </w:rPr>
        <w:t>[7] Theodossiou, I. The effects of low-pay and unemployment on psychological well-being: A logistic regression approach[J]. Journal of Health Economics, 1998, 17(1): 85–104。 https://doi.org/10.1016/S0167-6296(97)00018-0</w:t>
      </w:r>
    </w:p>
    <w:p>
      <w:pPr>
        <w:spacing w:line="300" w:lineRule="auto"/>
        <w:ind w:left="480" w:hanging="480"/>
      </w:pPr>
      <w:r>
        <w:rPr>
          <w:rFonts w:ascii="Times New Roman" w:hAnsi="Times New Roman" w:cs="Times New Roman" w:eastAsia="宋体"/>
          <w:b w:val="0"/>
          <w:i w:val="0"/>
          <w:color w:val="000000"/>
          <w:sz w:val="24"/>
          <w:u w:val="none"/>
        </w:rPr>
        <w:t>[8] Arntz, M., Gregory, T., &amp; Zierahn, U. The risk of automation for jobs in OECD countries: A comparative analysis (OECD Social, Employment and Migration Working Papers, No[R]. 189). OECD Publishing 2016。 https://doi.org/10.1787/5jlz9h56dvq7-en</w:t>
      </w:r>
    </w:p>
    <w:p>
      <w:pPr>
        <w:spacing w:line="300" w:lineRule="auto"/>
        <w:ind w:left="480" w:hanging="480"/>
      </w:pPr>
      <w:r>
        <w:rPr>
          <w:rFonts w:ascii="Times New Roman" w:hAnsi="Times New Roman" w:cs="Times New Roman" w:eastAsia="宋体"/>
          <w:b w:val="0"/>
          <w:i w:val="0"/>
          <w:color w:val="000000"/>
          <w:sz w:val="24"/>
          <w:u w:val="none"/>
        </w:rPr>
        <w:t>[9] Bessen, J. E. Artificial intelligence and jobs: The role of demand[A]. In: A. Agrawal, J. Gans, &amp; A. Goldfarb (Eds.), The economics of artificial intelligence: An agenda. University of Chicago Press[C]. 2019: 237–258。 https://doi.org/10.7208/chicago/9780226613475.003.0009</w:t>
      </w:r>
    </w:p>
    <w:p>
      <w:pPr>
        <w:spacing w:line="300" w:lineRule="auto"/>
        <w:ind w:left="480" w:hanging="480"/>
      </w:pPr>
      <w:r>
        <w:rPr>
          <w:rFonts w:ascii="Times New Roman" w:hAnsi="Times New Roman" w:cs="Times New Roman" w:eastAsia="宋体"/>
          <w:b w:val="0"/>
          <w:i w:val="0"/>
          <w:color w:val="000000"/>
          <w:sz w:val="24"/>
          <w:u w:val="none"/>
        </w:rPr>
        <w:t>[10] Frey, C. B., &amp; Osborne, M. A. The future of employment: How susceptible are jobs to computerisation? Technological Forecasting and Social Change, 114, 254–280. 2017。 https://doi.org/10.1016/j.techfore.2016.08.019</w:t>
      </w:r>
    </w:p>
    <w:p>
      <w:pPr>
        <w:spacing w:line="300" w:lineRule="auto"/>
        <w:ind w:left="480" w:hanging="480"/>
      </w:pPr>
      <w:r>
        <w:rPr>
          <w:rFonts w:ascii="Times New Roman" w:hAnsi="Times New Roman" w:cs="Times New Roman" w:eastAsia="宋体"/>
          <w:b w:val="0"/>
          <w:i w:val="0"/>
          <w:color w:val="000000"/>
          <w:sz w:val="24"/>
          <w:u w:val="none"/>
        </w:rPr>
        <w:t>[11] Manyika, J., Lund, S., Chui, M., Bughin, J., Woetzel, J., Batra, P., Ko, R., &amp; Sanghvi, S. Jobs lost, jobs gained: Workforce transitions in a time of automation[R]. McKinsey Global Institute 2017。 https://www.mckinsey.com/featured-insights/future-of-work/jobs-lost-jobs-gained</w:t>
      </w:r>
    </w:p>
    <w:p>
      <w:pPr>
        <w:spacing w:line="300" w:lineRule="auto"/>
        <w:ind w:left="480" w:hanging="480"/>
      </w:pPr>
      <w:r>
        <w:rPr>
          <w:rFonts w:ascii="Times New Roman" w:hAnsi="Times New Roman" w:cs="Times New Roman" w:eastAsia="宋体"/>
          <w:b w:val="0"/>
          <w:i w:val="0"/>
          <w:color w:val="000000"/>
          <w:sz w:val="24"/>
          <w:u w:val="none"/>
        </w:rPr>
        <w:t>[12] McKinsey &amp; Company. The economic potential of generative AI: The next productivity frontier[R]. McKinsey Global Institute 2023。 https://www.mckinsey.com/capabilities/tech-and-ai/our-insights/the-economic-potential-of-generative-ai-the-next-productivity-frontier</w:t>
      </w:r>
    </w:p>
    <w:p>
      <w:pPr>
        <w:spacing w:line="300" w:lineRule="auto"/>
        <w:ind w:left="480" w:hanging="480"/>
      </w:pPr>
      <w:r>
        <w:rPr>
          <w:rFonts w:ascii="Times New Roman" w:hAnsi="Times New Roman" w:cs="Times New Roman" w:eastAsia="宋体"/>
          <w:b w:val="0"/>
          <w:i w:val="0"/>
          <w:color w:val="000000"/>
          <w:sz w:val="24"/>
          <w:u w:val="none"/>
        </w:rPr>
        <w:t>[13] World Economic Forum. The future of jobs report 2023[R]. World Economic Forum 2023。 https://www.weforum.org/reports/the-future-of-jobs-report-2023/</w:t>
      </w:r>
    </w:p>
    <w:p>
      <w:pPr>
        <w:spacing w:line="300" w:lineRule="auto"/>
        <w:ind w:left="480" w:hanging="480"/>
      </w:pPr>
      <w:r>
        <w:rPr>
          <w:rFonts w:ascii="Times New Roman" w:hAnsi="Times New Roman" w:cs="Times New Roman" w:eastAsia="宋体"/>
          <w:b w:val="0"/>
          <w:i w:val="0"/>
          <w:color w:val="000000"/>
          <w:sz w:val="24"/>
          <w:u w:val="none"/>
        </w:rPr>
        <w:t>[14] Asur, S., &amp; Huberman, B. A. Predicting the future with social media. Proceedings of the 2010 IEEE/WIC/ACM International Conference on Web Intelligence and Intelligent Agent Technology (Vol. 1, pp. 492–499). 2010。 https://doi.org/10.1109/WI-IAT.2010.26</w:t>
      </w:r>
    </w:p>
    <w:p>
      <w:pPr>
        <w:spacing w:line="300" w:lineRule="auto"/>
        <w:ind w:left="480" w:hanging="480"/>
      </w:pPr>
      <w:r>
        <w:rPr>
          <w:rFonts w:ascii="Times New Roman" w:hAnsi="Times New Roman" w:cs="Times New Roman" w:eastAsia="宋体"/>
          <w:b w:val="0"/>
          <w:i w:val="0"/>
          <w:color w:val="000000"/>
          <w:sz w:val="24"/>
          <w:u w:val="none"/>
        </w:rPr>
        <w:t>[15] Blei, D. M., Ng, A. Y., &amp; Jordan, M. I. Latent Dirichlet allocation[J]. Journal of Machine Learning Research, 2003, 3: 993–1022。</w:t>
      </w:r>
    </w:p>
    <w:p>
      <w:pPr>
        <w:spacing w:line="300" w:lineRule="auto"/>
        <w:ind w:left="480" w:hanging="480"/>
      </w:pPr>
      <w:r>
        <w:rPr>
          <w:rFonts w:ascii="Times New Roman" w:hAnsi="Times New Roman" w:cs="Times New Roman" w:eastAsia="宋体"/>
          <w:b w:val="0"/>
          <w:i w:val="0"/>
          <w:color w:val="000000"/>
          <w:sz w:val="24"/>
          <w:u w:val="none"/>
        </w:rPr>
        <w:t>[16] Box, G. E. P., Jenkins, G. M., Reinsel, G. C., &amp; Ljung, G. M. Time series analysis: Forecasting and control (5th ed.)[M]. John Wiley &amp; Sons 2015。</w:t>
      </w:r>
    </w:p>
    <w:p>
      <w:pPr>
        <w:spacing w:line="300" w:lineRule="auto"/>
        <w:ind w:left="480" w:hanging="480"/>
      </w:pPr>
      <w:r>
        <w:rPr>
          <w:rFonts w:ascii="Times New Roman" w:hAnsi="Times New Roman" w:cs="Times New Roman" w:eastAsia="宋体"/>
          <w:b w:val="0"/>
          <w:i w:val="0"/>
          <w:color w:val="000000"/>
          <w:sz w:val="24"/>
          <w:u w:val="none"/>
        </w:rPr>
        <w:t>[17] Devlin, J., Chang, M.-W., Lee, K., &amp; Toutanova, K. BERT: Pre-training of deep bidirectional transformers for language understanding. Proceedings of the 2019 Conference of the North American Chapter of the Association for Computational Linguistics (pp. 4171–4186). 2019。 https://doi.org/10.18653/v1/N19-1423</w:t>
      </w:r>
    </w:p>
    <w:p>
      <w:pPr>
        <w:spacing w:line="300" w:lineRule="auto"/>
        <w:ind w:left="480" w:hanging="480"/>
      </w:pPr>
      <w:r>
        <w:rPr>
          <w:rFonts w:ascii="Times New Roman" w:hAnsi="Times New Roman" w:cs="Times New Roman" w:eastAsia="宋体"/>
          <w:b w:val="0"/>
          <w:i w:val="0"/>
          <w:color w:val="000000"/>
          <w:sz w:val="24"/>
          <w:u w:val="none"/>
        </w:rPr>
        <w:t>[18] Ginsberg, J., Mohebbi, M. H., Patel, R. S., Brammer, L., Smolinski, M. S., &amp; Brilliant, L. Detecting influenza epidemics using search engine query data[J]. Nature, 2009, 457(7232): 1012–1014。 https://doi.org/10.1038/nature07634</w:t>
      </w:r>
    </w:p>
    <w:p>
      <w:pPr>
        <w:spacing w:line="300" w:lineRule="auto"/>
        <w:ind w:left="480" w:hanging="480"/>
      </w:pPr>
      <w:r>
        <w:rPr>
          <w:rFonts w:ascii="Times New Roman" w:hAnsi="Times New Roman" w:cs="Times New Roman" w:eastAsia="宋体"/>
          <w:b w:val="0"/>
          <w:i w:val="0"/>
          <w:color w:val="000000"/>
          <w:sz w:val="24"/>
          <w:u w:val="none"/>
        </w:rPr>
        <w:t>[19] Grootendorst, M. BERTopic: Neural topic modeling with a class-based TF-IDF procedure[EB/OL]. arXiv preprint arXiv:2203.05794, 2022。 https://arxiv.org/abs/2203.05794</w:t>
      </w:r>
    </w:p>
    <w:p>
      <w:pPr>
        <w:spacing w:line="300" w:lineRule="auto"/>
        <w:ind w:left="480" w:hanging="480"/>
      </w:pPr>
      <w:r>
        <w:rPr>
          <w:rFonts w:ascii="Times New Roman" w:hAnsi="Times New Roman" w:cs="Times New Roman" w:eastAsia="宋体"/>
          <w:b w:val="0"/>
          <w:i w:val="0"/>
          <w:color w:val="000000"/>
          <w:sz w:val="24"/>
          <w:u w:val="none"/>
        </w:rPr>
        <w:t>[20] Runge, J., Nowack, P., Kretschmer, M., Flaxman, S., &amp; Sejdinovic, D. Detecting and quantifying causal associations in large nonlinear time series datasets[J]. Science Advances, 2019, 5(11): eaau4996。 https://doi.org/10.1126/sciadv.aau4996</w:t>
      </w:r>
    </w:p>
    <w:p>
      <w:pPr>
        <w:spacing w:line="300" w:lineRule="auto"/>
        <w:ind w:left="480" w:hanging="480"/>
      </w:pPr>
      <w:r>
        <w:rPr>
          <w:rFonts w:ascii="Times New Roman" w:hAnsi="Times New Roman" w:cs="Times New Roman" w:eastAsia="宋体"/>
          <w:b w:val="0"/>
          <w:i w:val="0"/>
          <w:color w:val="000000"/>
          <w:sz w:val="24"/>
          <w:u w:val="none"/>
        </w:rPr>
        <w:t>[21] Sloan, L., Morgan, J., Burnap, P., &amp; Williams, M. L. Who tweets? Deriving the demographic characteristics of age, occupation and social class from Twitter user meta-data[J]. PLOS ONE, 2015, 10(3): e0120637。 https://doi.org/10.1371/journal.pone.0120637</w:t>
      </w:r>
    </w:p>
    <w:p>
      <w:pPr>
        <w:spacing w:line="300" w:lineRule="auto"/>
        <w:ind w:left="480" w:hanging="480"/>
      </w:pPr>
      <w:r>
        <w:rPr>
          <w:rFonts w:ascii="Times New Roman" w:hAnsi="Times New Roman" w:cs="Times New Roman" w:eastAsia="宋体"/>
          <w:b w:val="0"/>
          <w:i w:val="0"/>
          <w:color w:val="000000"/>
          <w:sz w:val="24"/>
          <w:u w:val="none"/>
        </w:rPr>
        <w:t>[22] Tetlock, P. C. Giving content to investor sentiment: The role of media in the stock market[J]. The Journal of Finance, 2007, 62(3): 1139–1168。 https://doi.org/10.1111/j.1540-6261.2007.01232.x</w:t>
      </w:r>
    </w:p>
    <w:p>
      <w:pPr>
        <w:spacing w:line="300" w:lineRule="auto"/>
        <w:ind w:left="480" w:hanging="480"/>
      </w:pPr>
      <w:r>
        <w:rPr>
          <w:rFonts w:ascii="Times New Roman" w:hAnsi="Times New Roman" w:cs="Times New Roman" w:eastAsia="宋体"/>
          <w:b w:val="0"/>
          <w:i w:val="0"/>
          <w:color w:val="000000"/>
          <w:sz w:val="24"/>
          <w:u w:val="none"/>
        </w:rPr>
        <w:t>[23] Williams, M. L., Burnap, P., &amp; Sloan, L. Towards an ethical framework for publishing Twitter data in social research: Taking into account users' views, online context and algorithmic estimation[J]. Sociology, 2017, 51(6): 1207–1225。 https://doi.org/10.1177/0038038517708815</w:t>
      </w:r>
    </w:p>
    <w:p>
      <w:pPr>
        <w:spacing w:line="300" w:lineRule="auto"/>
        <w:ind w:left="480" w:hanging="480"/>
      </w:pPr>
      <w:r>
        <w:rPr>
          <w:rFonts w:ascii="Times New Roman" w:hAnsi="Times New Roman" w:cs="Times New Roman" w:eastAsia="宋体"/>
          <w:b w:val="0"/>
          <w:i w:val="0"/>
          <w:color w:val="000000"/>
          <w:sz w:val="24"/>
          <w:u w:val="none"/>
        </w:rPr>
        <w:t>[24] Davis, F. D. Perceived usefulness, perceived ease of use, and user acceptance of information technology[J]. MIS Quarterly, 1989, 13(3): 319–340。 https://doi.org/10.2307/249008</w:t>
      </w:r>
    </w:p>
    <w:p>
      <w:pPr>
        <w:spacing w:line="300" w:lineRule="auto"/>
        <w:ind w:left="480" w:hanging="480"/>
      </w:pPr>
      <w:r>
        <w:rPr>
          <w:rFonts w:ascii="Times New Roman" w:hAnsi="Times New Roman" w:cs="Times New Roman" w:eastAsia="宋体"/>
          <w:b w:val="0"/>
          <w:i w:val="0"/>
          <w:color w:val="000000"/>
          <w:sz w:val="24"/>
          <w:u w:val="none"/>
        </w:rPr>
        <w:t>[25] Dwivedi, Y. K., Hughes, L., Ismagilova, E., Aarts, G., Coombs, C., Crick, T., Duan, Y., Dwivedi, R., Edwards, J., Eirug, A., Galanos, V., Ilavarasan, P. V., Janssen, M., Jones, P., Kumar Kar, A., Kizgin, H., Kronemann, B., Lal, B., Lucini, B., … Williams, M. D. Artificial intelligence (AI): Multidisciplinary perspectives on emerging challenges, opportunities, and agenda for research, practice and policy[J]. International Journal of Information Management, 2021, 57: 101994。 https://doi.org/10.1016/j.ijinfomgt.2019.08.002</w:t>
      </w:r>
    </w:p>
    <w:p>
      <w:pPr>
        <w:spacing w:line="300" w:lineRule="auto"/>
        <w:ind w:left="480" w:hanging="480"/>
      </w:pPr>
      <w:r>
        <w:rPr>
          <w:rFonts w:ascii="Times New Roman" w:hAnsi="Times New Roman" w:cs="Times New Roman" w:eastAsia="宋体"/>
          <w:b w:val="0"/>
          <w:i w:val="0"/>
          <w:color w:val="000000"/>
          <w:sz w:val="24"/>
          <w:u w:val="none"/>
        </w:rPr>
        <w:t>[26] Hobfoll, S. E. Conservation of resources: A new attempt at conceptualizing stress[J]. American Psychologist, 1989, 44(3): 513–524。 https://doi.org/10.1037/0003-066X.44.3.513</w:t>
      </w:r>
    </w:p>
    <w:p>
      <w:pPr>
        <w:spacing w:line="300" w:lineRule="auto"/>
        <w:ind w:left="480" w:hanging="480"/>
      </w:pPr>
      <w:r>
        <w:rPr>
          <w:rFonts w:ascii="Times New Roman" w:hAnsi="Times New Roman" w:cs="Times New Roman" w:eastAsia="宋体"/>
          <w:b w:val="0"/>
          <w:i w:val="0"/>
          <w:color w:val="000000"/>
          <w:sz w:val="24"/>
          <w:u w:val="none"/>
        </w:rPr>
        <w:t>[27] Hobfoll, S. E., Halbesleben, J., Neveu, J.-P., &amp; Westman, M. Conservation of resources in the organizational context: The reality of resources and their consequences[J]. Annual Review of Organizational Psychology and Organizational Behavior, 2018, 5: 103–128。 https://doi.org/10.1146/annurev-orgpsych-032117-104640</w:t>
      </w:r>
    </w:p>
    <w:p>
      <w:pPr>
        <w:spacing w:line="300" w:lineRule="auto"/>
        <w:ind w:left="480" w:hanging="480"/>
      </w:pPr>
      <w:r>
        <w:rPr>
          <w:rFonts w:ascii="Times New Roman" w:hAnsi="Times New Roman" w:cs="Times New Roman" w:eastAsia="宋体"/>
          <w:b w:val="0"/>
          <w:i w:val="0"/>
          <w:color w:val="000000"/>
          <w:sz w:val="24"/>
          <w:u w:val="none"/>
        </w:rPr>
        <w:t>[28] Lent, R. W., Brown, S. D., &amp; Hackett, G. Toward a unifying social cognitive theory of career and academic interest, choice, and performance[J]. Journal of Vocational Behavior, 1994, 45(1): 79–122。 https://doi.org/10.1006/jvbe.1994.1027</w:t>
      </w:r>
    </w:p>
    <w:p>
      <w:pPr>
        <w:spacing w:line="300" w:lineRule="auto"/>
        <w:ind w:left="480" w:hanging="480"/>
      </w:pPr>
      <w:r>
        <w:rPr>
          <w:rFonts w:ascii="Times New Roman" w:hAnsi="Times New Roman" w:cs="Times New Roman" w:eastAsia="宋体"/>
          <w:b w:val="0"/>
          <w:i w:val="0"/>
          <w:color w:val="000000"/>
          <w:sz w:val="24"/>
          <w:u w:val="none"/>
        </w:rPr>
        <w:t>[29] Mostafa, M. M. Artificial intelligence anxiety: Psychometric validation of the AI anxiety scale[J]. Computers in Human Behavior, 2021, 114: 106567。 https://doi.org/10.1016/j.chb.2020.106567</w:t>
      </w:r>
    </w:p>
    <w:p>
      <w:pPr>
        <w:spacing w:line="300" w:lineRule="auto"/>
        <w:ind w:left="480" w:hanging="480"/>
      </w:pPr>
      <w:r>
        <w:rPr>
          <w:rFonts w:ascii="Times New Roman" w:hAnsi="Times New Roman" w:cs="Times New Roman" w:eastAsia="宋体"/>
          <w:b w:val="0"/>
          <w:i w:val="0"/>
          <w:color w:val="000000"/>
          <w:sz w:val="24"/>
          <w:u w:val="none"/>
        </w:rPr>
        <w:t>[30] Bommasani, R., Hudson, D. A., Adeli, E., Altman, R., Arora, S., von Arx, S., Bernstein, M. S., Bohg, J., Bosselut, A., Brunskill, E., Brynjolfsson, E., Buch, S., Card, D., Castellon, R., Chatterji, N., Chen, A., Creel, K., Davis, J. Q., Demszky, D., … Liang, P. On the opportunities and risks of foundation models[EB/OL]. arXiv preprint arXiv:2108.07258, 2021。 https://arxiv.org/abs/2108.07258</w:t>
      </w:r>
    </w:p>
    <w:p>
      <w:pPr>
        <w:pStyle w:val="Heading1"/>
        <w:spacing w:line="240" w:lineRule="auto" w:before="240" w:after="240"/>
        <w:jc w:val="center"/>
      </w:pPr>
      <w:r>
        <w:rPr>
          <w:rFonts w:ascii="Times New Roman" w:hAnsi="Times New Roman" w:cs="Times New Roman" w:eastAsia="黑体"/>
          <w:b/>
          <w:i w:val="0"/>
          <w:color w:val="000000"/>
          <w:sz w:val="32"/>
          <w:u w:val="none"/>
        </w:rPr>
        <w:t>致谢</w:t>
      </w:r>
    </w:p>
    <w:p>
      <w:pPr>
        <w:spacing w:line="300" w:lineRule="auto"/>
        <w:ind w:firstLine="480"/>
      </w:pPr>
      <w:r>
        <w:rPr>
          <w:rFonts w:ascii="Times New Roman" w:hAnsi="Times New Roman" w:cs="Times New Roman" w:eastAsia="宋体"/>
          <w:b w:val="0"/>
          <w:i w:val="0"/>
          <w:color w:val="000000"/>
          <w:sz w:val="24"/>
          <w:u w:val="none"/>
        </w:rPr>
        <w:t>在论文完成过程中，笔者得到学院教师、课程老师与同学们的帮助和支持。谨向所有在选题讨论、资料整理、写作修改和研究推进过程中给予关心与建议的师长和同学表示诚挚感谢。同时，也感谢相关平台公开信息为本研究提供的数据基础。文中如有疏漏与不足，均由笔者本人负责。</w:t>
      </w:r>
    </w:p>
    <w:sectPr w:rsidR="00FC693F" w:rsidRPr="0006063C" w:rsidSect="00034616">
      <w:headerReference w:type="default" r:id="rId13"/>
      <w:footerReference w:type="default" r:id="rId14"/>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color w:val="000000"/>
        <w:sz w:val="21"/>
        <w:u w:val="none"/>
      </w:rPr>
      <w:t>第</w:t>
    </w: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1</w:t>
    </w:r>
    <w:r>
      <w:fldChar w:fldCharType="end"/>
    </w:r>
    <w:r>
      <w:rPr>
        <w:rFonts w:ascii="Times New Roman" w:hAnsi="Times New Roman" w:cs="Times New Roman" w:eastAsia="宋体"/>
        <w:b w:val="0"/>
        <w:i w:val="0"/>
        <w:color w:val="00000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