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2A44"/>
          <w:sz w:val="64"/>
          <w:szCs w:val="64"/>
        </w:rPr>
        <w:t xml:space="preserve">INTELLIA360</w:t>
      </w:r>
    </w:p>
    <w:p>
      <w:pPr>
        <w:spacing w:after="100" w:before="200"/>
        <w:jc w:val="center"/>
      </w:pPr>
      <w:r>
        <w:rPr>
          <w:b/>
          <w:bCs/>
          <w:color w:val="2E6BE6"/>
          <w:sz w:val="34"/>
          <w:szCs w:val="34"/>
        </w:rPr>
        <w:t xml:space="preserve">Technical Requirements Document (TRD)</w:t>
      </w:r>
    </w:p>
    <w:p>
      <w:pPr>
        <w:spacing w:after="600"/>
        <w:jc w:val="center"/>
      </w:pPr>
      <w:r>
        <w:rPr>
          <w:i/>
          <w:iCs/>
          <w:color w:val="5B6472"/>
          <w:sz w:val="24"/>
          <w:szCs w:val="24"/>
        </w:rPr>
        <w:t xml:space="preserve">Architecture, Data Model &amp; API Specification</w:t>
      </w:r>
    </w:p>
    <w:p>
      <w:pPr>
        <w:spacing w:after="80"/>
        <w:jc w:val="center"/>
      </w:pPr>
      <w:r>
        <w:rPr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sz w:val="22"/>
          <w:szCs w:val="22"/>
        </w:rPr>
        <w:t xml:space="preserve">Prepared for: Intellia360 (intellia360.com)</w:t>
      </w:r>
    </w:p>
    <w:p>
      <w:pPr>
        <w:spacing w:after="80"/>
        <w:jc w:val="center"/>
      </w:pPr>
      <w:r>
        <w:rPr>
          <w:sz w:val="22"/>
          <w:szCs w:val="22"/>
        </w:rPr>
        <w:t xml:space="preserve">Date: July 28, 2026</w:t>
      </w:r>
    </w:p>
    <w:p>
      <w:pPr>
        <w:spacing w:after="1200"/>
        <w:jc w:val="center"/>
      </w:pPr>
      <w:r>
        <w:rPr>
          <w:b/>
          <w:bCs/>
          <w:color w:val="B02A2A"/>
          <w:sz w:val="22"/>
          <w:szCs w:val="22"/>
        </w:rPr>
        <w:t xml:space="preserve">Status: Draft for Review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1. Document Control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500"/>
        <w:gridCol w:w="3850"/>
      </w:tblGrid>
      <w:tr>
        <w:trPr>
          <w:tblHeader/>
        </w:trPr>
        <w:tc>
          <w:tcPr>
            <w:tcW w:type="dxa" w:w="1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Jul 2026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Initial draft based on internal architecture roadmap notes</w:t>
            </w:r>
          </w:p>
        </w:tc>
      </w:tr>
      <w:tr>
        <w:tc>
          <w:tcPr>
            <w:tcW w:type="dxa" w:w="14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Jul 2026</w:t>
            </w:r>
          </w:p>
        </w:tc>
        <w:tc>
          <w:tcPr>
            <w:tcW w:type="dxa" w:w="25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8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First complete draft aligned to PRD v1.0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2. Purpose &amp; Related Documents</w:t>
      </w:r>
    </w:p>
    <w:p>
      <w:pPr>
        <w:spacing w:after="140" w:line="300"/>
      </w:pPr>
      <w:r>
        <w:rPr>
          <w:color w:val="222831"/>
          <w:sz w:val="21"/>
          <w:szCs w:val="21"/>
        </w:rPr>
        <w:t xml:space="preserve">This Technical Requirements Document (TRD) translates the Intellia360 Product Requirements Document (PRD) v1.0 into a concrete system architecture, technology stack, data model, and API design. It is intended for the engineering team building the platform that will replace the current WordPress/LearnPress implementation of intellia360.com.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3. Guiding Technical Principles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Treat Intellia360 as a SaaS product, not a marketing website — separate the public site from the application.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Modular, service-oriented backend so Learning, Gamification, AI, Payments, and Reports can evolve independently.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Asynchronous processing for anything reward- or notification-related, so the user-facing request path stays fast.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Design the data model and APIs to support multiple roles (Student, Parent, Teacher, Admin, School) from day 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Keep AI providers pluggable (OpenAI, Gemini) behind an internal AI service abstraction.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4. High-Level Architecture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B2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┌─────────────────────────────┐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│   React / Next.js (Frontend)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└───────────────┬─────────────┘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           │  REST API / GraphQL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┌───────────────▼─────────────┐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│         NestJS Backend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└───────────────┬─────────────┘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┌───────────────▼─────────────┐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│      PostgreSQL Database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└───────────────┬─────────────┘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┌───────────────▼─────────────┐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│   Redis — Queue — WebSockets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└───────────────┬─────────────┘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┌───────────────▼─────────────┐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│  Storage (S3 / Cloudflare R2)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└───────────────┬─────────────┘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┌───────────────▼─────────────┐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│  AI Services (OpenAI, Gemini)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└───────────────────────────────┘</w:t>
            </w:r>
          </w:p>
        </w:tc>
      </w:tr>
    </w:tbl>
    <w:p>
      <w:pPr>
        <w:spacing w:after="140" w:line="300"/>
      </w:pPr>
      <w:r>
        <w:rPr>
          <w:color w:val="222831"/>
          <w:sz w:val="21"/>
          <w:szCs w:val="21"/>
        </w:rPr>
        <w:t xml:space="preserve">The Next.js frontend communicates with the NestJS backend over REST (GraphQL optional for complex read-heavy dashboard queries). NestJS is the single backend of record, reading/writing PostgreSQL, using Redis for caching, queues (BullMQ), and WebSocket pub/sub, and delegating file storage to S3-compatible object storage and AI workloads to external LLM providers.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5. 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Frontend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Next.js (React + TypeScript)</w:t>
            </w:r>
          </w:p>
        </w:tc>
      </w:tr>
      <w:tr>
        <w:tc>
          <w:tcPr>
            <w:tcW w:type="dxa" w:w="2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Backend</w:t>
            </w:r>
          </w:p>
        </w:tc>
        <w:tc>
          <w:tcPr>
            <w:tcW w:type="dxa" w:w="67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NestJS (Node.js + TypeScript)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Database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ORM</w:t>
            </w:r>
          </w:p>
        </w:tc>
        <w:tc>
          <w:tcPr>
            <w:tcW w:type="dxa" w:w="67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Prisma (or TypeORM if aligning with NestJS conventions)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Cache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Queue</w:t>
            </w:r>
          </w:p>
        </w:tc>
        <w:tc>
          <w:tcPr>
            <w:tcW w:type="dxa" w:w="67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BullMQ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JWT + Refresh Tokens</w:t>
            </w:r>
          </w:p>
        </w:tc>
      </w:tr>
      <w:tr>
        <w:tc>
          <w:tcPr>
            <w:tcW w:type="dxa" w:w="2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7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Cloudflare R2 or AWS S3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AI Providers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OpenAI (GPT) + Google Gemini</w:t>
            </w:r>
          </w:p>
        </w:tc>
      </w:tr>
      <w:tr>
        <w:tc>
          <w:tcPr>
            <w:tcW w:type="dxa" w:w="2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Real-time</w:t>
            </w:r>
          </w:p>
        </w:tc>
        <w:tc>
          <w:tcPr>
            <w:tcW w:type="dxa" w:w="67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Socket.IO (WebSockets)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Docker + Nginx + PM2</w:t>
            </w:r>
          </w:p>
        </w:tc>
      </w:tr>
      <w:tr>
        <w:tc>
          <w:tcPr>
            <w:tcW w:type="dxa" w:w="2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7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Grafana + Prometheus, or Sentry for error tracking</w:t>
            </w:r>
          </w:p>
        </w:tc>
      </w:tr>
    </w:tbl>
    <w:p>
      <w:pPr>
        <w:spacing w:after="140" w:line="300"/>
      </w:pPr>
      <w:r>
        <w:rPr>
          <w:color w:val="222831"/>
          <w:sz w:val="21"/>
          <w:szCs w:val="21"/>
        </w:rPr>
        <w:t xml:space="preserve">Recommended combination: Next.js + NestJS + PostgreSQL + Prisma + Redis + BullMQ + Cloudflare R2. This stack cleanly separates frontend and backend, scales horizontally, and supports the real-time and AI-driven features central to the product.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6. Backend Module Structure</w:t>
      </w:r>
    </w:p>
    <w:p>
      <w:pPr>
        <w:spacing w:after="140" w:line="300"/>
      </w:pPr>
      <w:r>
        <w:rPr>
          <w:color w:val="222831"/>
          <w:sz w:val="21"/>
          <w:szCs w:val="21"/>
        </w:rPr>
        <w:t xml:space="preserve">The NestJS backend is organized into feature modules mapped directly to the product structure, keeping the codebase modular and independently testable: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B2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src/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auth/            users/          students/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parents/         teachers/       courses/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lessons/         quizzes/        worksheets/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gamification/    leaderboard/    badges/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coins/           xp/             rewards/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payments/        subscriptions/  reports/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ai/              common/         config/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database/        uploads/        main.ts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7. Roles &amp; Authentication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1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Mechanism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JWT access tokens (short-lived) + refresh tokens (long-lived, rotated on use).</w:t>
            </w:r>
          </w:p>
        </w:tc>
      </w:tr>
      <w:tr>
        <w:tc>
          <w:tcPr>
            <w:tcW w:type="dxa" w:w="22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Roles</w:t>
            </w:r>
          </w:p>
        </w:tc>
        <w:tc>
          <w:tcPr>
            <w:tcW w:type="dxa" w:w="71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Admin, Student, Parent, Teacher, School, Coach — each with a distinct, scoped permission set.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Guards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NestJS route guards enforce role- and ownership-based access (e.g., a Parent can only read data for their linked Students).</w:t>
            </w:r>
          </w:p>
        </w:tc>
      </w:tr>
      <w:tr>
        <w:tc>
          <w:tcPr>
            <w:tcW w:type="dxa" w:w="22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71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bcrypt-hashed; never stored or logged in plaintext.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Session handling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Refresh tokens stored server-side (or as httpOnly cookies) to support revocation and device management.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8. Data Model</w:t>
      </w:r>
    </w:p>
    <w:p>
      <w:pPr>
        <w:spacing w:after="140" w:line="300"/>
      </w:pPr>
      <w:r>
        <w:rPr>
          <w:color w:val="222831"/>
          <w:sz w:val="21"/>
          <w:szCs w:val="21"/>
        </w:rPr>
        <w:t xml:space="preserve">Core entities required to support the product structure. Field-level schema should be finalized during implementation; this section defines entities and relationships.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Group</w:t>
            </w:r>
          </w:p>
        </w:tc>
        <w:tc>
          <w:tcPr>
            <w:tcW w:type="dxa" w:w="71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Tables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Identity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Users, Profiles, Schools, Students, Parents, Teachers</w:t>
            </w:r>
          </w:p>
        </w:tc>
      </w:tr>
      <w:tr>
        <w:tc>
          <w:tcPr>
            <w:tcW w:type="dxa" w:w="22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Learning</w:t>
            </w:r>
          </w:p>
        </w:tc>
        <w:tc>
          <w:tcPr>
            <w:tcW w:type="dxa" w:w="71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Courses, Lessons, Chapters, Topics, Quiz, Questions, Answers, Student_Progress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XP, Coins, Badges, Achievements, Leaderboards</w:t>
            </w:r>
          </w:p>
        </w:tc>
      </w:tr>
      <w:tr>
        <w:tc>
          <w:tcPr>
            <w:tcW w:type="dxa" w:w="22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Commerce</w:t>
            </w:r>
          </w:p>
        </w:tc>
        <w:tc>
          <w:tcPr>
            <w:tcW w:type="dxa" w:w="71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Subscriptions, Payments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Engagement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Notifications, Reports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8.1 Key Relationships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 Parent has a many-to-many relationship to Student (one parent can have multiple children; a student profile could in principle be linked to more than one guardian).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 School has many Teachers and many Students; a Teacher can be associated with multiple Students via class/section assignments.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 Course has many Lessons, grouped under Chapters/Topics; each Lesson can have one or more Quizzes.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Student_Progress links a Student to a Lesson/Course with completion status, score, and timestamps — this is the primary feed for both the Gamification engine and Reports.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XP, Coins, Badges, and Achievements are all keyed off Student ID and populated by gamification events, not written directly by the client.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9. API Design</w:t>
      </w:r>
    </w:p>
    <w:p>
      <w:pPr>
        <w:spacing w:after="140" w:line="300"/>
      </w:pPr>
      <w:r>
        <w:rPr>
          <w:color w:val="222831"/>
          <w:sz w:val="21"/>
          <w:szCs w:val="21"/>
        </w:rPr>
        <w:t xml:space="preserve">Representative REST endpoints covering the core product surface. Full OpenAPI/Swagger documentation should be generated via @nestjs/swagger and kept in sync with implementation.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B2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POST   /login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POST   /register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GET    /profile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GET    /courses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GET    /course/:id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GET    /lesson/:id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POST   /quiz/start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POST   /quiz/submit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GET    /leaderboard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GET    /badges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GET    /xp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POST   /payment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GET    /reports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POST   /ai/chat</w:t>
            </w:r>
          </w:p>
        </w:tc>
      </w:tr>
    </w:tbl>
    <w:p>
      <w:pPr>
        <w:spacing w:after="140" w:line="300"/>
      </w:pPr>
      <w:r>
        <w:rPr>
          <w:color w:val="222831"/>
          <w:sz w:val="21"/>
          <w:szCs w:val="21"/>
        </w:rPr>
        <w:t xml:space="preserve">Additional endpoints (to be detailed during API design) should cover: parent-child linking, teacher class/assignment management, school admin bulk operations, coupon validation, and invoice retrieval.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10. Gamification Engine</w:t>
      </w:r>
    </w:p>
    <w:p>
      <w:pPr>
        <w:spacing w:after="140" w:line="300"/>
      </w:pPr>
      <w:r>
        <w:rPr>
          <w:color w:val="222831"/>
          <w:sz w:val="21"/>
          <w:szCs w:val="21"/>
        </w:rPr>
        <w:t xml:space="preserve">The gamification engine reacts to learning events asynchronously so reward processing never blocks the core lesson/quiz request path.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B2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Lesson Completed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+50 XP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+10 Coins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Check Badge Criteria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Update Leaderboard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Send Notification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     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Unlock Next Mission</w:t>
            </w:r>
          </w:p>
        </w:tc>
      </w:tr>
    </w:tbl>
    <w:p>
      <w:pPr>
        <w:spacing w:after="140" w:line="300"/>
      </w:pPr>
      <w:r>
        <w:rPr>
          <w:color w:val="222831"/>
          <w:sz w:val="21"/>
          <w:szCs w:val="21"/>
        </w:rPr>
        <w:t xml:space="preserve">Implementation notes: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Emit a domain event (e.g., LessonCompletedEvent) from the Learning module rather than calling gamification logic inline.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 BullMQ worker consumes the event, applies XP/Coin rules, evaluates badge criteria, and updates the leaderboard cache in Redis.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Leaderboard reads are served from Redis (sorted sets) for low-latency, near real-time ranking; PostgreSQL remains the system of record.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Notifications are pushed over WebSockets (Socket.IO) to connected clients, with a fallback to in-app notification storage for offline users.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11. AI Integration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7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AI Tutor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Conversational assistant scoped to the current lesson's curriculum context.</w:t>
            </w:r>
          </w:p>
        </w:tc>
      </w:tr>
      <w:tr>
        <w:tc>
          <w:tcPr>
            <w:tcW w:type="dxa" w:w="2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AI Hint Generator</w:t>
            </w:r>
          </w:p>
        </w:tc>
        <w:tc>
          <w:tcPr>
            <w:tcW w:type="dxa" w:w="67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Produces a graduated hint for a quiz/worksheet question without revealing the final answer directly.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AI Question Generator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Generates supplementary quiz questions aligned to a lesson's learning objective.</w:t>
            </w:r>
          </w:p>
        </w:tc>
      </w:tr>
      <w:tr>
        <w:tc>
          <w:tcPr>
            <w:tcW w:type="dxa" w:w="2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AI Worksheet Generator</w:t>
            </w:r>
          </w:p>
        </w:tc>
        <w:tc>
          <w:tcPr>
            <w:tcW w:type="dxa" w:w="67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Produces practice worksheets targeted at a student's current level.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Story Generator (ThinkTales)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Generates narrative-based learning content for the ThinkTales product line.</w:t>
            </w:r>
          </w:p>
        </w:tc>
      </w:tr>
      <w:tr>
        <w:tc>
          <w:tcPr>
            <w:tcW w:type="dxa" w:w="2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Parent Progress Summary</w:t>
            </w:r>
          </w:p>
        </w:tc>
        <w:tc>
          <w:tcPr>
            <w:tcW w:type="dxa" w:w="67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Converts raw progress/analytics data into a natural-language summary for parents.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Teacher Lesson Planner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Assists teachers in drafting lesson plans aligned to the curriculum.</w:t>
            </w:r>
          </w:p>
        </w:tc>
      </w:tr>
    </w:tbl>
    <w:p>
      <w:pPr>
        <w:spacing w:after="140" w:line="300"/>
      </w:pPr>
      <w:r>
        <w:rPr>
          <w:color w:val="222831"/>
          <w:sz w:val="21"/>
          <w:szCs w:val="21"/>
        </w:rPr>
        <w:t xml:space="preserve">All AI features route through an internal AI service module that abstracts the underlying provider (OpenAI or Gemini), enforces per-user rate limits, logs prompts/responses for safety review, and applies content-safety filtering appropriate for a predominantly K-10 user base.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12. File Storage</w:t>
      </w:r>
    </w:p>
    <w:p>
      <w:pPr>
        <w:spacing w:after="140" w:line="300"/>
      </w:pPr>
      <w:r>
        <w:rPr>
          <w:color w:val="222831"/>
          <w:sz w:val="21"/>
          <w:szCs w:val="21"/>
        </w:rPr>
        <w:t xml:space="preserve">Videos, worksheets, certificates, and profile photos are stored in S3-compatible object storage (Cloudflare R2 recommended for cost, or AWS S3), accessed via signed URLs. The backend never proxies large binary files directly; it issues time-limited signed upload/download URLs.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13. Environment Configuration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B2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DATABASE_URL=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JWT_SECRET=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OPENAI_KEY=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AWS_KEY=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AWS_SECRET=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REDIS_URL=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9EEF9"/>
                <w:sz w:val="19"/>
                <w:szCs w:val="19"/>
              </w:rPr>
              <w:t xml:space="preserve">PORT=3000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14. Deployment Architecture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Docker containers managed with PM2, fronted by Nginx as reverse proxy/TLS terminator.</w:t>
            </w:r>
          </w:p>
        </w:tc>
      </w:tr>
      <w:tr>
        <w:tc>
          <w:tcPr>
            <w:tcW w:type="dxa" w:w="2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Database</w:t>
            </w:r>
          </w:p>
        </w:tc>
        <w:tc>
          <w:tcPr>
            <w:tcW w:type="dxa" w:w="67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Managed PostgreSQL instance (with automated backups and point-in-time recovery).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Managed or self-hosted Redis.</w:t>
            </w:r>
          </w:p>
        </w:tc>
      </w:tr>
      <w:tr>
        <w:tc>
          <w:tcPr>
            <w:tcW w:type="dxa" w:w="26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7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Cloudflare R2 (or AWS S3).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Hosting options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DigitalOcean or Hetzner for cost-efficient production hosting; AWS for enterprise-scale needs; Railway for early development/staging.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15. Security &amp; Compliance Considerations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TLS everywhere; HSTS enabled on all public endpoints.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Role-based access control enforced at the API layer, never trusted from the client.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Given a predominantly minor user base, apply data minimization, parental consent flows for account creation where required, and restrict AI Tutor conversation scope/topics accordingly.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Rate limiting and abuse detection on authentication and AI endpoints.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Regular dependency and container image vulnerability scanning.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Structured audit logging for admin actions (user management, content changes, payment operations).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16. Monitoring &amp; Observability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Centralized error tracking via Sentry (or equivalent).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Infrastructure and application metrics via Prometheus, visualized in Grafana.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Queue health dashboards for BullMQ (job failure rate, backlog size) given the gamification engine's reliance on async processing.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Uptime and latency monitoring against the NFR targets defined in the PRD (99.5% availability, sub-2s page loads).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17. Development Roadmap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50"/>
      </w:tblGrid>
      <w:tr>
        <w:trPr>
          <w:tblHeader/>
        </w:trPr>
        <w:tc>
          <w:tcPr>
            <w:tcW w:type="dxa" w:w="1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1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JWT authentication, user roles, PostgreSQL setup, Student/Parent/Teacher models, basic landing pages.</w:t>
            </w:r>
          </w:p>
        </w:tc>
      </w:tr>
      <w:tr>
        <w:tc>
          <w:tcPr>
            <w:tcW w:type="dxa" w:w="14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61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Courses and lessons, quiz engine, progress tracking, dashboard shells.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XP and rewards, coins, badges, leaderboards, daily missions.</w:t>
            </w:r>
          </w:p>
        </w:tc>
      </w:tr>
      <w:tr>
        <w:tc>
          <w:tcPr>
            <w:tcW w:type="dxa" w:w="14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Weeks 7–8</w:t>
            </w:r>
          </w:p>
        </w:tc>
        <w:tc>
          <w:tcPr>
            <w:tcW w:type="dxa" w:w="6150"/>
            <w:shd w:fill="EF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AI Tutor, AI-generated quizzes, worksheets, story generation (ThinkTales).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Weeks 9–10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831"/>
                <w:sz w:val="20"/>
                <w:szCs w:val="20"/>
              </w:rPr>
              <w:t xml:space="preserve">Payments, parent analytics, teacher reports, school administration, notifications.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BE6"/>
          <w:sz w:val="24"/>
          <w:szCs w:val="24"/>
        </w:rPr>
        <w:t xml:space="preserve">17.1 Suggested First Setup Steps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Scaffold the backend: npm i -g @nestjs/cli &amp;&amp; nest new intellia360-api.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Install core packages: @nestjs/config, @nestjs/typeorm or Prisma, passport/passport-jwt, class-validator, @nestjs/swagger, @nestjs/websockets + socket.io, ioredis + @nestjs/bull.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Establish the module skeleton (auth, users, students, parents, teachers, courses, lessons, quizzes, gamification, payments, reports, ai, common, config, database).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Stand up PostgreSQL and Redis (locally via Docker Compose; Railway for shared early-dev environments).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Define the initial schema for Identity and Learning entities before building gamification/AI on top.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18. Open Technical Decisions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Prisma vs. TypeORM as the ORM of record — Prisma offers a better developer experience; TypeORM integrates more natively with NestJS conventions.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REST-only vs. adding a GraphQL layer for dashboard-heavy read queries (Parent/Teacher/Admin analytics).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Whether the public marketing site is rebuilt in Next.js alongside the app or migrated separately, with SSO bridging the two in the interim.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Single AI provider vs. multi-provider routing (OpenAI vs. Gemini) for cost/quality optimization per feature.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19. Appendix</w:t>
      </w:r>
    </w:p>
    <w:p>
      <w:pPr>
        <w:spacing w:after="140" w:line="300"/>
      </w:pPr>
      <w:r>
        <w:rPr>
          <w:color w:val="222831"/>
          <w:sz w:val="21"/>
          <w:szCs w:val="21"/>
        </w:rPr>
        <w:t xml:space="preserve">This TRD should be read alongside the Intellia360 PRD v1.0 and the internal architecture/roadmap notes it was derived from. Data model field definitions, full OpenAPI specification, and infrastructure-as-code should be maintained as living documents in the engineering repository once implementation begins.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Page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6"/>
        <w:szCs w:val="16"/>
      </w:rPr>
      <w:t xml:space="preserve"> of </w:t>
    </w:r>
    <w:r>
      <w:rPr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2"/>
        <w:sz w:val="16"/>
        <w:szCs w:val="16"/>
      </w:rPr>
      <w:t xml:space="preserve">Intellia360 — Technical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2026-07-28T11:01:02.946Z</dcterms:created>
  <dcterms:modified xsi:type="dcterms:W3CDTF">2026-07-28T11:01:02.946Z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