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40"/>
          <w:szCs w:val="40"/>
        </w:rPr>
        <w:t xml:space="preserve">Modeling Narrative: From Deep Learning to Shallow Methods</w:t>
      </w:r>
    </w:p>
    <w:p>
      <w:pPr>
        <w:spacing w:after="160" w:before="0"/>
        <w:jc w:val="center"/>
      </w:pPr>
      <w:r>
        <w:rPr>
          <w:rFonts w:ascii="Arial" w:cs="Arial" w:eastAsia="Arial" w:hAnsi="Arial"/>
          <w:color w:val="555555"/>
          <w:sz w:val="26"/>
          <w:szCs w:val="26"/>
        </w:rPr>
        <w:t xml:space="preserve">DSAN 5300 — Statistical Learning  |  Final Project</w:t>
      </w:r>
    </w:p>
    <w:p>
      <w:pPr>
        <w:spacing w:after="600" w:before="0"/>
        <w:jc w:val="center"/>
      </w:pPr>
      <w:r>
        <w:rPr>
          <w:rFonts w:ascii="Arial" w:cs="Arial" w:eastAsia="Arial" w:hAnsi="Arial"/>
          <w:color w:val="555555"/>
          <w:sz w:val="24"/>
          <w:szCs w:val="24"/>
        </w:rPr>
        <w:t xml:space="preserve">Jeff Pinarchick &amp; Bryce Grover  |  April 2026</w:t>
      </w:r>
    </w:p>
    <w:p>
      <w:pPr>
        <w:pBdr>
          <w:bottom w:val="single" w:color="2E75B6" w:sz="6" w:space="1"/>
        </w:pBdr>
        <w:spacing w:after="120" w:before="120"/>
      </w:pPr>
      <w:r>
        <w:t xml:space="preserve"/>
      </w:r>
    </w:p>
    <w:p>
      <w:pPr>
        <w:pStyle w:val="Heading1"/>
        <w:spacing w:after="200" w:before="360"/>
      </w:pPr>
      <w:r>
        <w:rPr>
          <w:rFonts w:ascii="Arial" w:cs="Arial" w:eastAsia="Arial" w:hAnsi="Arial"/>
          <w:b/>
          <w:bCs/>
          <w:sz w:val="32"/>
          <w:szCs w:val="32"/>
        </w:rPr>
        <w:t xml:space="preserve">1. Overview</w:t>
      </w:r>
    </w:p>
    <w:p>
      <w:pPr>
        <w:spacing w:after="160" w:before="80"/>
        <w:jc w:val="both"/>
      </w:pPr>
      <w:r>
        <w:rPr>
          <w:rFonts w:ascii="Arial" w:cs="Arial" w:eastAsia="Arial" w:hAnsi="Arial"/>
          <w:sz w:val="24"/>
          <w:szCs w:val="24"/>
        </w:rPr>
        <w:t xml:space="preserve">This document provides a full account of the modeling work conducted for the DSAN 5300 final project. It describes the initial deep learning approach developed by Jeff (</w:t>
      </w:r>
      <w:r>
        <w:rPr>
          <w:rFonts w:ascii="Courier New" w:cs="Courier New" w:eastAsia="Courier New" w:hAnsi="Courier New"/>
          <w:sz w:val="22"/>
          <w:szCs w:val="22"/>
        </w:rPr>
        <w:t xml:space="preserve">test_model.ipynb</w:t>
      </w:r>
      <w:r>
        <w:rPr>
          <w:rFonts w:ascii="Arial" w:cs="Arial" w:eastAsia="Arial" w:hAnsi="Arial"/>
          <w:sz w:val="24"/>
          <w:szCs w:val="24"/>
        </w:rPr>
        <w:t xml:space="preserve">), the corrections and expansions applied in a revised deep learning notebook (</w:t>
      </w:r>
      <w:r>
        <w:rPr>
          <w:rFonts w:ascii="Courier New" w:cs="Courier New" w:eastAsia="Courier New" w:hAnsi="Courier New"/>
          <w:sz w:val="22"/>
          <w:szCs w:val="22"/>
        </w:rPr>
        <w:t xml:space="preserve">expanded_features_model.ipynb</w:t>
      </w:r>
      <w:r>
        <w:rPr>
          <w:rFonts w:ascii="Arial" w:cs="Arial" w:eastAsia="Arial" w:hAnsi="Arial"/>
          <w:sz w:val="24"/>
          <w:szCs w:val="24"/>
        </w:rPr>
        <w:t xml:space="preserve">), and the rationale that ultimately led to a pivot toward shallow machine learning methods in Bryce's primary modeling notebook (</w:t>
      </w:r>
      <w:r>
        <w:rPr>
          <w:rFonts w:ascii="Courier New" w:cs="Courier New" w:eastAsia="Courier New" w:hAnsi="Courier New"/>
          <w:sz w:val="22"/>
          <w:szCs w:val="22"/>
        </w:rPr>
        <w:t xml:space="preserve">shallow_methods_of_prediction.ipynb</w:t>
      </w:r>
      <w:r>
        <w:rPr>
          <w:rFonts w:ascii="Arial" w:cs="Arial" w:eastAsia="Arial" w:hAnsi="Arial"/>
          <w:sz w:val="24"/>
          <w:szCs w:val="24"/>
        </w:rPr>
        <w:t xml:space="preserve">). All three notebooks operate on the same processed NHANES (2017–2018 cycle) dataset of 5,265 adult dental exam participants.</w:t>
      </w:r>
    </w:p>
    <w:p>
      <w:pPr>
        <w:spacing w:after="160" w:before="80"/>
        <w:jc w:val="both"/>
      </w:pPr>
      <w:r>
        <w:rPr>
          <w:rFonts w:ascii="Arial" w:cs="Arial" w:eastAsia="Arial" w:hAnsi="Arial"/>
          <w:sz w:val="24"/>
          <w:szCs w:val="24"/>
        </w:rPr>
        <w:t xml:space="preserve">The progression documented here was not merely about fixing implementation bugs. It reflects a deeper methodological reconsideration: of research question framing, of what neural networks can and cannot contribute when working with small, tabular, survey data, and of which modeling choices produce results that are interpretable and publishable in a public health context.</w:t>
      </w:r>
    </w:p>
    <w:p>
      <w:pPr>
        <w:pStyle w:val="Heading1"/>
        <w:spacing w:after="200" w:before="360"/>
      </w:pPr>
      <w:r>
        <w:rPr>
          <w:rFonts w:ascii="Arial" w:cs="Arial" w:eastAsia="Arial" w:hAnsi="Arial"/>
          <w:b/>
          <w:bCs/>
          <w:sz w:val="32"/>
          <w:szCs w:val="32"/>
        </w:rPr>
        <w:t xml:space="preserve">2. Jeff's Initial Deep Learning Approach</w:t>
      </w:r>
    </w:p>
    <w:p>
      <w:pPr>
        <w:pStyle w:val="Heading2"/>
        <w:spacing w:after="160" w:before="280"/>
      </w:pPr>
      <w:r>
        <w:rPr>
          <w:rFonts w:ascii="Arial" w:cs="Arial" w:eastAsia="Arial" w:hAnsi="Arial"/>
          <w:b/>
          <w:bCs/>
          <w:sz w:val="28"/>
          <w:szCs w:val="28"/>
        </w:rPr>
        <w:t xml:space="preserve">2.1 Conceptual Framing</w:t>
      </w:r>
    </w:p>
    <w:p>
      <w:pPr>
        <w:spacing w:after="160" w:before="80"/>
        <w:jc w:val="both"/>
      </w:pPr>
      <w:r>
        <w:rPr>
          <w:rFonts w:ascii="Arial" w:cs="Arial" w:eastAsia="Arial" w:hAnsi="Arial"/>
          <w:sz w:val="24"/>
          <w:szCs w:val="24"/>
        </w:rPr>
        <w:t xml:space="preserve">The original notebook (</w:t>
      </w:r>
      <w:r>
        <w:rPr>
          <w:rFonts w:ascii="Courier New" w:cs="Courier New" w:eastAsia="Courier New" w:hAnsi="Courier New"/>
          <w:sz w:val="22"/>
          <w:szCs w:val="22"/>
        </w:rPr>
        <w:t xml:space="preserve">test_model.ipynb</w:t>
      </w:r>
      <w:r>
        <w:rPr>
          <w:rFonts w:ascii="Arial" w:cs="Arial" w:eastAsia="Arial" w:hAnsi="Arial"/>
          <w:sz w:val="24"/>
          <w:szCs w:val="24"/>
        </w:rPr>
        <w:t xml:space="preserve">) posed the modeling problem as: given a patient's dental health status, can we infer their socioeconomic position? Three task formulations were identified and described in the notebook's introductory markdown:</w:t>
      </w:r>
    </w:p>
    <w:p>
      <w:pPr>
        <w:spacing w:after="160" w:before="80"/>
        <w:jc w:val="both"/>
      </w:pPr>
      <w:r>
        <w:rPr>
          <w:rFonts w:ascii="Arial" w:cs="Arial" w:eastAsia="Arial" w:hAnsi="Arial"/>
          <w:b/>
          <w:bCs/>
          <w:sz w:val="24"/>
          <w:szCs w:val="24"/>
        </w:rPr>
        <w:t xml:space="preserve">•  </w:t>
      </w:r>
      <w:r>
        <w:rPr>
          <w:rFonts w:ascii="Arial" w:cs="Arial" w:eastAsia="Arial" w:hAnsi="Arial"/>
          <w:sz w:val="24"/>
          <w:szCs w:val="24"/>
        </w:rPr>
        <w:t xml:space="preserve">Task 1 — Multiclass Classification: </w:t>
      </w:r>
      <w:r>
        <w:rPr>
          <w:rFonts w:ascii="Arial" w:cs="Arial" w:eastAsia="Arial" w:hAnsi="Arial"/>
          <w:sz w:val="24"/>
          <w:szCs w:val="24"/>
        </w:rPr>
        <w:t xml:space="preserve">Predict which of 15 household income brackets a participant falls into.</w:t>
      </w:r>
    </w:p>
    <w:p>
      <w:pPr>
        <w:spacing w:after="160" w:before="80"/>
        <w:jc w:val="both"/>
      </w:pPr>
      <w:r>
        <w:rPr>
          <w:rFonts w:ascii="Arial" w:cs="Arial" w:eastAsia="Arial" w:hAnsi="Arial"/>
          <w:b/>
          <w:bCs/>
          <w:sz w:val="24"/>
          <w:szCs w:val="24"/>
        </w:rPr>
        <w:t xml:space="preserve">•  </w:t>
      </w:r>
      <w:r>
        <w:rPr>
          <w:rFonts w:ascii="Arial" w:cs="Arial" w:eastAsia="Arial" w:hAnsi="Arial"/>
          <w:sz w:val="24"/>
          <w:szCs w:val="24"/>
        </w:rPr>
        <w:t xml:space="preserve">Task 2 — Binary Classification: </w:t>
      </w:r>
      <w:r>
        <w:rPr>
          <w:rFonts w:ascii="Arial" w:cs="Arial" w:eastAsia="Arial" w:hAnsi="Arial"/>
          <w:sz w:val="24"/>
          <w:szCs w:val="24"/>
        </w:rPr>
        <w:t xml:space="preserve">Classify whether a participant's income-to-poverty ratio (IPR) is above or below 1.0, the federal poverty threshold.</w:t>
      </w:r>
    </w:p>
    <w:p>
      <w:pPr>
        <w:spacing w:after="160" w:before="80"/>
        <w:jc w:val="both"/>
      </w:pPr>
      <w:r>
        <w:rPr>
          <w:rFonts w:ascii="Arial" w:cs="Arial" w:eastAsia="Arial" w:hAnsi="Arial"/>
          <w:b/>
          <w:bCs/>
          <w:sz w:val="24"/>
          <w:szCs w:val="24"/>
        </w:rPr>
        <w:t xml:space="preserve">•  </w:t>
      </w:r>
      <w:r>
        <w:rPr>
          <w:rFonts w:ascii="Arial" w:cs="Arial" w:eastAsia="Arial" w:hAnsi="Arial"/>
          <w:sz w:val="24"/>
          <w:szCs w:val="24"/>
        </w:rPr>
        <w:t xml:space="preserve">Task 3 — Regression: </w:t>
      </w:r>
      <w:r>
        <w:rPr>
          <w:rFonts w:ascii="Arial" w:cs="Arial" w:eastAsia="Arial" w:hAnsi="Arial"/>
          <w:sz w:val="24"/>
          <w:szCs w:val="24"/>
        </w:rPr>
        <w:t xml:space="preserve">Predict the continuous IPR value directly.</w:t>
      </w:r>
    </w:p>
    <w:p>
      <w:pPr>
        <w:spacing w:after="160" w:before="80"/>
        <w:jc w:val="both"/>
      </w:pPr>
      <w:r>
        <w:rPr>
          <w:rFonts w:ascii="Arial" w:cs="Arial" w:eastAsia="Arial" w:hAnsi="Arial"/>
          <w:sz w:val="24"/>
          <w:szCs w:val="24"/>
        </w:rPr>
        <w:t xml:space="preserve">For all three tasks, the sole input feature was the participant's </w:t>
      </w:r>
      <w:r>
        <w:rPr>
          <w:rFonts w:ascii="Courier New" w:cs="Courier New" w:eastAsia="Courier New" w:hAnsi="Courier New"/>
          <w:sz w:val="22"/>
          <w:szCs w:val="22"/>
        </w:rPr>
        <w:t xml:space="preserve">dmft_score</w:t>
      </w:r>
      <w:r>
        <w:rPr>
          <w:rFonts w:ascii="Arial" w:cs="Arial" w:eastAsia="Arial" w:hAnsi="Arial"/>
          <w:sz w:val="24"/>
          <w:szCs w:val="24"/>
        </w:rPr>
        <w:t xml:space="preserve">—the composite count of Decayed, Missing, and Filled teeth resulting from the NHANES clinical dental examination. Jeff's working hypothesis, stated explicitly in the notebook, was that DMFT and income should be negatively correlated: higher decay burden should be associated with lower income.</w:t>
      </w:r>
    </w:p>
    <w:p>
      <w:pPr>
        <w:pStyle w:val="Heading2"/>
        <w:spacing w:after="160" w:before="280"/>
      </w:pPr>
      <w:r>
        <w:rPr>
          <w:rFonts w:ascii="Arial" w:cs="Arial" w:eastAsia="Arial" w:hAnsi="Arial"/>
          <w:b/>
          <w:bCs/>
          <w:sz w:val="28"/>
          <w:szCs w:val="28"/>
        </w:rPr>
        <w:t xml:space="preserve">2.2 Neural Network Architecture</w:t>
      </w:r>
    </w:p>
    <w:p>
      <w:pPr>
        <w:spacing w:after="160" w:before="80"/>
        <w:jc w:val="both"/>
      </w:pPr>
      <w:r>
        <w:rPr>
          <w:rFonts w:ascii="Arial" w:cs="Arial" w:eastAsia="Arial" w:hAnsi="Arial"/>
          <w:b w:val="false"/>
          <w:bCs w:val="false"/>
          <w:sz w:val="24"/>
          <w:szCs w:val="24"/>
        </w:rPr>
        <w:t xml:space="preserve">The notebook defined a </w:t>
      </w:r>
      <w:r>
        <w:rPr>
          <w:rFonts w:ascii="Courier New" w:cs="Courier New" w:eastAsia="Courier New" w:hAnsi="Courier New"/>
          <w:sz w:val="22"/>
          <w:szCs w:val="22"/>
        </w:rPr>
        <w:t xml:space="preserve">DentalClassifier</w:t>
      </w:r>
      <w:r>
        <w:rPr>
          <w:rFonts w:ascii="Arial" w:cs="Arial" w:eastAsia="Arial" w:hAnsi="Arial"/>
          <w:sz w:val="24"/>
          <w:szCs w:val="24"/>
        </w:rPr>
        <w:t xml:space="preserve"> class wrapping a three-layer fully connected TensorFlow/Keras network. The architecture was identical across all three task types, with only the output head 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Layer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Units / Activation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Input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 (dmft_score, scaled)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StandardScaler fit on train split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Dense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128, ReLU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L1/L2 regularizer (configurable)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Dropout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Rate configurable (default 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Dense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64, ReLU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L1/L2 regularizer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Dropout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Rate configurable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Dense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32, ReLU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L1/L2 regularizer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Dropout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Rate configurable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Output (multiclass)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14 units, Softmax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sparse_categorical_crossentropy loss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Output (binary)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 unit, Sigmoid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binary_crossentropy loss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Output (regression)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 unit, Linear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MSE loss, MAE metric</w:t>
            </w:r>
          </w:p>
        </w:tc>
      </w:tr>
    </w:tbl>
    <w:p>
      <w:pPr>
        <w:spacing w:after="160"/>
      </w:pPr>
    </w:p>
    <w:p>
      <w:pPr>
        <w:spacing w:after="160" w:before="80"/>
        <w:jc w:val="both"/>
      </w:pPr>
      <w:r>
        <w:rPr>
          <w:rFonts w:ascii="Arial" w:cs="Arial" w:eastAsia="Arial" w:hAnsi="Arial"/>
          <w:sz w:val="24"/>
          <w:szCs w:val="24"/>
        </w:rPr>
        <w:t xml:space="preserve">Training used a 70/15/15 train-validation-test split (3,685 train / 790 val / 790 test) with the Adam optimizer at a default learning rate of 0.001, batch size of 32, and early stopping with a patience of 10 epochs. The </w:t>
      </w:r>
      <w:r>
        <w:rPr>
          <w:rFonts w:ascii="Courier New" w:cs="Courier New" w:eastAsia="Courier New" w:hAnsi="Courier New"/>
          <w:sz w:val="22"/>
          <w:szCs w:val="22"/>
        </w:rPr>
        <w:t xml:space="preserve">train()</w:t>
      </w:r>
      <w:r>
        <w:rPr>
          <w:rFonts w:ascii="Arial" w:cs="Arial" w:eastAsia="Arial" w:hAnsi="Arial"/>
          <w:sz w:val="24"/>
          <w:szCs w:val="24"/>
        </w:rPr>
        <w:t xml:space="preserve"> method prompted the user interactively for which metric to monitor (</w:t>
      </w:r>
      <w:r>
        <w:rPr>
          <w:rFonts w:ascii="Courier New" w:cs="Courier New" w:eastAsia="Courier New" w:hAnsi="Courier New"/>
          <w:sz w:val="22"/>
          <w:szCs w:val="22"/>
        </w:rPr>
        <w:t xml:space="preserve">accuracy</w:t>
      </w:r>
      <w:r>
        <w:rPr>
          <w:rFonts w:ascii="Arial" w:cs="Arial" w:eastAsia="Arial" w:hAnsi="Arial"/>
          <w:sz w:val="24"/>
          <w:szCs w:val="24"/>
        </w:rPr>
        <w:t xml:space="preserve">, </w:t>
      </w:r>
      <w:r>
        <w:rPr>
          <w:rFonts w:ascii="Courier New" w:cs="Courier New" w:eastAsia="Courier New" w:hAnsi="Courier New"/>
          <w:sz w:val="22"/>
          <w:szCs w:val="22"/>
        </w:rPr>
        <w:t xml:space="preserve">val_accuracy</w:t>
      </w:r>
      <w:r>
        <w:rPr>
          <w:rFonts w:ascii="Arial" w:cs="Arial" w:eastAsia="Arial" w:hAnsi="Arial"/>
          <w:sz w:val="24"/>
          <w:szCs w:val="24"/>
        </w:rPr>
        <w:t xml:space="preserve">, </w:t>
      </w:r>
      <w:r>
        <w:rPr>
          <w:rFonts w:ascii="Courier New" w:cs="Courier New" w:eastAsia="Courier New" w:hAnsi="Courier New"/>
          <w:sz w:val="22"/>
          <w:szCs w:val="22"/>
        </w:rPr>
        <w:t xml:space="preserve">loss</w:t>
      </w:r>
      <w:r>
        <w:rPr>
          <w:rFonts w:ascii="Arial" w:cs="Arial" w:eastAsia="Arial" w:hAnsi="Arial"/>
          <w:sz w:val="24"/>
          <w:szCs w:val="24"/>
        </w:rPr>
        <w:t xml:space="preserve">, etc.).</w:t>
      </w:r>
    </w:p>
    <w:p>
      <w:pPr>
        <w:pStyle w:val="Heading2"/>
        <w:spacing w:after="160" w:before="280"/>
      </w:pPr>
      <w:r>
        <w:rPr>
          <w:rFonts w:ascii="Arial" w:cs="Arial" w:eastAsia="Arial" w:hAnsi="Arial"/>
          <w:b/>
          <w:bCs/>
          <w:sz w:val="28"/>
          <w:szCs w:val="28"/>
        </w:rPr>
        <w:t xml:space="preserve">2.3 Problems Identified</w:t>
      </w:r>
    </w:p>
    <w:p>
      <w:pPr>
        <w:spacing w:after="160" w:before="80"/>
        <w:jc w:val="both"/>
      </w:pPr>
      <w:r>
        <w:rPr>
          <w:rFonts w:ascii="Arial" w:cs="Arial" w:eastAsia="Arial" w:hAnsi="Arial"/>
          <w:sz w:val="24"/>
          <w:szCs w:val="24"/>
        </w:rPr>
        <w:t xml:space="preserve">Three categories of problems were identified upon reviewing the notebook, ranging from an implementation bug to a fundamental scientific error.</w:t>
      </w:r>
    </w:p>
    <w:p>
      <w:pPr>
        <w:pStyle w:val="Heading3"/>
        <w:spacing w:after="120" w:before="220"/>
      </w:pPr>
      <w:r>
        <w:rPr>
          <w:rFonts w:ascii="Arial" w:cs="Arial" w:eastAsia="Arial" w:hAnsi="Arial"/>
          <w:b/>
          <w:bCs/>
          <w:sz w:val="24"/>
          <w:szCs w:val="24"/>
        </w:rPr>
        <w:t xml:space="preserve">2.3.1 Shared Task Variable — All Configs Ran the Same Task</w:t>
      </w:r>
    </w:p>
    <w:p>
      <w:pPr>
        <w:spacing w:after="160" w:before="80"/>
        <w:jc w:val="both"/>
      </w:pPr>
      <w:r>
        <w:rPr>
          <w:rFonts w:ascii="Arial" w:cs="Arial" w:eastAsia="Arial" w:hAnsi="Arial"/>
          <w:sz w:val="24"/>
          <w:szCs w:val="24"/>
        </w:rPr>
        <w:t xml:space="preserve">The notebook defined a single </w:t>
      </w:r>
      <w:r>
        <w:rPr>
          <w:rFonts w:ascii="Courier New" w:cs="Courier New" w:eastAsia="Courier New" w:hAnsi="Courier New"/>
          <w:sz w:val="22"/>
          <w:szCs w:val="22"/>
        </w:rPr>
        <w:t xml:space="preserve">task</w:t>
      </w:r>
      <w:r>
        <w:rPr>
          <w:rFonts w:ascii="Arial" w:cs="Arial" w:eastAsia="Arial" w:hAnsi="Arial"/>
          <w:sz w:val="24"/>
          <w:szCs w:val="24"/>
        </w:rPr>
        <w:t xml:space="preserve"> variable via an </w:t>
      </w:r>
      <w:r>
        <w:rPr>
          <w:rFonts w:ascii="Courier New" w:cs="Courier New" w:eastAsia="Courier New" w:hAnsi="Courier New"/>
          <w:sz w:val="22"/>
          <w:szCs w:val="22"/>
        </w:rPr>
        <w:t xml:space="preserve">input()</w:t>
      </w:r>
      <w:r>
        <w:rPr>
          <w:rFonts w:ascii="Arial" w:cs="Arial" w:eastAsia="Arial" w:hAnsi="Arial"/>
          <w:sz w:val="24"/>
          <w:szCs w:val="24"/>
        </w:rPr>
        <w:t xml:space="preserve"> call at the top of the script. All three model configurations (config1, config2, config3) then referenced this same variable as a class attribute default. Concretely, the class constructor read:</w:t>
      </w:r>
    </w:p>
    <w:p>
      <w:pPr>
        <w:spacing w:after="160" w:before="80"/>
        <w:jc w:val="both"/>
      </w:pPr>
      <w:r>
        <w:rPr>
          <w:rFonts w:ascii="Courier New" w:cs="Courier New" w:eastAsia="Courier New" w:hAnsi="Courier New"/>
          <w:sz w:val="22"/>
          <w:szCs w:val="22"/>
        </w:rPr>
        <w:t xml:space="preserve">default_params = {'task': task, 'n_classes': n_classes, ...}</w:t>
      </w:r>
    </w:p>
    <w:p>
      <w:pPr>
        <w:spacing w:after="160" w:before="80"/>
        <w:jc w:val="both"/>
      </w:pPr>
      <w:r>
        <w:rPr>
          <w:rFonts w:ascii="Arial" w:cs="Arial" w:eastAsia="Arial" w:hAnsi="Arial"/>
          <w:sz w:val="24"/>
          <w:szCs w:val="24"/>
        </w:rPr>
        <w:t xml:space="preserve">Because </w:t>
      </w:r>
      <w:r>
        <w:rPr>
          <w:rFonts w:ascii="Courier New" w:cs="Courier New" w:eastAsia="Courier New" w:hAnsi="Courier New"/>
          <w:sz w:val="22"/>
          <w:szCs w:val="22"/>
        </w:rPr>
        <w:t xml:space="preserve">task</w:t>
      </w:r>
      <w:r>
        <w:rPr>
          <w:rFonts w:ascii="Arial" w:cs="Arial" w:eastAsia="Arial" w:hAnsi="Arial"/>
          <w:sz w:val="24"/>
          <w:szCs w:val="24"/>
        </w:rPr>
        <w:t xml:space="preserve"> was never reassigned between configs, running the three cells sequentially produced three instances of the same model on the same target, not three distinct modeling scenarios. The 'multiclass', 'binary', and 'regression' framing described in the notebook's prose did not correspond to what was actually executed.</w:t>
      </w:r>
    </w:p>
    <w:p>
      <w:pPr>
        <w:pStyle w:val="Heading3"/>
        <w:spacing w:after="120" w:before="220"/>
      </w:pPr>
      <w:r>
        <w:rPr>
          <w:rFonts w:ascii="Arial" w:cs="Arial" w:eastAsia="Arial" w:hAnsi="Arial"/>
          <w:b/>
          <w:bCs/>
          <w:sz w:val="24"/>
          <w:szCs w:val="24"/>
        </w:rPr>
        <w:t xml:space="preserve">2.3.2 Single Feature with Insufficient Signal</w:t>
      </w:r>
    </w:p>
    <w:p>
      <w:pPr>
        <w:spacing w:after="160" w:before="80"/>
        <w:jc w:val="both"/>
      </w:pPr>
      <w:r>
        <w:rPr>
          <w:rFonts w:ascii="Arial" w:cs="Arial" w:eastAsia="Arial" w:hAnsi="Arial"/>
          <w:sz w:val="24"/>
          <w:szCs w:val="24"/>
        </w:rPr>
        <w:t xml:space="preserve">Using only </w:t>
      </w:r>
      <w:r>
        <w:rPr>
          <w:rFonts w:ascii="Courier New" w:cs="Courier New" w:eastAsia="Courier New" w:hAnsi="Courier New"/>
          <w:sz w:val="22"/>
          <w:szCs w:val="22"/>
        </w:rPr>
        <w:t xml:space="preserve">dmft_score</w:t>
      </w:r>
      <w:r>
        <w:rPr>
          <w:rFonts w:ascii="Arial" w:cs="Arial" w:eastAsia="Arial" w:hAnsi="Arial"/>
          <w:sz w:val="24"/>
          <w:szCs w:val="24"/>
        </w:rPr>
        <w:t xml:space="preserve"> to predict income is conceptually analogous to using hat size to predict salary. While there is a real epidemiological relationship between oral health burden and socioeconomic status, it runs through dozens of mediating variables (insurance coverage, access to care, education, geography) whose effects dwarf any direct DMFT signal. A three-layer network reading a single scaled integer has no path to learning these upstream causes.</w:t>
      </w:r>
    </w:p>
    <w:p>
      <w:pPr>
        <w:spacing w:after="160" w:before="80"/>
        <w:jc w:val="both"/>
      </w:pPr>
      <w:r>
        <w:rPr>
          <w:rFonts w:ascii="Arial" w:cs="Arial" w:eastAsia="Arial" w:hAnsi="Arial"/>
          <w:sz w:val="24"/>
          <w:szCs w:val="24"/>
        </w:rPr>
        <w:t xml:space="preserve">The Pearson correlation between DMFT and the continuous IPR in this dataset is approximately −0.22—too weak to support any meaningful income bracket prediction even with a correctly-specified model.</w:t>
      </w:r>
    </w:p>
    <w:p>
      <w:pPr>
        <w:pStyle w:val="Heading3"/>
        <w:spacing w:after="120" w:before="220"/>
      </w:pPr>
      <w:r>
        <w:rPr>
          <w:rFonts w:ascii="Arial" w:cs="Arial" w:eastAsia="Arial" w:hAnsi="Arial"/>
          <w:b/>
          <w:bCs/>
          <w:sz w:val="24"/>
          <w:szCs w:val="24"/>
        </w:rPr>
        <w:t xml:space="preserve">2.3.3 Class Imbalance in the Binary Task</w:t>
      </w:r>
    </w:p>
    <w:p>
      <w:pPr>
        <w:spacing w:after="160" w:before="80"/>
        <w:jc w:val="both"/>
      </w:pPr>
      <w:r>
        <w:rPr>
          <w:rFonts w:ascii="Arial" w:cs="Arial" w:eastAsia="Arial" w:hAnsi="Arial"/>
          <w:sz w:val="24"/>
          <w:szCs w:val="24"/>
        </w:rPr>
        <w:t xml:space="preserve">The binary poverty classification target (IPR &gt; 1 = above poverty) has an 83.5% / 16.5% split in this NHANES cycle. No class weighting was applied. This means the model could achieve 83.5% accuracy by predicting </w:t>
      </w:r>
      <w:r>
        <w:rPr>
          <w:rFonts w:ascii="Arial" w:cs="Arial" w:eastAsia="Arial" w:hAnsi="Arial"/>
          <w:i/>
          <w:iCs/>
          <w:sz w:val="24"/>
          <w:szCs w:val="24"/>
        </w:rPr>
        <w:t xml:space="preserve">above poverty</w:t>
      </w:r>
      <w:r>
        <w:rPr>
          <w:rFonts w:ascii="Arial" w:cs="Arial" w:eastAsia="Arial" w:hAnsi="Arial"/>
          <w:sz w:val="24"/>
          <w:szCs w:val="24"/>
        </w:rPr>
        <w:t xml:space="preserve"> for every single participant without learning any real signal—which is precisely what a sigmoid network with unconstrained training will do on heavily imbalanced binary targets when accuracy is the monitored metric.</w:t>
      </w:r>
    </w:p>
    <w:p>
      <w:pPr>
        <w:pStyle w:val="Heading3"/>
        <w:spacing w:after="120" w:before="220"/>
      </w:pPr>
      <w:r>
        <w:rPr>
          <w:rFonts w:ascii="Arial" w:cs="Arial" w:eastAsia="Arial" w:hAnsi="Arial"/>
          <w:b/>
          <w:bCs/>
          <w:sz w:val="24"/>
          <w:szCs w:val="24"/>
        </w:rPr>
        <w:t xml:space="preserve">2.3.4 No Data Cleaning</w:t>
      </w:r>
    </w:p>
    <w:p>
      <w:pPr>
        <w:spacing w:after="160" w:before="80"/>
        <w:jc w:val="both"/>
      </w:pPr>
      <w:r>
        <w:rPr>
          <w:rFonts w:ascii="Arial" w:cs="Arial" w:eastAsia="Arial" w:hAnsi="Arial"/>
          <w:sz w:val="24"/>
          <w:szCs w:val="24"/>
        </w:rPr>
        <w:t xml:space="preserve">NHANES uses specific numeric sentinel codes to represent "Refused" (7, 77) and "Don't know" (9, 99) responses, and encodes yes/no questions as 1 = Yes, 2 = No. These encoding artifacts were passed through to the model without modification. A participant who refused to answer </w:t>
      </w:r>
      <w:r>
        <w:rPr>
          <w:rFonts w:ascii="Courier New" w:cs="Courier New" w:eastAsia="Courier New" w:hAnsi="Courier New"/>
          <w:sz w:val="22"/>
          <w:szCs w:val="22"/>
        </w:rPr>
        <w:t xml:space="preserve">education_adult</w:t>
      </w:r>
      <w:r>
        <w:rPr>
          <w:rFonts w:ascii="Arial" w:cs="Arial" w:eastAsia="Arial" w:hAnsi="Arial"/>
          <w:sz w:val="24"/>
          <w:szCs w:val="24"/>
        </w:rPr>
        <w:t xml:space="preserve"> receives the value 7, interpreted as "education level 7—above all valid categories." A no-response on a yes/no item receives value 2, inverted relative to what any model interprets as the positive class. While Jeff's notebook used only </w:t>
      </w:r>
      <w:r>
        <w:rPr>
          <w:rFonts w:ascii="Courier New" w:cs="Courier New" w:eastAsia="Courier New" w:hAnsi="Courier New"/>
          <w:sz w:val="22"/>
          <w:szCs w:val="22"/>
        </w:rPr>
        <w:t xml:space="preserve">dmft_score</w:t>
      </w:r>
      <w:r>
        <w:rPr>
          <w:rFonts w:ascii="Arial" w:cs="Arial" w:eastAsia="Arial" w:hAnsi="Arial"/>
          <w:sz w:val="24"/>
          <w:szCs w:val="24"/>
        </w:rPr>
        <w:t xml:space="preserve"> as a feature (which does not carry these artifacts), the issue would have extended to any future feature addition.</w:t>
      </w:r>
    </w:p>
    <w:p>
      <w:pPr>
        <w:pStyle w:val="Heading1"/>
        <w:spacing w:after="200" w:before="360"/>
      </w:pPr>
      <w:r>
        <w:rPr>
          <w:rFonts w:ascii="Arial" w:cs="Arial" w:eastAsia="Arial" w:hAnsi="Arial"/>
          <w:b/>
          <w:bCs/>
          <w:sz w:val="32"/>
          <w:szCs w:val="32"/>
        </w:rPr>
        <w:t xml:space="preserve">3. Revised Deep Learning Investigation</w:t>
      </w:r>
    </w:p>
    <w:p>
      <w:pPr>
        <w:spacing w:after="160" w:before="80"/>
        <w:jc w:val="both"/>
      </w:pPr>
      <w:r>
        <w:rPr>
          <w:rFonts w:ascii="Arial" w:cs="Arial" w:eastAsia="Arial" w:hAnsi="Arial"/>
          <w:sz w:val="24"/>
          <w:szCs w:val="24"/>
        </w:rPr>
        <w:t xml:space="preserve">Before abandoning the deep learning framework entirely, Bryce developed </w:t>
      </w:r>
      <w:r>
        <w:rPr>
          <w:rFonts w:ascii="Courier New" w:cs="Courier New" w:eastAsia="Courier New" w:hAnsi="Courier New"/>
          <w:sz w:val="22"/>
          <w:szCs w:val="22"/>
        </w:rPr>
        <w:t xml:space="preserve">expanded_features_model.ipynb</w:t>
      </w:r>
      <w:r>
        <w:rPr>
          <w:rFonts w:ascii="Arial" w:cs="Arial" w:eastAsia="Arial" w:hAnsi="Arial"/>
          <w:sz w:val="24"/>
          <w:szCs w:val="24"/>
        </w:rPr>
        <w:t xml:space="preserve"> to test whether the underperformance in Jeff's notebook was a feature-set problem (one feature is simply too little signal) or an architectural one (neural networks are not the right tool for this data). The revised notebook replicated Jeff's </w:t>
      </w:r>
      <w:r>
        <w:rPr>
          <w:rFonts w:ascii="Courier New" w:cs="Courier New" w:eastAsia="Courier New" w:hAnsi="Courier New"/>
          <w:sz w:val="22"/>
          <w:szCs w:val="22"/>
        </w:rPr>
        <w:t xml:space="preserve">DentalClassifier</w:t>
      </w:r>
      <w:r>
        <w:rPr>
          <w:rFonts w:ascii="Arial" w:cs="Arial" w:eastAsia="Arial" w:hAnsi="Arial"/>
          <w:sz w:val="24"/>
          <w:szCs w:val="24"/>
        </w:rPr>
        <w:t xml:space="preserve"> architecture with two key changes and added a 26-feature expanded set alongside the original 1-feature baseline.</w:t>
      </w:r>
    </w:p>
    <w:p>
      <w:pPr>
        <w:pStyle w:val="Heading2"/>
        <w:spacing w:after="160" w:before="280"/>
      </w:pPr>
      <w:r>
        <w:rPr>
          <w:rFonts w:ascii="Arial" w:cs="Arial" w:eastAsia="Arial" w:hAnsi="Arial"/>
          <w:b/>
          <w:bCs/>
          <w:sz w:val="28"/>
          <w:szCs w:val="28"/>
        </w:rPr>
        <w:t xml:space="preserve">3.1 Bug Fixes Applied</w:t>
      </w:r>
    </w:p>
    <w:p>
      <w:pPr>
        <w:spacing w:after="160" w:before="80"/>
        <w:jc w:val="both"/>
      </w:pPr>
      <w:r>
        <w:rPr>
          <w:rFonts w:ascii="Arial" w:cs="Arial" w:eastAsia="Arial" w:hAnsi="Arial"/>
          <w:sz w:val="24"/>
          <w:szCs w:val="24"/>
        </w:rPr>
        <w:t xml:space="preserve">Three concrete bugs from Jeff's notebook were corrected:</w:t>
      </w:r>
    </w:p>
    <w:p>
      <w:pPr>
        <w:spacing w:after="160" w:before="80"/>
        <w:jc w:val="both"/>
      </w:pPr>
      <w:r>
        <w:rPr>
          <w:rFonts w:ascii="Arial" w:cs="Arial" w:eastAsia="Arial" w:hAnsi="Arial"/>
          <w:b/>
          <w:bCs/>
          <w:sz w:val="24"/>
          <w:szCs w:val="24"/>
        </w:rPr>
        <w:t xml:space="preserve">1.  </w:t>
      </w:r>
      <w:r>
        <w:rPr>
          <w:rFonts w:ascii="Arial" w:cs="Arial" w:eastAsia="Arial" w:hAnsi="Arial"/>
          <w:sz w:val="24"/>
          <w:szCs w:val="24"/>
        </w:rPr>
        <w:t xml:space="preserve">Task type hardcoded per config: </w:t>
      </w:r>
      <w:r>
        <w:rPr>
          <w:rFonts w:ascii="Arial" w:cs="Arial" w:eastAsia="Arial" w:hAnsi="Arial"/>
          <w:sz w:val="24"/>
          <w:szCs w:val="24"/>
        </w:rPr>
        <w:t xml:space="preserve">Rather than sharing a single </w:t>
      </w:r>
      <w:r>
        <w:rPr>
          <w:rFonts w:ascii="Courier New" w:cs="Courier New" w:eastAsia="Courier New" w:hAnsi="Courier New"/>
          <w:sz w:val="22"/>
          <w:szCs w:val="22"/>
        </w:rPr>
        <w:t xml:space="preserve">task</w:t>
      </w:r>
      <w:r>
        <w:rPr>
          <w:rFonts w:ascii="Arial" w:cs="Arial" w:eastAsia="Arial" w:hAnsi="Arial"/>
          <w:sz w:val="24"/>
          <w:szCs w:val="24"/>
        </w:rPr>
        <w:t xml:space="preserve"> variable, each configuration explicitly set its task type, preventing the three configs from silently running the same pipeline.</w:t>
      </w:r>
    </w:p>
    <w:p>
      <w:pPr>
        <w:spacing w:after="160" w:before="80"/>
        <w:jc w:val="both"/>
      </w:pPr>
      <w:r>
        <w:rPr>
          <w:rFonts w:ascii="Arial" w:cs="Arial" w:eastAsia="Arial" w:hAnsi="Arial"/>
          <w:b/>
          <w:bCs/>
          <w:sz w:val="24"/>
          <w:szCs w:val="24"/>
        </w:rPr>
        <w:t xml:space="preserve">2.  </w:t>
      </w:r>
      <w:r>
        <w:rPr>
          <w:rFonts w:ascii="Arial" w:cs="Arial" w:eastAsia="Arial" w:hAnsi="Arial"/>
          <w:sz w:val="24"/>
          <w:szCs w:val="24"/>
        </w:rPr>
        <w:t xml:space="preserve">Class weights added for binary task: </w:t>
      </w:r>
      <w:r>
        <w:rPr>
          <w:rFonts w:ascii="Arial" w:cs="Arial" w:eastAsia="Arial" w:hAnsi="Arial"/>
          <w:sz w:val="24"/>
          <w:szCs w:val="24"/>
        </w:rPr>
        <w:t xml:space="preserve">The minority class (below poverty, 16.5%) was assigned a weight of approximately 2.98; the majority class (above poverty) received a weight of approximately 0.60. These were computed via </w:t>
      </w:r>
      <w:r>
        <w:rPr>
          <w:rFonts w:ascii="Courier New" w:cs="Courier New" w:eastAsia="Courier New" w:hAnsi="Courier New"/>
          <w:sz w:val="22"/>
          <w:szCs w:val="22"/>
        </w:rPr>
        <w:t xml:space="preserve">sklearn.utils.class_weight.compute_class_weight</w:t>
      </w:r>
      <w:r>
        <w:rPr>
          <w:rFonts w:ascii="Arial" w:cs="Arial" w:eastAsia="Arial" w:hAnsi="Arial"/>
          <w:sz w:val="24"/>
          <w:szCs w:val="24"/>
        </w:rPr>
        <w:t xml:space="preserve"> and passed to </w:t>
      </w:r>
      <w:r>
        <w:rPr>
          <w:rFonts w:ascii="Courier New" w:cs="Courier New" w:eastAsia="Courier New" w:hAnsi="Courier New"/>
          <w:sz w:val="22"/>
          <w:szCs w:val="22"/>
        </w:rPr>
        <w:t xml:space="preserve">model.fit()</w:t>
      </w:r>
      <w:r>
        <w:rPr>
          <w:rFonts w:ascii="Arial" w:cs="Arial" w:eastAsia="Arial" w:hAnsi="Arial"/>
          <w:sz w:val="24"/>
          <w:szCs w:val="24"/>
        </w:rPr>
        <w:t xml:space="preserve">.</w:t>
      </w:r>
    </w:p>
    <w:p>
      <w:pPr>
        <w:spacing w:after="160" w:before="80"/>
        <w:jc w:val="both"/>
      </w:pPr>
      <w:r>
        <w:rPr>
          <w:rFonts w:ascii="Arial" w:cs="Arial" w:eastAsia="Arial" w:hAnsi="Arial"/>
          <w:b/>
          <w:bCs/>
          <w:sz w:val="24"/>
          <w:szCs w:val="24"/>
        </w:rPr>
        <w:t xml:space="preserve">3.  </w:t>
      </w:r>
      <w:r>
        <w:rPr>
          <w:rFonts w:ascii="Arial" w:cs="Arial" w:eastAsia="Arial" w:hAnsi="Arial"/>
          <w:sz w:val="24"/>
          <w:szCs w:val="24"/>
        </w:rPr>
        <w:t xml:space="preserve">Monitor changed to val_loss for binary task: </w:t>
      </w:r>
      <w:r>
        <w:rPr>
          <w:rFonts w:ascii="Arial" w:cs="Arial" w:eastAsia="Arial" w:hAnsi="Arial"/>
          <w:sz w:val="24"/>
          <w:szCs w:val="24"/>
        </w:rPr>
        <w:t xml:space="preserve">Monitoring </w:t>
      </w:r>
      <w:r>
        <w:rPr>
          <w:rFonts w:ascii="Courier New" w:cs="Courier New" w:eastAsia="Courier New" w:hAnsi="Courier New"/>
          <w:sz w:val="22"/>
          <w:szCs w:val="22"/>
        </w:rPr>
        <w:t xml:space="preserve">val_accuracy</w:t>
      </w:r>
      <w:r>
        <w:rPr>
          <w:rFonts w:ascii="Arial" w:cs="Arial" w:eastAsia="Arial" w:hAnsi="Arial"/>
          <w:sz w:val="24"/>
          <w:szCs w:val="24"/>
        </w:rPr>
        <w:t xml:space="preserve"> during early stopping is ineffective under class imbalance because unweighted accuracy plateaus near the majority-class rate. Switching to </w:t>
      </w:r>
      <w:r>
        <w:rPr>
          <w:rFonts w:ascii="Courier New" w:cs="Courier New" w:eastAsia="Courier New" w:hAnsi="Courier New"/>
          <w:sz w:val="22"/>
          <w:szCs w:val="22"/>
        </w:rPr>
        <w:t xml:space="preserve">val_loss</w:t>
      </w:r>
      <w:r>
        <w:rPr>
          <w:rFonts w:ascii="Arial" w:cs="Arial" w:eastAsia="Arial" w:hAnsi="Arial"/>
          <w:sz w:val="24"/>
          <w:szCs w:val="24"/>
        </w:rPr>
        <w:t xml:space="preserve"> (which reflects the weighted binary cross-entropy objective) allows early stopping to respond to actual predictive improvement on the minority class.</w:t>
      </w:r>
    </w:p>
    <w:p>
      <w:pPr>
        <w:pStyle w:val="Heading2"/>
        <w:spacing w:after="160" w:before="280"/>
      </w:pPr>
      <w:r>
        <w:rPr>
          <w:rFonts w:ascii="Arial" w:cs="Arial" w:eastAsia="Arial" w:hAnsi="Arial"/>
          <w:b/>
          <w:bCs/>
          <w:sz w:val="28"/>
          <w:szCs w:val="28"/>
        </w:rPr>
        <w:t xml:space="preserve">3.2 Feature Sets</w:t>
      </w:r>
    </w:p>
    <w:p>
      <w:pPr>
        <w:spacing w:after="160" w:before="80"/>
        <w:jc w:val="both"/>
      </w:pPr>
      <w:r>
        <w:rPr>
          <w:rFonts w:ascii="Arial" w:cs="Arial" w:eastAsia="Arial" w:hAnsi="Arial"/>
          <w:sz w:val="24"/>
          <w:szCs w:val="24"/>
        </w:rPr>
        <w:t xml:space="preserve">Two feature sets were evaluated in parallel for each of the three task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Set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 Features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Contents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Baseline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dmft_score only (replicates Jeff's approach)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Expanded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11 dental features (dmft_score, teeth_present, teeth_decayed, teeth_filled_sound, teeth_sound, teeth_missing_caries, treatment_ratio, untreated_decay_ratio, is_edentulous, root_caries_present, has_dental_implant) + 9 access barrier features (last_dental_visit, needed_dental_care_couldnt_get, barrier_cost, barrier_insurance_no_coverage, barrier_cant_take_time_off_work, barrier_too_busy, barrier_office_too_far, barrier_afraid_of_dentist, barrier_didnt_want_to_spend) + 6 demographic features (age, gender, race_ethnicity, education_adult, marital_status, household_size)</w:t>
            </w:r>
          </w:p>
        </w:tc>
      </w:tr>
    </w:tbl>
    <w:p>
      <w:pPr>
        <w:spacing w:after="160"/>
      </w:pPr>
    </w:p>
    <w:p>
      <w:pPr>
        <w:pStyle w:val="Heading2"/>
        <w:spacing w:after="160" w:before="280"/>
      </w:pPr>
      <w:r>
        <w:rPr>
          <w:rFonts w:ascii="Arial" w:cs="Arial" w:eastAsia="Arial" w:hAnsi="Arial"/>
          <w:b/>
          <w:bCs/>
          <w:sz w:val="28"/>
          <w:szCs w:val="28"/>
        </w:rPr>
        <w:t xml:space="preserve">3.3 Results</w:t>
      </w:r>
    </w:p>
    <w:p>
      <w:pPr>
        <w:spacing w:after="160" w:before="80"/>
        <w:jc w:val="both"/>
      </w:pPr>
      <w:r>
        <w:rPr>
          <w:rFonts w:ascii="Arial" w:cs="Arial" w:eastAsia="Arial" w:hAnsi="Arial"/>
          <w:sz w:val="24"/>
          <w:szCs w:val="24"/>
        </w:rPr>
        <w:t xml:space="preserve">The following table summarizes test-set performance for both feature sets across all three task types. The network architecture (128 → 64 → 32, dropout 0.2, L2 regularization 0.01, Adam α=0.001) was identical in all six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200"/>
        <w:gridCol w:w="24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Task</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Feature Set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Metric</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Test Result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Multiclass (income bracket)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Baseline (1 feat)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19.72%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Multiclass (income bracket)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Expanded (26 feat)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25.31%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Binary (poverty flag)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Baseline (1 feat)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85.70%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Binary (poverty flag)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Expanded (26 feat)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60.51%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Regression (IPR)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Baseline (1 feat)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MAE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1.157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Regression (IPR)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Expanded (26 feat)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MAE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0.983</w:t>
            </w:r>
          </w:p>
        </w:tc>
      </w:tr>
    </w:tbl>
    <w:p>
      <w:pPr>
        <w:spacing w:after="120"/>
      </w:pPr>
    </w:p>
    <w:p>
      <w:pPr>
        <w:spacing w:after="160" w:before="80"/>
        <w:jc w:val="both"/>
      </w:pPr>
      <w:r>
        <w:rPr>
          <w:rFonts w:ascii="Arial" w:cs="Arial" w:eastAsia="Arial" w:hAnsi="Arial"/>
          <w:i/>
          <w:iCs/>
          <w:sz w:val="24"/>
          <w:szCs w:val="24"/>
        </w:rPr>
        <w:t xml:space="preserve">* </w:t>
      </w:r>
      <w:r>
        <w:rPr>
          <w:rFonts w:ascii="Arial" w:cs="Arial" w:eastAsia="Arial" w:hAnsi="Arial"/>
          <w:i/>
          <w:iCs/>
          <w:sz w:val="24"/>
          <w:szCs w:val="24"/>
        </w:rPr>
        <w:t xml:space="preserve">The binary accuracy figures are not directly comparable. The baseline (85.70%) is inflated because without class weights the model predicted nearly everyone as above-poverty. The expanded model (60.51%) now predicts both classes but its accuracy is dragged down by the harder task. Confusion matrices confirmed both classes are predicted in the expanded model; ROC-AUC and class-level recall are the appropriate comparison metrics.</w:t>
      </w:r>
    </w:p>
    <w:p>
      <w:pPr>
        <w:pStyle w:val="Heading2"/>
        <w:spacing w:after="160" w:before="280"/>
      </w:pPr>
      <w:r>
        <w:rPr>
          <w:rFonts w:ascii="Arial" w:cs="Arial" w:eastAsia="Arial" w:hAnsi="Arial"/>
          <w:b/>
          <w:bCs/>
          <w:sz w:val="28"/>
          <w:szCs w:val="28"/>
        </w:rPr>
        <w:t xml:space="preserve">3.4 Interpretation and Pivoting Decision</w:t>
      </w:r>
    </w:p>
    <w:p>
      <w:pPr>
        <w:spacing w:after="160" w:before="80"/>
        <w:jc w:val="both"/>
      </w:pPr>
      <w:r>
        <w:rPr>
          <w:rFonts w:ascii="Arial" w:cs="Arial" w:eastAsia="Arial" w:hAnsi="Arial"/>
          <w:sz w:val="24"/>
          <w:szCs w:val="24"/>
        </w:rPr>
        <w:t xml:space="preserve">The expanded feature set produced meaningful improvements over the single-feature baseline across all three tasks. However, absolute performance remained poor in both the multiclass and regression tasks:</w:t>
      </w:r>
    </w:p>
    <w:p>
      <w:pPr>
        <w:spacing w:after="160" w:before="80"/>
        <w:jc w:val="both"/>
      </w:pPr>
      <w:r>
        <w:rPr>
          <w:rFonts w:ascii="Arial" w:cs="Arial" w:eastAsia="Arial" w:hAnsi="Arial"/>
          <w:b/>
          <w:bCs/>
          <w:sz w:val="24"/>
          <w:szCs w:val="24"/>
        </w:rPr>
        <w:t xml:space="preserve">•  </w:t>
      </w:r>
      <w:r>
        <w:rPr>
          <w:rFonts w:ascii="Arial" w:cs="Arial" w:eastAsia="Arial" w:hAnsi="Arial"/>
          <w:sz w:val="24"/>
          <w:szCs w:val="24"/>
        </w:rPr>
        <w:t xml:space="preserve">Multiclass accuracy of 25.31% across 14 income brackets is only modestly above chance (7.1%). The task is fundamentally difficult: NHANES income brackets are coarse, and dental exam findings plus access barriers simply do not carry enough signal to resolve 14-way income categories.</w:t>
      </w:r>
    </w:p>
    <w:p>
      <w:pPr>
        <w:spacing w:after="160" w:before="80"/>
        <w:jc w:val="both"/>
      </w:pPr>
      <w:r>
        <w:rPr>
          <w:rFonts w:ascii="Arial" w:cs="Arial" w:eastAsia="Arial" w:hAnsi="Arial"/>
          <w:b/>
          <w:bCs/>
          <w:sz w:val="24"/>
          <w:szCs w:val="24"/>
        </w:rPr>
        <w:t xml:space="preserve">•  </w:t>
      </w:r>
      <w:r>
        <w:rPr>
          <w:rFonts w:ascii="Arial" w:cs="Arial" w:eastAsia="Arial" w:hAnsi="Arial"/>
          <w:sz w:val="24"/>
          <w:szCs w:val="24"/>
        </w:rPr>
        <w:t xml:space="preserve">Regression MAE of 0.983 against an IPR standard deviation of 1.50 suggests the model is explaining on the order of 20–30% of IPR variance. This is a marginal result that offers little predictive utility.</w:t>
      </w:r>
    </w:p>
    <w:p>
      <w:pPr>
        <w:spacing w:after="160" w:before="80"/>
        <w:jc w:val="both"/>
      </w:pPr>
      <w:r>
        <w:rPr>
          <w:rFonts w:ascii="Arial" w:cs="Arial" w:eastAsia="Arial" w:hAnsi="Arial"/>
          <w:sz w:val="24"/>
          <w:szCs w:val="24"/>
        </w:rPr>
        <w:t xml:space="preserve">Beyond raw performance, the neural network framework introduced two practical concerns for this dataset and research context:</w:t>
      </w:r>
    </w:p>
    <w:p>
      <w:pPr>
        <w:spacing w:after="160" w:before="80"/>
        <w:jc w:val="both"/>
      </w:pPr>
      <w:r>
        <w:rPr>
          <w:rFonts w:ascii="Arial" w:cs="Arial" w:eastAsia="Arial" w:hAnsi="Arial"/>
          <w:b/>
          <w:bCs/>
          <w:sz w:val="24"/>
          <w:szCs w:val="24"/>
        </w:rPr>
        <w:t xml:space="preserve">•  </w:t>
      </w:r>
      <w:r>
        <w:rPr>
          <w:rFonts w:ascii="Arial" w:cs="Arial" w:eastAsia="Arial" w:hAnsi="Arial"/>
          <w:sz w:val="24"/>
          <w:szCs w:val="24"/>
        </w:rPr>
        <w:t xml:space="preserve">Interpretability: </w:t>
      </w:r>
      <w:r>
        <w:rPr>
          <w:rFonts w:ascii="Arial" w:cs="Arial" w:eastAsia="Arial" w:hAnsi="Arial"/>
          <w:sz w:val="24"/>
          <w:szCs w:val="24"/>
        </w:rPr>
        <w:t xml:space="preserve">Neural networks offer limited interpretability for the feature-level questions that matter in health disparities research—which barriers predict outcomes most strongly, and do those relationships differ by subgroup? Feature importance from gradient-based attribution methods is substantially less stable than the permutation importances and SHAP values available from gradient boosted trees.</w:t>
      </w:r>
    </w:p>
    <w:p>
      <w:pPr>
        <w:spacing w:after="160" w:before="80"/>
        <w:jc w:val="both"/>
      </w:pPr>
      <w:r>
        <w:rPr>
          <w:rFonts w:ascii="Arial" w:cs="Arial" w:eastAsia="Arial" w:hAnsi="Arial"/>
          <w:b/>
          <w:bCs/>
          <w:sz w:val="24"/>
          <w:szCs w:val="24"/>
        </w:rPr>
        <w:t xml:space="preserve">•  </w:t>
      </w:r>
      <w:r>
        <w:rPr>
          <w:rFonts w:ascii="Arial" w:cs="Arial" w:eastAsia="Arial" w:hAnsi="Arial"/>
          <w:sz w:val="24"/>
          <w:szCs w:val="24"/>
        </w:rPr>
        <w:t xml:space="preserve">Sample size and overfitting risk: </w:t>
      </w:r>
      <w:r>
        <w:rPr>
          <w:rFonts w:ascii="Arial" w:cs="Arial" w:eastAsia="Arial" w:hAnsi="Arial"/>
          <w:sz w:val="24"/>
          <w:szCs w:val="24"/>
        </w:rPr>
        <w:t xml:space="preserve">With 3,685 training observations and up to 26 input features, a three-layer network has a large number of parameters relative to data volume. The cross-validation structure in Jeff's and the expanded notebook used a single hold-out split rather than k-fold CV, meaning the reported metrics had high variance.</w:t>
      </w:r>
    </w:p>
    <w:p>
      <w:pPr>
        <w:spacing w:after="160" w:before="80"/>
        <w:jc w:val="both"/>
      </w:pPr>
      <w:r>
        <w:rPr>
          <w:rFonts w:ascii="Arial" w:cs="Arial" w:eastAsia="Arial" w:hAnsi="Arial"/>
          <w:sz w:val="24"/>
          <w:szCs w:val="24"/>
        </w:rPr>
        <w:t xml:space="preserve">The combination of a weak underlying signal, a research question that required causal reframing (see Section 4), and the interpretability needs of public health modeling collectively pointed toward shallow methods—specifically logistic regression, random forest, and gradient boosted trees—as the more appropriate framework. These methods also permit rigorous 5-fold cross-validation across the full 5,265-participant dataset rather than relying on a single hold-out split.</w:t>
      </w:r>
    </w:p>
    <w:p>
      <w:pPr>
        <w:pStyle w:val="Heading1"/>
        <w:spacing w:after="200" w:before="360"/>
      </w:pPr>
      <w:r>
        <w:rPr>
          <w:rFonts w:ascii="Arial" w:cs="Arial" w:eastAsia="Arial" w:hAnsi="Arial"/>
          <w:b/>
          <w:bCs/>
          <w:sz w:val="32"/>
          <w:szCs w:val="32"/>
        </w:rPr>
        <w:t xml:space="preserve">4. Research Question Reorientation</w:t>
      </w:r>
    </w:p>
    <w:p>
      <w:pPr>
        <w:pStyle w:val="Heading2"/>
        <w:spacing w:after="160" w:before="280"/>
      </w:pPr>
      <w:r>
        <w:rPr>
          <w:rFonts w:ascii="Arial" w:cs="Arial" w:eastAsia="Arial" w:hAnsi="Arial"/>
          <w:b/>
          <w:bCs/>
          <w:sz w:val="28"/>
          <w:szCs w:val="28"/>
        </w:rPr>
        <w:t xml:space="preserve">4.1 The Causal Direction Problem</w:t>
      </w:r>
    </w:p>
    <w:p>
      <w:pPr>
        <w:spacing w:after="160" w:before="80"/>
        <w:jc w:val="both"/>
      </w:pPr>
      <w:r>
        <w:rPr>
          <w:rFonts w:ascii="Arial" w:cs="Arial" w:eastAsia="Arial" w:hAnsi="Arial"/>
          <w:sz w:val="24"/>
          <w:szCs w:val="24"/>
        </w:rPr>
        <w:t xml:space="preserve">Both of Jeff's task formulations and the revised deep learning notebook shared a fundamental scientific problem: the causal direction was inverted. All six models attempted to predict income from oral health findings.</w:t>
      </w:r>
    </w:p>
    <w:p>
      <w:pPr>
        <w:spacing w:after="160" w:before="80"/>
        <w:jc w:val="both"/>
      </w:pPr>
      <w:r>
        <w:rPr>
          <w:rFonts w:ascii="Arial" w:cs="Arial" w:eastAsia="Arial" w:hAnsi="Arial"/>
          <w:sz w:val="24"/>
          <w:szCs w:val="24"/>
        </w:rPr>
        <w:t xml:space="preserve">Income causes oral health outcomes. Oral health outcomes do not cause income. This is one of the most replicated findings in health disparities research: socioeconomic status is a distal determinant of health, and the causal arrow runs from SES → insurance and access to care → health behaviors → clinical outcomes. A patient's DMFT score reflects their cumulative lifetime exposure to preventive and restorative dental care, which is itself a function of their income, education, and insurance access over time.</w:t>
      </w:r>
    </w:p>
    <w:p>
      <w:pPr>
        <w:spacing w:after="160" w:before="80"/>
        <w:jc w:val="both"/>
      </w:pPr>
      <w:r>
        <w:rPr>
          <w:rFonts w:ascii="Arial" w:cs="Arial" w:eastAsia="Arial" w:hAnsi="Arial"/>
          <w:sz w:val="24"/>
          <w:szCs w:val="24"/>
        </w:rPr>
        <w:t xml:space="preserve">Reversing the direction—treating dental exam findings as predictors of current income—has no defensible causal interpretation. Moreover, it has no practical application: there is no clinical or policy scenario in which a dental exam would be used to infer income, because income is directly observable. The NHANES literature using these modules uniformly treats SES and access-to-care as predictors, not outcomes.</w:t>
      </w:r>
    </w:p>
    <w:p>
      <w:pPr>
        <w:pStyle w:val="Heading2"/>
        <w:spacing w:after="160" w:before="280"/>
      </w:pPr>
      <w:r>
        <w:rPr>
          <w:rFonts w:ascii="Arial" w:cs="Arial" w:eastAsia="Arial" w:hAnsi="Arial"/>
          <w:b/>
          <w:bCs/>
          <w:sz w:val="28"/>
          <w:szCs w:val="28"/>
        </w:rPr>
        <w:t xml:space="preserve">4.2 Revised Task Definitions</w:t>
      </w:r>
    </w:p>
    <w:p>
      <w:pPr>
        <w:spacing w:after="160" w:before="80"/>
        <w:jc w:val="both"/>
      </w:pPr>
      <w:r>
        <w:rPr>
          <w:rFonts w:ascii="Arial" w:cs="Arial" w:eastAsia="Arial" w:hAnsi="Arial"/>
          <w:sz w:val="24"/>
          <w:szCs w:val="24"/>
        </w:rPr>
        <w:t xml:space="preserve">Bryce's shallow learning notebook (</w:t>
      </w:r>
      <w:r>
        <w:rPr>
          <w:rFonts w:ascii="Courier New" w:cs="Courier New" w:eastAsia="Courier New" w:hAnsi="Courier New"/>
          <w:sz w:val="22"/>
          <w:szCs w:val="22"/>
        </w:rPr>
        <w:t xml:space="preserve">shallow_methods_of_prediction.ipynb</w:t>
      </w:r>
      <w:r>
        <w:rPr>
          <w:rFonts w:ascii="Arial" w:cs="Arial" w:eastAsia="Arial" w:hAnsi="Arial"/>
          <w:sz w:val="24"/>
          <w:szCs w:val="24"/>
        </w:rPr>
        <w:t xml:space="preserve">) inverted the research question to align with the established causal structure and with the project theme of oral health disparities. The three tasks are:</w:t>
      </w:r>
    </w:p>
    <w:p>
      <w:pPr>
        <w:spacing w:after="160" w:before="80"/>
        <w:jc w:val="both"/>
      </w:pPr>
      <w:r>
        <w:rPr>
          <w:rFonts w:ascii="Arial" w:cs="Arial" w:eastAsia="Arial" w:hAnsi="Arial"/>
          <w:b/>
          <w:bCs/>
          <w:sz w:val="24"/>
          <w:szCs w:val="24"/>
        </w:rPr>
        <w:t xml:space="preserve">Task 1 — Binary Classification: </w:t>
      </w:r>
      <w:r>
        <w:rPr>
          <w:rFonts w:ascii="Arial" w:cs="Arial" w:eastAsia="Arial" w:hAnsi="Arial"/>
          <w:sz w:val="24"/>
          <w:szCs w:val="24"/>
        </w:rPr>
        <w:t xml:space="preserve">Predict whether a participant rates their own oral health as Fair or Poor (target </w:t>
      </w:r>
      <w:r>
        <w:rPr>
          <w:rFonts w:ascii="Courier New" w:cs="Courier New" w:eastAsia="Courier New" w:hAnsi="Courier New"/>
          <w:sz w:val="22"/>
          <w:szCs w:val="22"/>
        </w:rPr>
        <w:t xml:space="preserve">target_poor_selfrated</w:t>
      </w:r>
      <w:r>
        <w:rPr>
          <w:rFonts w:ascii="Arial" w:cs="Arial" w:eastAsia="Arial" w:hAnsi="Arial"/>
          <w:sz w:val="24"/>
          <w:szCs w:val="24"/>
        </w:rPr>
        <w:t xml:space="preserve">). The target is engineered from the 5-point NHANES self-rating scale, with responses 4 (Fair) and 5 (Poor) mapped to 1 and all others to 0. Positive rate: 34.4%.</w:t>
      </w:r>
    </w:p>
    <w:p>
      <w:pPr>
        <w:spacing w:after="160" w:before="80"/>
        <w:jc w:val="both"/>
      </w:pPr>
      <w:r>
        <w:rPr>
          <w:rFonts w:ascii="Arial" w:cs="Arial" w:eastAsia="Arial" w:hAnsi="Arial"/>
          <w:b/>
          <w:bCs/>
          <w:sz w:val="24"/>
          <w:szCs w:val="24"/>
        </w:rPr>
        <w:t xml:space="preserve">Task 2 — Binary Classification: </w:t>
      </w:r>
      <w:r>
        <w:rPr>
          <w:rFonts w:ascii="Arial" w:cs="Arial" w:eastAsia="Arial" w:hAnsi="Arial"/>
          <w:sz w:val="24"/>
          <w:szCs w:val="24"/>
        </w:rPr>
        <w:t xml:space="preserve">Predict whether the NHANES clinician recommended the participant seek any level of dental care (target </w:t>
      </w:r>
      <w:r>
        <w:rPr>
          <w:rFonts w:ascii="Courier New" w:cs="Courier New" w:eastAsia="Courier New" w:hAnsi="Courier New"/>
          <w:sz w:val="22"/>
          <w:szCs w:val="22"/>
        </w:rPr>
        <w:t xml:space="preserve">target_needs_care</w:t>
      </w:r>
      <w:r>
        <w:rPr>
          <w:rFonts w:ascii="Arial" w:cs="Arial" w:eastAsia="Arial" w:hAnsi="Arial"/>
          <w:sz w:val="24"/>
          <w:szCs w:val="24"/>
        </w:rPr>
        <w:t xml:space="preserve">). This is a clinically meaningful outcome because it reflects unmet need identified by objective examination. Positive rate: 42.5%.</w:t>
      </w:r>
    </w:p>
    <w:p>
      <w:pPr>
        <w:spacing w:after="160" w:before="80"/>
        <w:jc w:val="both"/>
      </w:pPr>
      <w:r>
        <w:rPr>
          <w:rFonts w:ascii="Arial" w:cs="Arial" w:eastAsia="Arial" w:hAnsi="Arial"/>
          <w:b/>
          <w:bCs/>
          <w:sz w:val="24"/>
          <w:szCs w:val="24"/>
        </w:rPr>
        <w:t xml:space="preserve">Task 3 — Regression: </w:t>
      </w:r>
      <w:r>
        <w:rPr>
          <w:rFonts w:ascii="Arial" w:cs="Arial" w:eastAsia="Arial" w:hAnsi="Arial"/>
          <w:sz w:val="24"/>
          <w:szCs w:val="24"/>
        </w:rPr>
        <w:t xml:space="preserve">Predict a participant's DMFT score (continuous, 0–28) from upstream SES, demographic, access, and behavioral features, deliberately excluding the raw clinical exam sub-scores to prevent data leakage. DMFT mean: 10.74, std: 8.42.</w:t>
      </w:r>
    </w:p>
    <w:p>
      <w:pPr>
        <w:spacing w:after="160" w:before="80"/>
        <w:jc w:val="both"/>
      </w:pPr>
      <w:r>
        <w:rPr>
          <w:rFonts w:ascii="Arial" w:cs="Arial" w:eastAsia="Arial" w:hAnsi="Arial"/>
          <w:sz w:val="24"/>
          <w:szCs w:val="24"/>
        </w:rPr>
        <w:t xml:space="preserve">In all three tasks, SES and access-to-care features serve as inputs and oral health outcomes serve as targets. This is the correct causal direction.</w:t>
      </w:r>
    </w:p>
    <w:p>
      <w:pPr>
        <w:pStyle w:val="Heading1"/>
        <w:spacing w:after="200" w:before="360"/>
      </w:pPr>
      <w:r>
        <w:rPr>
          <w:rFonts w:ascii="Arial" w:cs="Arial" w:eastAsia="Arial" w:hAnsi="Arial"/>
          <w:b/>
          <w:bCs/>
          <w:sz w:val="32"/>
          <w:szCs w:val="32"/>
        </w:rPr>
        <w:t xml:space="preserve">5. Data Cleaning</w:t>
      </w:r>
    </w:p>
    <w:p>
      <w:pPr>
        <w:spacing w:after="160" w:before="80"/>
        <w:jc w:val="both"/>
      </w:pPr>
      <w:r>
        <w:rPr>
          <w:rFonts w:ascii="Arial" w:cs="Arial" w:eastAsia="Arial" w:hAnsi="Arial"/>
          <w:sz w:val="24"/>
          <w:szCs w:val="24"/>
        </w:rPr>
        <w:t xml:space="preserve">The shallow methods notebook applied systematic cleaning to the NHANES data before any model saw it. These corrections were absent from both of Jeff's notebooks (which used only </w:t>
      </w:r>
      <w:r>
        <w:rPr>
          <w:rFonts w:ascii="Courier New" w:cs="Courier New" w:eastAsia="Courier New" w:hAnsi="Courier New"/>
          <w:sz w:val="22"/>
          <w:szCs w:val="22"/>
        </w:rPr>
        <w:t xml:space="preserve">dmft_score</w:t>
      </w:r>
      <w:r>
        <w:rPr>
          <w:rFonts w:ascii="Arial" w:cs="Arial" w:eastAsia="Arial" w:hAnsi="Arial"/>
          <w:sz w:val="24"/>
          <w:szCs w:val="24"/>
        </w:rPr>
        <w:t xml:space="preserve">, a column that does not carry NHANES sentinel codes, but which would have been corrupted had the feature set been extended).</w:t>
      </w:r>
    </w:p>
    <w:p>
      <w:pPr>
        <w:pStyle w:val="Heading2"/>
        <w:spacing w:after="160" w:before="280"/>
      </w:pPr>
      <w:r>
        <w:rPr>
          <w:rFonts w:ascii="Arial" w:cs="Arial" w:eastAsia="Arial" w:hAnsi="Arial"/>
          <w:b/>
          <w:bCs/>
          <w:sz w:val="28"/>
          <w:szCs w:val="28"/>
        </w:rPr>
        <w:t xml:space="preserve">5.1 Sentinel Codes Recoded to NaN</w:t>
      </w:r>
    </w:p>
    <w:p>
      <w:pPr>
        <w:spacing w:after="160" w:before="80"/>
        <w:jc w:val="both"/>
      </w:pPr>
      <w:r>
        <w:rPr>
          <w:rFonts w:ascii="Arial" w:cs="Arial" w:eastAsia="Arial" w:hAnsi="Arial"/>
          <w:sz w:val="24"/>
          <w:szCs w:val="24"/>
        </w:rPr>
        <w:t xml:space="preserve">NHANES uses specific numeric codes to represent non-response: 7 (Refused) and 9 (Don't know) in short categorical fields; 77 and 99 in longer-scale fields. Eleven columns required this treatment, including </w:t>
      </w:r>
      <w:r>
        <w:rPr>
          <w:rFonts w:ascii="Courier New" w:cs="Courier New" w:eastAsia="Courier New" w:hAnsi="Courier New"/>
          <w:sz w:val="22"/>
          <w:szCs w:val="22"/>
        </w:rPr>
        <w:t xml:space="preserve">race_ethnicity_detailed</w:t>
      </w:r>
      <w:r>
        <w:rPr>
          <w:rFonts w:ascii="Arial" w:cs="Arial" w:eastAsia="Arial" w:hAnsi="Arial"/>
          <w:sz w:val="24"/>
          <w:szCs w:val="24"/>
        </w:rPr>
        <w:t xml:space="preserve">, </w:t>
      </w:r>
      <w:r>
        <w:rPr>
          <w:rFonts w:ascii="Courier New" w:cs="Courier New" w:eastAsia="Courier New" w:hAnsi="Courier New"/>
          <w:sz w:val="22"/>
          <w:szCs w:val="22"/>
        </w:rPr>
        <w:t xml:space="preserve">country_of_birth</w:t>
      </w:r>
      <w:r>
        <w:rPr>
          <w:rFonts w:ascii="Arial" w:cs="Arial" w:eastAsia="Arial" w:hAnsi="Arial"/>
          <w:sz w:val="24"/>
          <w:szCs w:val="24"/>
        </w:rPr>
        <w:t xml:space="preserve">, </w:t>
      </w:r>
      <w:r>
        <w:rPr>
          <w:rFonts w:ascii="Courier New" w:cs="Courier New" w:eastAsia="Courier New" w:hAnsi="Courier New"/>
          <w:sz w:val="22"/>
          <w:szCs w:val="22"/>
        </w:rPr>
        <w:t xml:space="preserve">reason_last_dental_visit</w:t>
      </w:r>
      <w:r>
        <w:rPr>
          <w:rFonts w:ascii="Arial" w:cs="Arial" w:eastAsia="Arial" w:hAnsi="Arial"/>
          <w:sz w:val="24"/>
          <w:szCs w:val="24"/>
        </w:rPr>
        <w:t xml:space="preserve">, </w:t>
      </w:r>
      <w:r>
        <w:rPr>
          <w:rFonts w:ascii="Courier New" w:cs="Courier New" w:eastAsia="Courier New" w:hAnsi="Courier New"/>
          <w:sz w:val="22"/>
          <w:szCs w:val="22"/>
        </w:rPr>
        <w:t xml:space="preserve">needed_dental_care_couldnt_get</w:t>
      </w:r>
      <w:r>
        <w:rPr>
          <w:rFonts w:ascii="Arial" w:cs="Arial" w:eastAsia="Arial" w:hAnsi="Arial"/>
          <w:sz w:val="24"/>
          <w:szCs w:val="24"/>
        </w:rPr>
        <w:t xml:space="preserve">, three oral-health quality-of-life frequency columns, and four gum-disease and cancer-exam columns. After recoding, all NaN values were filled via mode imputation for low-cardinality columns (≤12 unique values) and median imputation for continuous columns.</w:t>
      </w:r>
    </w:p>
    <w:p>
      <w:pPr>
        <w:pStyle w:val="Heading2"/>
        <w:spacing w:after="160" w:before="280"/>
      </w:pPr>
      <w:r>
        <w:rPr>
          <w:rFonts w:ascii="Arial" w:cs="Arial" w:eastAsia="Arial" w:hAnsi="Arial"/>
          <w:b/>
          <w:bCs/>
          <w:sz w:val="28"/>
          <w:szCs w:val="28"/>
        </w:rPr>
        <w:t xml:space="preserve">5.2 Yes/No Columns Recoded from 1/2 to 1/0</w:t>
      </w:r>
    </w:p>
    <w:p>
      <w:pPr>
        <w:spacing w:after="160" w:before="80"/>
        <w:jc w:val="both"/>
      </w:pPr>
      <w:r>
        <w:rPr>
          <w:rFonts w:ascii="Arial" w:cs="Arial" w:eastAsia="Arial" w:hAnsi="Arial"/>
          <w:sz w:val="24"/>
          <w:szCs w:val="24"/>
        </w:rPr>
        <w:t xml:space="preserve">NHANES encodes binary yes/no questions as 1 = Yes, 2 = No. Five columns were recoded: </w:t>
      </w:r>
      <w:r>
        <w:rPr>
          <w:rFonts w:ascii="Courier New" w:cs="Courier New" w:eastAsia="Courier New" w:hAnsi="Courier New"/>
          <w:sz w:val="22"/>
          <w:szCs w:val="22"/>
        </w:rPr>
        <w:t xml:space="preserve">needed_dental_care_couldnt_get</w:t>
      </w:r>
      <w:r>
        <w:rPr>
          <w:rFonts w:ascii="Arial" w:cs="Arial" w:eastAsia="Arial" w:hAnsi="Arial"/>
          <w:sz w:val="24"/>
          <w:szCs w:val="24"/>
        </w:rPr>
        <w:t xml:space="preserve">, </w:t>
      </w:r>
      <w:r>
        <w:rPr>
          <w:rFonts w:ascii="Courier New" w:cs="Courier New" w:eastAsia="Courier New" w:hAnsi="Courier New"/>
          <w:sz w:val="22"/>
          <w:szCs w:val="22"/>
        </w:rPr>
        <w:t xml:space="preserve">had_gum_disease_treatment</w:t>
      </w:r>
      <w:r>
        <w:rPr>
          <w:rFonts w:ascii="Arial" w:cs="Arial" w:eastAsia="Arial" w:hAnsi="Arial"/>
          <w:sz w:val="24"/>
          <w:szCs w:val="24"/>
        </w:rPr>
        <w:t xml:space="preserve">, </w:t>
      </w:r>
      <w:r>
        <w:rPr>
          <w:rFonts w:ascii="Courier New" w:cs="Courier New" w:eastAsia="Courier New" w:hAnsi="Courier New"/>
          <w:sz w:val="22"/>
          <w:szCs w:val="22"/>
        </w:rPr>
        <w:t xml:space="preserve">thinks_has_gum_disease</w:t>
      </w:r>
      <w:r>
        <w:rPr>
          <w:rFonts w:ascii="Arial" w:cs="Arial" w:eastAsia="Arial" w:hAnsi="Arial"/>
          <w:sz w:val="24"/>
          <w:szCs w:val="24"/>
        </w:rPr>
        <w:t xml:space="preserve">, </w:t>
      </w:r>
      <w:r>
        <w:rPr>
          <w:rFonts w:ascii="Courier New" w:cs="Courier New" w:eastAsia="Courier New" w:hAnsi="Courier New"/>
          <w:sz w:val="22"/>
          <w:szCs w:val="22"/>
        </w:rPr>
        <w:t xml:space="preserve">told_bone_loss_around_teeth</w:t>
      </w:r>
      <w:r>
        <w:rPr>
          <w:rFonts w:ascii="Arial" w:cs="Arial" w:eastAsia="Arial" w:hAnsi="Arial"/>
          <w:sz w:val="24"/>
          <w:szCs w:val="24"/>
        </w:rPr>
        <w:t xml:space="preserve">, and </w:t>
      </w:r>
      <w:r>
        <w:rPr>
          <w:rFonts w:ascii="Courier New" w:cs="Courier New" w:eastAsia="Courier New" w:hAnsi="Courier New"/>
          <w:sz w:val="22"/>
          <w:szCs w:val="22"/>
        </w:rPr>
        <w:t xml:space="preserve">had_oral_cancer_exam</w:t>
      </w:r>
      <w:r>
        <w:rPr>
          <w:rFonts w:ascii="Arial" w:cs="Arial" w:eastAsia="Arial" w:hAnsi="Arial"/>
          <w:sz w:val="24"/>
          <w:szCs w:val="24"/>
        </w:rPr>
        <w:t xml:space="preserve">. The corrected coding (1 = Yes, 0 = No) was verified by cross-tabulation against the target variable for each column. This recoding matters most for logistic regression, where the numeric scale of binary predictors directly determines the sign and magnitude of fitted coefficients.</w:t>
      </w:r>
    </w:p>
    <w:p>
      <w:pPr>
        <w:pStyle w:val="Heading2"/>
        <w:spacing w:after="160" w:before="280"/>
      </w:pPr>
      <w:r>
        <w:rPr>
          <w:rFonts w:ascii="Arial" w:cs="Arial" w:eastAsia="Arial" w:hAnsi="Arial"/>
          <w:b/>
          <w:bCs/>
          <w:sz w:val="28"/>
          <w:szCs w:val="28"/>
        </w:rPr>
        <w:t xml:space="preserve">5.3 Correlated SES Features Consolidated</w:t>
      </w:r>
    </w:p>
    <w:p>
      <w:pPr>
        <w:spacing w:after="160" w:before="80"/>
        <w:jc w:val="both"/>
      </w:pPr>
      <w:r>
        <w:rPr>
          <w:rFonts w:ascii="Arial" w:cs="Arial" w:eastAsia="Arial" w:hAnsi="Arial"/>
          <w:sz w:val="24"/>
          <w:szCs w:val="24"/>
        </w:rPr>
        <w:t xml:space="preserve">The raw dataset contains </w:t>
      </w:r>
      <w:r>
        <w:rPr>
          <w:rFonts w:ascii="Courier New" w:cs="Courier New" w:eastAsia="Courier New" w:hAnsi="Courier New"/>
          <w:sz w:val="22"/>
          <w:szCs w:val="22"/>
        </w:rPr>
        <w:t xml:space="preserve">household_income</w:t>
      </w:r>
      <w:r>
        <w:rPr>
          <w:rFonts w:ascii="Arial" w:cs="Arial" w:eastAsia="Arial" w:hAnsi="Arial"/>
          <w:sz w:val="24"/>
          <w:szCs w:val="24"/>
        </w:rPr>
        <w:t xml:space="preserve">, </w:t>
      </w:r>
      <w:r>
        <w:rPr>
          <w:rFonts w:ascii="Courier New" w:cs="Courier New" w:eastAsia="Courier New" w:hAnsi="Courier New"/>
          <w:sz w:val="22"/>
          <w:szCs w:val="22"/>
        </w:rPr>
        <w:t xml:space="preserve">family_income</w:t>
      </w:r>
      <w:r>
        <w:rPr>
          <w:rFonts w:ascii="Arial" w:cs="Arial" w:eastAsia="Arial" w:hAnsi="Arial"/>
          <w:sz w:val="24"/>
          <w:szCs w:val="24"/>
        </w:rPr>
        <w:t xml:space="preserve">, and </w:t>
      </w:r>
      <w:r>
        <w:rPr>
          <w:rFonts w:ascii="Courier New" w:cs="Courier New" w:eastAsia="Courier New" w:hAnsi="Courier New"/>
          <w:sz w:val="22"/>
          <w:szCs w:val="22"/>
        </w:rPr>
        <w:t xml:space="preserve">income_poverty_ratio</w:t>
      </w:r>
      <w:r>
        <w:rPr>
          <w:rFonts w:ascii="Arial" w:cs="Arial" w:eastAsia="Arial" w:hAnsi="Arial"/>
          <w:sz w:val="24"/>
          <w:szCs w:val="24"/>
        </w:rPr>
        <w:t xml:space="preserve"> simultaneously. The pairwise Pearson correlation between the first two and </w:t>
      </w:r>
      <w:r>
        <w:rPr>
          <w:rFonts w:ascii="Courier New" w:cs="Courier New" w:eastAsia="Courier New" w:hAnsi="Courier New"/>
          <w:sz w:val="22"/>
          <w:szCs w:val="22"/>
        </w:rPr>
        <w:t xml:space="preserve">income_poverty_ratio</w:t>
      </w:r>
      <w:r>
        <w:rPr>
          <w:rFonts w:ascii="Arial" w:cs="Arial" w:eastAsia="Arial" w:hAnsi="Arial"/>
          <w:sz w:val="24"/>
          <w:szCs w:val="24"/>
        </w:rPr>
        <w:t xml:space="preserve"> exceeds 0.87. Retaining all three inflates the apparent importance of the SES block and destabilizes logistic regression coefficient estimates. We retained </w:t>
      </w:r>
      <w:r>
        <w:rPr>
          <w:rFonts w:ascii="Courier New" w:cs="Courier New" w:eastAsia="Courier New" w:hAnsi="Courier New"/>
          <w:sz w:val="22"/>
          <w:szCs w:val="22"/>
        </w:rPr>
        <w:t xml:space="preserve">income_poverty_ratio</w:t>
      </w:r>
      <w:r>
        <w:rPr>
          <w:rFonts w:ascii="Arial" w:cs="Arial" w:eastAsia="Arial" w:hAnsi="Arial"/>
          <w:sz w:val="24"/>
          <w:szCs w:val="24"/>
        </w:rPr>
        <w:t xml:space="preserve"> as the primary continuous SES measure (it is scale-invariant across household sizes) and excluded the redundant income bracket columns from the feature set.</w:t>
      </w:r>
    </w:p>
    <w:p>
      <w:pPr>
        <w:pStyle w:val="Heading1"/>
        <w:spacing w:after="200" w:before="360"/>
      </w:pPr>
      <w:r>
        <w:rPr>
          <w:rFonts w:ascii="Arial" w:cs="Arial" w:eastAsia="Arial" w:hAnsi="Arial"/>
          <w:b/>
          <w:bCs/>
          <w:sz w:val="32"/>
          <w:szCs w:val="32"/>
        </w:rPr>
        <w:t xml:space="preserve">6. Shallow Methods Modeling</w:t>
      </w:r>
    </w:p>
    <w:p>
      <w:pPr>
        <w:pStyle w:val="Heading2"/>
        <w:spacing w:after="160" w:before="280"/>
      </w:pPr>
      <w:r>
        <w:rPr>
          <w:rFonts w:ascii="Arial" w:cs="Arial" w:eastAsia="Arial" w:hAnsi="Arial"/>
          <w:b/>
          <w:bCs/>
          <w:sz w:val="28"/>
          <w:szCs w:val="28"/>
        </w:rPr>
        <w:t xml:space="preserve">6.1 Feature Sets</w:t>
      </w:r>
    </w:p>
    <w:p>
      <w:pPr>
        <w:spacing w:after="160" w:before="80"/>
        <w:jc w:val="both"/>
      </w:pPr>
      <w:r>
        <w:rPr>
          <w:rFonts w:ascii="Arial" w:cs="Arial" w:eastAsia="Arial" w:hAnsi="Arial"/>
          <w:sz w:val="24"/>
          <w:szCs w:val="24"/>
        </w:rPr>
        <w:t xml:space="preserve">Features were grouped into five thematic blocks. Each task uses a task-specific subset to prevent data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Block</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Features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income_poverty_ratio, education_adult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Demographic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age, gender, race_ethnicity, marital_status, household_size, country_of_birth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last_dental_visit, reason_last_dental_visit, needed_dental_care_couldnt_get, barrier_cost, barrier_insurance_no_coverage, barrier_cant_take_time_off_work, barrier_too_busy, barrier_office_too_far, barrier_afraid_of_dentist, barrier_didnt_want_to_spend, barrier_other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Behavioral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floss_days_past_week, had_gum_disease_treatment, had_oral_cancer_exam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Self-Report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thinks_has_gum_disease, told_bone_loss_around_teeth, freq_mouth_aching_past_year, freq_job_difficulty_from_mouth, freq_embarrassed_from_mouth, self_rated_oral_health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Clinical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dmft_score, teeth_present, teeth_decayed, teeth_filled_sound, treatment_ratio, is_edentulous, root_caries_present, has_dental_implant</w:t>
            </w:r>
          </w:p>
        </w:tc>
      </w:tr>
    </w:tbl>
    <w:p>
      <w:pPr>
        <w:spacing w:after="160"/>
      </w:pPr>
    </w:p>
    <w:p>
      <w:pPr>
        <w:spacing w:after="160" w:before="80"/>
        <w:jc w:val="both"/>
      </w:pPr>
      <w:r>
        <w:rPr>
          <w:rFonts w:ascii="Arial" w:cs="Arial" w:eastAsia="Arial" w:hAnsi="Arial"/>
          <w:sz w:val="24"/>
          <w:szCs w:val="24"/>
        </w:rPr>
        <w:t xml:space="preserve">Task-specific leakage controls were applied as follows:</w:t>
      </w:r>
    </w:p>
    <w:p>
      <w:pPr>
        <w:spacing w:after="160" w:before="80"/>
        <w:jc w:val="both"/>
      </w:pPr>
      <w:r>
        <w:rPr>
          <w:rFonts w:ascii="Arial" w:cs="Arial" w:eastAsia="Arial" w:hAnsi="Arial"/>
          <w:b/>
          <w:bCs/>
          <w:sz w:val="24"/>
          <w:szCs w:val="24"/>
        </w:rPr>
        <w:t xml:space="preserve">•  Task 1: </w:t>
      </w:r>
      <w:r>
        <w:rPr>
          <w:rFonts w:ascii="Arial" w:cs="Arial" w:eastAsia="Arial" w:hAnsi="Arial"/>
          <w:sz w:val="24"/>
          <w:szCs w:val="24"/>
        </w:rPr>
        <w:t xml:space="preserve">self_rated_oral_health</w:t>
      </w:r>
      <w:r>
        <w:rPr>
          <w:rFonts w:ascii="Arial" w:cs="Arial" w:eastAsia="Arial" w:hAnsi="Arial"/>
          <w:sz w:val="24"/>
          <w:szCs w:val="24"/>
        </w:rPr>
        <w:t xml:space="preserve"> and the three oral health quality-of-life frequency columns are excluded. Task 1's target is derived from </w:t>
      </w:r>
      <w:r>
        <w:rPr>
          <w:rFonts w:ascii="Courier New" w:cs="Courier New" w:eastAsia="Courier New" w:hAnsi="Courier New"/>
          <w:sz w:val="22"/>
          <w:szCs w:val="22"/>
        </w:rPr>
        <w:t xml:space="preserve">self_rated_oral_health</w:t>
      </w:r>
      <w:r>
        <w:rPr>
          <w:rFonts w:ascii="Arial" w:cs="Arial" w:eastAsia="Arial" w:hAnsi="Arial"/>
          <w:i w:val="false"/>
          <w:iCs w:val="false"/>
          <w:sz w:val="24"/>
          <w:szCs w:val="24"/>
        </w:rPr>
        <w:t xml:space="preserve">; including it would be a circular predictor. The three frequency columns (mouth aching, job difficulty, embarrassed) measure the same self-assessed construct and would similarly inflate model performance artificially. </w:t>
      </w:r>
    </w:p>
    <w:p>
      <w:pPr>
        <w:spacing w:after="160" w:before="80"/>
        <w:jc w:val="both"/>
      </w:pPr>
      <w:r>
        <w:rPr>
          <w:rFonts w:ascii="Arial" w:cs="Arial" w:eastAsia="Arial" w:hAnsi="Arial"/>
          <w:b/>
          <w:bCs/>
          <w:sz w:val="24"/>
          <w:szCs w:val="24"/>
        </w:rPr>
        <w:t xml:space="preserve">•  Task 3: </w:t>
      </w:r>
      <w:r>
        <w:rPr>
          <w:rFonts w:ascii="Arial" w:cs="Arial" w:eastAsia="Arial" w:hAnsi="Arial"/>
          <w:sz w:val="24"/>
          <w:szCs w:val="24"/>
        </w:rPr>
        <w:t xml:space="preserve">Clinical sub-scores (</w:t>
      </w:r>
      <w:r>
        <w:rPr>
          <w:rFonts w:ascii="Courier New" w:cs="Courier New" w:eastAsia="Courier New" w:hAnsi="Courier New"/>
          <w:sz w:val="22"/>
          <w:szCs w:val="22"/>
        </w:rPr>
        <w:t xml:space="preserve">teeth_present</w:t>
      </w:r>
      <w:r>
        <w:rPr>
          <w:rFonts w:ascii="Arial" w:cs="Arial" w:eastAsia="Arial" w:hAnsi="Arial"/>
          <w:sz w:val="24"/>
          <w:szCs w:val="24"/>
        </w:rPr>
        <w:t xml:space="preserve">, </w:t>
      </w:r>
      <w:r>
        <w:rPr>
          <w:rFonts w:ascii="Courier New" w:cs="Courier New" w:eastAsia="Courier New" w:hAnsi="Courier New"/>
          <w:sz w:val="22"/>
          <w:szCs w:val="22"/>
        </w:rPr>
        <w:t xml:space="preserve">teeth_decayed</w:t>
      </w:r>
      <w:r>
        <w:rPr>
          <w:rFonts w:ascii="Arial" w:cs="Arial" w:eastAsia="Arial" w:hAnsi="Arial"/>
          <w:sz w:val="24"/>
          <w:szCs w:val="24"/>
        </w:rPr>
        <w:t xml:space="preserve">, </w:t>
      </w:r>
      <w:r>
        <w:rPr>
          <w:rFonts w:ascii="Courier New" w:cs="Courier New" w:eastAsia="Courier New" w:hAnsi="Courier New"/>
          <w:sz w:val="22"/>
          <w:szCs w:val="22"/>
        </w:rPr>
        <w:t xml:space="preserve">teeth_filled_sound</w:t>
      </w:r>
      <w:r>
        <w:rPr>
          <w:rFonts w:ascii="Arial" w:cs="Arial" w:eastAsia="Arial" w:hAnsi="Arial"/>
          <w:sz w:val="24"/>
          <w:szCs w:val="24"/>
        </w:rPr>
        <w:t xml:space="preserve">, </w:t>
      </w:r>
      <w:r>
        <w:rPr>
          <w:rFonts w:ascii="Courier New" w:cs="Courier New" w:eastAsia="Courier New" w:hAnsi="Courier New"/>
          <w:sz w:val="22"/>
          <w:szCs w:val="22"/>
        </w:rPr>
        <w:t xml:space="preserve">treatment_ratio</w:t>
      </w:r>
      <w:r>
        <w:rPr>
          <w:rFonts w:ascii="Arial" w:cs="Arial" w:eastAsia="Arial" w:hAnsi="Arial"/>
          <w:sz w:val="24"/>
          <w:szCs w:val="24"/>
        </w:rPr>
        <w:t xml:space="preserve">, </w:t>
      </w:r>
      <w:r>
        <w:rPr>
          <w:rFonts w:ascii="Courier New" w:cs="Courier New" w:eastAsia="Courier New" w:hAnsi="Courier New"/>
          <w:sz w:val="22"/>
          <w:szCs w:val="22"/>
        </w:rPr>
        <w:t xml:space="preserve">root_caries_present</w:t>
      </w:r>
      <w:r>
        <w:rPr>
          <w:rFonts w:ascii="Arial" w:cs="Arial" w:eastAsia="Arial" w:hAnsi="Arial"/>
          <w:sz w:val="24"/>
          <w:szCs w:val="24"/>
        </w:rPr>
        <w:t xml:space="preserve">) are excluded from the DMFT regression. These variables are derived from the same NHANES dental exam as </w:t>
      </w:r>
      <w:r>
        <w:rPr>
          <w:rFonts w:ascii="Courier New" w:cs="Courier New" w:eastAsia="Courier New" w:hAnsi="Courier New"/>
          <w:sz w:val="22"/>
          <w:szCs w:val="22"/>
        </w:rPr>
        <w:t xml:space="preserve">dmft_score</w:t>
      </w:r>
      <w:r>
        <w:rPr>
          <w:rFonts w:ascii="Arial" w:cs="Arial" w:eastAsia="Arial" w:hAnsi="Arial"/>
          <w:sz w:val="24"/>
          <w:szCs w:val="24"/>
        </w:rPr>
        <w:t xml:space="preserve">; including them would render the model undeployable outside a clinical exam context and would constitute within-visit data leakage.</w:t>
      </w:r>
    </w:p>
    <w:p>
      <w:pPr>
        <w:spacing w:after="160" w:before="80"/>
        <w:jc w:val="both"/>
      </w:pPr>
      <w:r>
        <w:rPr>
          <w:rFonts w:ascii="Arial" w:cs="Arial" w:eastAsia="Arial" w:hAnsi="Arial"/>
          <w:sz w:val="24"/>
          <w:szCs w:val="24"/>
        </w:rPr>
        <w:t xml:space="preserve">Final feature counts: Task 1 = 32 features, Task 2 = 36 features, Task 3 = 28 features.</w:t>
      </w:r>
    </w:p>
    <w:p>
      <w:pPr>
        <w:pStyle w:val="Heading2"/>
        <w:spacing w:after="160" w:before="280"/>
      </w:pPr>
      <w:r>
        <w:rPr>
          <w:rFonts w:ascii="Arial" w:cs="Arial" w:eastAsia="Arial" w:hAnsi="Arial"/>
          <w:b/>
          <w:bCs/>
          <w:sz w:val="28"/>
          <w:szCs w:val="28"/>
        </w:rPr>
        <w:t xml:space="preserve">6.2 Models and Cross-Validation</w:t>
      </w:r>
    </w:p>
    <w:p>
      <w:pPr>
        <w:spacing w:after="160" w:before="80"/>
        <w:jc w:val="both"/>
      </w:pPr>
      <w:r>
        <w:rPr>
          <w:rFonts w:ascii="Arial" w:cs="Arial" w:eastAsia="Arial" w:hAnsi="Arial"/>
          <w:sz w:val="24"/>
          <w:szCs w:val="24"/>
        </w:rPr>
        <w:t xml:space="preserve">Three model families were evaluated for each task, all within a 5-fold cross-validation framework using scikit-learn:</w:t>
      </w:r>
    </w:p>
    <w:p>
      <w:pPr>
        <w:spacing w:after="160" w:before="80"/>
        <w:jc w:val="both"/>
      </w:pPr>
      <w:r>
        <w:rPr>
          <w:rFonts w:ascii="Arial" w:cs="Arial" w:eastAsia="Arial" w:hAnsi="Arial"/>
          <w:b/>
          <w:bCs/>
          <w:sz w:val="24"/>
          <w:szCs w:val="24"/>
        </w:rPr>
        <w:t xml:space="preserve">•  </w:t>
      </w:r>
      <w:r>
        <w:rPr>
          <w:rFonts w:ascii="Arial" w:cs="Arial" w:eastAsia="Arial" w:hAnsi="Arial"/>
          <w:sz w:val="24"/>
          <w:szCs w:val="24"/>
        </w:rPr>
        <w:t xml:space="preserve">Logistic Regression (Tasks 1 – 2) / Ridge Regression (Task 3): </w:t>
      </w:r>
      <w:r>
        <w:rPr>
          <w:rFonts w:ascii="Arial" w:cs="Arial" w:eastAsia="Arial" w:hAnsi="Arial"/>
          <w:sz w:val="24"/>
          <w:szCs w:val="24"/>
        </w:rPr>
        <w:t xml:space="preserve">Applied via sklearn Pipeline with StandardScaler prepended. class_weight='balanced' for classification tasks. Ridge alpha=1.0 for regression. Provides a linear baseline and coefficient-level interpretability.</w:t>
      </w:r>
    </w:p>
    <w:p>
      <w:pPr>
        <w:spacing w:after="160" w:before="80"/>
        <w:jc w:val="both"/>
      </w:pPr>
      <w:r>
        <w:rPr>
          <w:rFonts w:ascii="Arial" w:cs="Arial" w:eastAsia="Arial" w:hAnsi="Arial"/>
          <w:b/>
          <w:bCs/>
          <w:sz w:val="24"/>
          <w:szCs w:val="24"/>
        </w:rPr>
        <w:t xml:space="preserve">•  </w:t>
      </w:r>
      <w:r>
        <w:rPr>
          <w:rFonts w:ascii="Arial" w:cs="Arial" w:eastAsia="Arial" w:hAnsi="Arial"/>
          <w:sz w:val="24"/>
          <w:szCs w:val="24"/>
        </w:rPr>
        <w:t xml:space="preserve">Random Forest: </w:t>
      </w:r>
      <w:r>
        <w:rPr>
          <w:rFonts w:ascii="Arial" w:cs="Arial" w:eastAsia="Arial" w:hAnsi="Arial"/>
          <w:sz w:val="24"/>
          <w:szCs w:val="24"/>
        </w:rPr>
        <w:t xml:space="preserve">500 estimators (Tasks 1, 3), 300 estimators (Task 2), class_weight='balanced' for classification. Provides a non-parametric baseline with permutation-based feature importance. Trained in parallel with n_jobs=−1.</w:t>
      </w:r>
    </w:p>
    <w:p>
      <w:pPr>
        <w:spacing w:after="160" w:before="80"/>
        <w:jc w:val="both"/>
      </w:pPr>
      <w:r>
        <w:rPr>
          <w:rFonts w:ascii="Arial" w:cs="Arial" w:eastAsia="Arial" w:hAnsi="Arial"/>
          <w:b/>
          <w:bCs/>
          <w:sz w:val="24"/>
          <w:szCs w:val="24"/>
        </w:rPr>
        <w:t xml:space="preserve">•  </w:t>
      </w:r>
      <w:r>
        <w:rPr>
          <w:rFonts w:ascii="Arial" w:cs="Arial" w:eastAsia="Arial" w:hAnsi="Arial"/>
          <w:sz w:val="24"/>
          <w:szCs w:val="24"/>
        </w:rPr>
        <w:t xml:space="preserve">XGBoost: </w:t>
      </w:r>
      <w:r>
        <w:rPr>
          <w:rFonts w:ascii="Arial" w:cs="Arial" w:eastAsia="Arial" w:hAnsi="Arial"/>
          <w:sz w:val="24"/>
          <w:szCs w:val="24"/>
        </w:rPr>
        <w:t xml:space="preserve">300–500 estimators, learning_rate=0.05, max_depth=4, subsample=0.8, colsample_bytree=0.8. scale_pos_weight set to the negative-to-positive ratio for classification tasks. Followed by RandomizedSearchCV hyperparameter tuning (n_iter=40, 5-fold stratified CV) for the two classification tasks.</w:t>
      </w:r>
    </w:p>
    <w:p>
      <w:pPr>
        <w:spacing w:after="160" w:before="80"/>
        <w:jc w:val="both"/>
      </w:pPr>
      <w:r>
        <w:rPr>
          <w:rFonts w:ascii="Arial" w:cs="Arial" w:eastAsia="Arial" w:hAnsi="Arial"/>
          <w:sz w:val="24"/>
          <w:szCs w:val="24"/>
        </w:rPr>
        <w:t xml:space="preserve">Classification tasks used StratifiedKFold (k=5) to preserve the class ratio across folds. Regression used standard KFold (k=5). Classification metrics reported: balanced accuracy, ROC-AUC, weighted F1. Regression metrics reported: MAE, RMSE, R².</w:t>
      </w:r>
    </w:p>
    <w:p>
      <w:pPr>
        <w:pStyle w:val="Heading2"/>
        <w:spacing w:after="160" w:before="280"/>
      </w:pPr>
      <w:r>
        <w:rPr>
          <w:rFonts w:ascii="Arial" w:cs="Arial" w:eastAsia="Arial" w:hAnsi="Arial"/>
          <w:b/>
          <w:bCs/>
          <w:sz w:val="28"/>
          <w:szCs w:val="28"/>
        </w:rPr>
        <w:t xml:space="preserve">6.3 Task 1 Results: Self-Rated Poor Oral Health</w:t>
      </w:r>
    </w:p>
    <w:p>
      <w:pPr>
        <w:spacing w:after="160" w:before="80"/>
        <w:jc w:val="both"/>
      </w:pPr>
      <w:r>
        <w:rPr>
          <w:rFonts w:ascii="Arial" w:cs="Arial" w:eastAsia="Arial" w:hAnsi="Arial"/>
          <w:sz w:val="24"/>
          <w:szCs w:val="24"/>
        </w:rPr>
        <w:t xml:space="preserve">n = 5,265, positive rate = 34.4%. 32 input features. StratifiedKFold CV (5-fold). Class imbalance addressed via class_weight='balanced' and scale_pos_weight.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Model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Balanced Acc.</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ROC-AUC</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Weighted F1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Logistic Regression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0.7550 (±0.003)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0.8410 (±0.004)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0.7684 (±0.004)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Random Forest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0.7348 (±0.005)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0.8430 (±0.007)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0.7773 (±0.006)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XGBoost (default)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0.7600 (±0.007)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0.8382 (±0.006)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0.7755 (±0.008)</w:t>
            </w:r>
          </w:p>
        </w:tc>
      </w:tr>
      <w:tr>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XGBoost (tuned)*</w:t>
            </w:r>
          </w:p>
        </w:tc>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0.7703</w:t>
            </w:r>
          </w:p>
        </w:tc>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0.8493</w:t>
            </w:r>
          </w:p>
        </w:tc>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0.7785</w:t>
            </w:r>
          </w:p>
        </w:tc>
      </w:tr>
    </w:tbl>
    <w:p>
      <w:pPr>
        <w:spacing w:after="120"/>
      </w:pPr>
    </w:p>
    <w:p>
      <w:pPr>
        <w:spacing w:after="160" w:before="80"/>
        <w:jc w:val="both"/>
      </w:pPr>
      <w:r>
        <w:rPr>
          <w:rFonts w:ascii="Arial" w:cs="Arial" w:eastAsia="Arial" w:hAnsi="Arial"/>
          <w:i/>
          <w:iCs/>
          <w:sz w:val="24"/>
          <w:szCs w:val="24"/>
        </w:rPr>
        <w:t xml:space="preserve">* </w:t>
      </w:r>
      <w:r>
        <w:rPr>
          <w:rFonts w:ascii="Arial" w:cs="Arial" w:eastAsia="Arial" w:hAnsi="Arial"/>
          <w:i/>
          <w:iCs/>
          <w:sz w:val="24"/>
          <w:szCs w:val="24"/>
        </w:rPr>
        <w:t xml:space="preserve">Tuned XGBoost best parameters: n_estimators=1000, max_depth=3, learning_rate=0.01, subsample=0.8, colsample_bytree=0.8, min_child_weight=5, gamma=0.1. AUC improved from 0.8382 to 0.8493 with tuning.</w:t>
      </w:r>
    </w:p>
    <w:p>
      <w:pPr>
        <w:spacing w:after="160" w:before="80"/>
        <w:jc w:val="both"/>
      </w:pPr>
      <w:r>
        <w:rPr>
          <w:rFonts w:ascii="Arial" w:cs="Arial" w:eastAsia="Arial" w:hAnsi="Arial"/>
          <w:sz w:val="24"/>
          <w:szCs w:val="24"/>
        </w:rPr>
        <w:t xml:space="preserve">All three model families produced ROC-AUC scores in the 0.83–0.85 range, indicating consistent and meaningful predictive signal from the SES and access feature set. The tuned XGBoost achieved the highest AUC (0.8493) and balanced accuracy (0.7703). Logistic regression was competitive despite its linearity, suggesting that a substantial portion of the predictive signal is linear in nature—consistent with the role of income and education as the dominant predictors identified in feature importance analysis.</w:t>
      </w:r>
    </w:p>
    <w:p>
      <w:pPr>
        <w:pStyle w:val="Heading2"/>
        <w:spacing w:after="160" w:before="280"/>
      </w:pPr>
      <w:r>
        <w:rPr>
          <w:rFonts w:ascii="Arial" w:cs="Arial" w:eastAsia="Arial" w:hAnsi="Arial"/>
          <w:b/>
          <w:bCs/>
          <w:sz w:val="28"/>
          <w:szCs w:val="28"/>
        </w:rPr>
        <w:t xml:space="preserve">6.4 Task 2 Results: Clinician-Identified Need for Dental Care</w:t>
      </w:r>
    </w:p>
    <w:p>
      <w:pPr>
        <w:spacing w:after="160" w:before="80"/>
        <w:jc w:val="both"/>
      </w:pPr>
      <w:r>
        <w:rPr>
          <w:rFonts w:ascii="Arial" w:cs="Arial" w:eastAsia="Arial" w:hAnsi="Arial"/>
          <w:sz w:val="24"/>
          <w:szCs w:val="24"/>
        </w:rPr>
        <w:t xml:space="preserve">n = 5,057 (missing target excluded), positive rate = 42.5%. 36 input features including self-reported oral health variables. StratifiedKFold CV (5-fold).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Model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Balanced Acc.</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ROC-AUC</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Weighted F1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Logistic Regression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0.7471 (±0.012)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0.8313 (±0.011)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0.7547 (±0.012)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Random Forest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0.7403 (±0.014)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0.8331 (±0.011)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0.7546 (±0.013)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XGBoost (default)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0.7509 (±0.018)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0.8398 (±0.011)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0.7584 (±0.016)</w:t>
            </w:r>
          </w:p>
        </w:tc>
      </w:tr>
      <w:tr>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XGBoost (tuned)*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0.7572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0.8440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0.7657</w:t>
            </w:r>
          </w:p>
        </w:tc>
      </w:tr>
    </w:tbl>
    <w:p>
      <w:pPr>
        <w:spacing w:after="120"/>
      </w:pPr>
    </w:p>
    <w:p>
      <w:pPr>
        <w:spacing w:after="160" w:before="80"/>
        <w:jc w:val="both"/>
      </w:pPr>
      <w:r>
        <w:rPr>
          <w:rFonts w:ascii="Arial" w:cs="Arial" w:eastAsia="Arial" w:hAnsi="Arial"/>
          <w:i/>
          <w:iCs/>
          <w:sz w:val="24"/>
          <w:szCs w:val="24"/>
        </w:rPr>
        <w:t xml:space="preserve">* </w:t>
      </w:r>
      <w:r>
        <w:rPr>
          <w:rFonts w:ascii="Arial" w:cs="Arial" w:eastAsia="Arial" w:hAnsi="Arial"/>
          <w:i/>
          <w:iCs/>
          <w:sz w:val="24"/>
          <w:szCs w:val="24"/>
        </w:rPr>
        <w:t xml:space="preserve">Tuned best parameters: n_estimators=500, max_depth=5, learning_rate=0.01, subsample=0.7, colsample_bytree=0.8, min_child_weight=1, gamma=0.1. Improvement from default AUC 0.8398 → 0.8440 with tuning.</w:t>
      </w:r>
    </w:p>
    <w:p>
      <w:pPr>
        <w:spacing w:after="160" w:before="80"/>
        <w:jc w:val="both"/>
      </w:pPr>
      <w:r>
        <w:rPr>
          <w:rFonts w:ascii="Arial" w:cs="Arial" w:eastAsia="Arial" w:hAnsi="Arial"/>
          <w:sz w:val="24"/>
          <w:szCs w:val="24"/>
        </w:rPr>
        <w:t xml:space="preserve">Task 2 AUC scores (0.83–0.85) are slightly lower than Task 1, consistent with the clinical target being objectively harder to predict than self-reported health status. The self-reported oral health variables included in Task 2's feature set (thinks_has_gum_disease, told_bone_loss_around_teeth, frequency of mouth discomfort) add meaningful signal beyond pure SES predictors, as evidenced by feature importance analysis showing these variables ranking among the top predictors.</w:t>
      </w:r>
    </w:p>
    <w:p>
      <w:pPr>
        <w:pStyle w:val="Heading2"/>
        <w:spacing w:after="160" w:before="280"/>
      </w:pPr>
      <w:r>
        <w:rPr>
          <w:rFonts w:ascii="Arial" w:cs="Arial" w:eastAsia="Arial" w:hAnsi="Arial"/>
          <w:b/>
          <w:bCs/>
          <w:sz w:val="28"/>
          <w:szCs w:val="28"/>
        </w:rPr>
        <w:t xml:space="preserve">6.5 Task 3 Results: DMFT Score Regression</w:t>
      </w:r>
    </w:p>
    <w:p>
      <w:pPr>
        <w:spacing w:after="160" w:before="80"/>
        <w:jc w:val="both"/>
      </w:pPr>
      <w:r>
        <w:rPr>
          <w:rFonts w:ascii="Arial" w:cs="Arial" w:eastAsia="Arial" w:hAnsi="Arial"/>
          <w:sz w:val="24"/>
          <w:szCs w:val="24"/>
        </w:rPr>
        <w:t xml:space="preserve">n = 5,265, DMFT mean = 10.74, std = 8.42, median = 9. 28 input features (clinical dental sub-scores excluded). KFold CV (5-fold). Naive baseline (predict mean for everyone): MAE = 6.978.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Model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MAE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RMSE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R²</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Ridge Regression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5.056 (±0.095)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6.393 (±0.144)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0.423 (±0.023)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Random Forest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4.833 (±0.093)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6.240 (±0.128)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0.451 (±0.018)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XGBoost (single-stage)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4.741 (±0.088)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6.142 (±0.117)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0.468 (±0.021)</w:t>
            </w:r>
          </w:p>
        </w:tc>
      </w:tr>
      <w:tr>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Two-Stage XGBoost*</w:t>
            </w:r>
          </w:p>
        </w:tc>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4.667</w:t>
            </w:r>
          </w:p>
        </w:tc>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6.353</w:t>
            </w:r>
          </w:p>
        </w:tc>
        <w:tc>
          <w:tcPr>
            <w:tcW w:type="dxa" w:w="23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0.431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Naive baseline (predict mean)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6.978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0.000</w:t>
            </w:r>
          </w:p>
        </w:tc>
      </w:tr>
    </w:tbl>
    <w:p>
      <w:pPr>
        <w:spacing w:after="120"/>
      </w:pPr>
    </w:p>
    <w:p>
      <w:pPr>
        <w:spacing w:after="160" w:before="80"/>
        <w:jc w:val="both"/>
      </w:pPr>
      <w:r>
        <w:rPr>
          <w:rFonts w:ascii="Arial" w:cs="Arial" w:eastAsia="Arial" w:hAnsi="Arial"/>
          <w:i/>
          <w:iCs/>
          <w:sz w:val="24"/>
          <w:szCs w:val="24"/>
        </w:rPr>
        <w:t xml:space="preserve">* </w:t>
      </w:r>
      <w:r>
        <w:rPr>
          <w:rFonts w:ascii="Arial" w:cs="Arial" w:eastAsia="Arial" w:hAnsi="Arial"/>
          <w:i/>
          <w:iCs/>
          <w:sz w:val="24"/>
          <w:szCs w:val="24"/>
        </w:rPr>
        <w:t xml:space="preserve">Two-stage model applied within each CV fold: Stage 1 XGBoost classifier predicts edentulous status; edentulous patients are assigned DMFT = 28 directly; Stage 2 XGBoost regressor predicts DMFT for non-edentulous patients.</w:t>
      </w:r>
    </w:p>
    <w:p>
      <w:pPr>
        <w:pStyle w:val="Heading3"/>
        <w:spacing w:after="120" w:before="220"/>
      </w:pPr>
      <w:r>
        <w:rPr>
          <w:rFonts w:ascii="Arial" w:cs="Arial" w:eastAsia="Arial" w:hAnsi="Arial"/>
          <w:b/>
          <w:bCs/>
          <w:sz w:val="24"/>
          <w:szCs w:val="24"/>
        </w:rPr>
        <w:t xml:space="preserve">6.5.1 Two-Stage DMFT Model Rationale</w:t>
      </w:r>
    </w:p>
    <w:p>
      <w:pPr>
        <w:spacing w:after="160" w:before="80"/>
        <w:jc w:val="both"/>
      </w:pPr>
      <w:r>
        <w:rPr>
          <w:rFonts w:ascii="Arial" w:cs="Arial" w:eastAsia="Arial" w:hAnsi="Arial"/>
          <w:sz w:val="24"/>
          <w:szCs w:val="24"/>
        </w:rPr>
        <w:t xml:space="preserve">The DMFT distribution contains a structural discontinuity: approximately 608 participants (11.5%) are edentulous—they have no remaining natural teeth. For 385 of these 608 participants, dmft_score is exactly 28, representing complete dentition loss. Edentulousness is a categorical clinical state, not the extreme of a continuous decay process. Including these participants in a single regression model creates a bimodal target distribution that inflates RMSE and distorts feature importance toward variables that predict complete tooth loss rather than decay burden in individuals with remaining teeth.</w:t>
      </w:r>
    </w:p>
    <w:p>
      <w:pPr>
        <w:spacing w:after="160" w:before="80"/>
        <w:jc w:val="both"/>
      </w:pPr>
      <w:r>
        <w:rPr>
          <w:rFonts w:ascii="Arial" w:cs="Arial" w:eastAsia="Arial" w:hAnsi="Arial"/>
          <w:sz w:val="24"/>
          <w:szCs w:val="24"/>
        </w:rPr>
        <w:t xml:space="preserve">The two-stage pipeline handles this cleanly within each cross-validation fold:</w:t>
      </w:r>
    </w:p>
    <w:p>
      <w:pPr>
        <w:spacing w:after="160" w:before="80"/>
        <w:jc w:val="both"/>
      </w:pPr>
      <w:r>
        <w:rPr>
          <w:rFonts w:ascii="Arial" w:cs="Arial" w:eastAsia="Arial" w:hAnsi="Arial"/>
          <w:b/>
          <w:bCs/>
          <w:sz w:val="24"/>
          <w:szCs w:val="24"/>
        </w:rPr>
        <w:t xml:space="preserve">Stage 1: </w:t>
      </w:r>
      <w:r>
        <w:rPr>
          <w:rFonts w:ascii="Arial" w:cs="Arial" w:eastAsia="Arial" w:hAnsi="Arial"/>
          <w:sz w:val="24"/>
          <w:szCs w:val="24"/>
        </w:rPr>
        <w:t xml:space="preserve">An XGBoost binary classifier (n_estimators=500, learning_rate=0.05, max_depth=4) is trained to predict whether each participant is edentulous based on the same 28-feature SES/access/behavioral set. Age is the dominant predictor at this stage, as expected given that tooth loss accumulates over a lifetime.</w:t>
      </w:r>
    </w:p>
    <w:p>
      <w:pPr>
        <w:spacing w:after="160" w:before="80"/>
        <w:jc w:val="both"/>
      </w:pPr>
      <w:r>
        <w:rPr>
          <w:rFonts w:ascii="Arial" w:cs="Arial" w:eastAsia="Arial" w:hAnsi="Arial"/>
          <w:b/>
          <w:bCs/>
          <w:sz w:val="24"/>
          <w:szCs w:val="24"/>
        </w:rPr>
        <w:t xml:space="preserve">Stage 2: </w:t>
      </w:r>
      <w:r>
        <w:rPr>
          <w:rFonts w:ascii="Arial" w:cs="Arial" w:eastAsia="Arial" w:hAnsi="Arial"/>
          <w:sz w:val="24"/>
          <w:szCs w:val="24"/>
        </w:rPr>
        <w:t xml:space="preserve">An XGBoost regressor (n_estimators=500, learning_rate=0.05, max_depth=4) is trained on only the non-edentulous participants in each fold's training set to predict their continuous DMFT score. At inference time, participants predicted as edentulous by Stage 1 are assigned DMFT = 28; all others receive Stage 2's continuous output.</w:t>
      </w:r>
    </w:p>
    <w:p>
      <w:pPr>
        <w:spacing w:after="160" w:before="80"/>
        <w:jc w:val="both"/>
      </w:pPr>
      <w:r>
        <w:rPr>
          <w:rFonts w:ascii="Arial" w:cs="Arial" w:eastAsia="Arial" w:hAnsi="Arial"/>
          <w:sz w:val="24"/>
          <w:szCs w:val="24"/>
        </w:rPr>
        <w:t xml:space="preserve">The two-stage model achieves a lower MAE (4.667) than any single-stage regressor and is more clinically coherent in its handling of the edentulous subpopulation. Single-stage XGBoost achieves slightly better R² (0.468 vs 0.431) because R² rewards fits that capture the full score distribution including the 28-cluster; MAE penalizes the edentulous cluster more directly and is the preferred metric here.</w:t>
      </w:r>
    </w:p>
    <w:p>
      <w:pPr>
        <w:pStyle w:val="Heading1"/>
        <w:spacing w:after="200" w:before="360"/>
      </w:pPr>
      <w:r>
        <w:rPr>
          <w:rFonts w:ascii="Arial" w:cs="Arial" w:eastAsia="Arial" w:hAnsi="Arial"/>
          <w:b/>
          <w:bCs/>
          <w:sz w:val="32"/>
          <w:szCs w:val="32"/>
        </w:rPr>
        <w:t xml:space="preserve">7. Comparative Summary</w:t>
      </w:r>
    </w:p>
    <w:p>
      <w:pPr>
        <w:spacing w:after="160" w:before="80"/>
        <w:jc w:val="both"/>
      </w:pPr>
      <w:r>
        <w:rPr>
          <w:rFonts w:ascii="Arial" w:cs="Arial" w:eastAsia="Arial" w:hAnsi="Arial"/>
          <w:sz w:val="24"/>
          <w:szCs w:val="24"/>
        </w:rPr>
        <w:t xml:space="preserve">The table below summarizes the full modeling trajectory from Jeff's initial deep learning notebook through the final shallow methods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430"/>
        <w:gridCol w:w="243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Dimension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Jeff's DL (test_model.ipynb)</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Revised DL (expanded_features_model.ipynb)</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Shallow Methods (shallow_methods_of_prediction.ipynb)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Research direction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Oral health → Income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Oral health → Income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SES &amp; Access → Oral Health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Architecture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3-layer neural network (128→64→32)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Same DentalClassifier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Logistic/Ridge, Random Forest, XGBoost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Feature scope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 (dmft_score)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 or 26 features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28–36 features across 5 thematic blocks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Data cleaning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Mode/median imputation; NHANES codes noted but dmft_score not affected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Full: sentinel→NaN, yes/no 1/2→1/0, code-verified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Class imbalance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Not addressed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Class weights + val_loss monitor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class_weight=balanced; scale_pos_weight; balanced acc + AUC reported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CV strategy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Single 70/15/15 hold-out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Single 70/15/15 hold-out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5-fold stratified or standard KFold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Hyperparameter tuning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RandomizedSearchCV (n_iter=40, 5-fold) for XGBoost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Best result (Task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N/A (same task ran 3x)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25.31% accuracy (14-class income)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ROC-AUC 0.849 (binary poor self-rated health)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Best result (Task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MAE 0.983 (IPR, std=1.50)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MAE 4.667 (DMFT 0–28, std=8.42)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Interpretability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High (feature importance, coefficients)</w:t>
            </w:r>
          </w:p>
        </w:tc>
      </w:tr>
    </w:tbl>
    <w:p>
      <w:pPr>
        <w:spacing w:after="160"/>
      </w:pPr>
    </w:p>
    <w:p>
      <w:pPr>
        <w:pStyle w:val="Heading1"/>
        <w:spacing w:after="200" w:before="360"/>
      </w:pPr>
      <w:r>
        <w:rPr>
          <w:rFonts w:ascii="Arial" w:cs="Arial" w:eastAsia="Arial" w:hAnsi="Arial"/>
          <w:b/>
          <w:bCs/>
          <w:sz w:val="32"/>
          <w:szCs w:val="32"/>
        </w:rPr>
        <w:t xml:space="preserve">8. Summary</w:t>
      </w:r>
    </w:p>
    <w:p>
      <w:pPr>
        <w:spacing w:after="160" w:before="80"/>
        <w:jc w:val="both"/>
      </w:pPr>
      <w:r>
        <w:rPr>
          <w:rFonts w:ascii="Arial" w:cs="Arial" w:eastAsia="Arial" w:hAnsi="Arial"/>
          <w:sz w:val="24"/>
          <w:szCs w:val="24"/>
        </w:rPr>
        <w:t xml:space="preserve">Jeff’s initial deep learning notebook established the project’s computational infrastructure—a configurable TensorFlow/Keras DentalClassifier class, a train-validate-test split framework, and a three-task problem structure. However, it trained exclusively on a single feature (</w:t>
      </w:r>
      <w:r>
        <w:rPr>
          <w:rFonts w:ascii="Courier New" w:cs="Courier New" w:eastAsia="Courier New" w:hAnsi="Courier New"/>
          <w:sz w:val="22"/>
          <w:szCs w:val="22"/>
        </w:rPr>
        <w:t xml:space="preserve">dmft_score</w:t>
      </w:r>
      <w:r>
        <w:rPr>
          <w:rFonts w:ascii="Arial" w:cs="Arial" w:eastAsia="Arial" w:hAnsi="Arial"/>
          <w:sz w:val="24"/>
          <w:szCs w:val="24"/>
        </w:rPr>
        <w:t xml:space="preserve">), employed no data cleaning, contained a task-variable scoping bug that caused all three configurations to run the same pipeline, and most critically, posed the research question in the scientifically incorrect direction.</w:t>
      </w:r>
    </w:p>
    <w:p>
      <w:pPr>
        <w:spacing w:after="160" w:before="80"/>
        <w:jc w:val="both"/>
      </w:pPr>
      <w:r>
        <w:rPr>
          <w:rFonts w:ascii="Arial" w:cs="Arial" w:eastAsia="Arial" w:hAnsi="Arial"/>
          <w:sz w:val="24"/>
          <w:szCs w:val="24"/>
        </w:rPr>
        <w:t xml:space="preserve">The revised deep learning notebook (</w:t>
      </w:r>
      <w:r>
        <w:rPr>
          <w:rFonts w:ascii="Courier New" w:cs="Courier New" w:eastAsia="Courier New" w:hAnsi="Courier New"/>
          <w:sz w:val="22"/>
          <w:szCs w:val="22"/>
        </w:rPr>
        <w:t xml:space="preserve">expanded_features_model.ipynb</w:t>
      </w:r>
      <w:r>
        <w:rPr>
          <w:rFonts w:ascii="Arial" w:cs="Arial" w:eastAsia="Arial" w:hAnsi="Arial"/>
          <w:sz w:val="24"/>
          <w:szCs w:val="24"/>
        </w:rPr>
        <w:t xml:space="preserve">) corrected the implementation bugs, added class weights, and tested whether expanding to 26 features could rescue the neural network approach. Results improved but remained limited: 25% multiclass accuracy across 14 income brackets, and a regression MAE of 0.98 against a target standard deviation of 1.50. More importantly, both deep learning notebooks shared the same inverted causal framing.</w:t>
      </w:r>
    </w:p>
    <w:p>
      <w:pPr>
        <w:spacing w:after="160" w:before="80"/>
        <w:jc w:val="both"/>
      </w:pPr>
      <w:r>
        <w:rPr>
          <w:rFonts w:ascii="Arial" w:cs="Arial" w:eastAsia="Arial" w:hAnsi="Arial"/>
          <w:sz w:val="24"/>
          <w:szCs w:val="24"/>
        </w:rPr>
        <w:t xml:space="preserve">The shallow methods notebook (</w:t>
      </w:r>
      <w:r>
        <w:rPr>
          <w:rFonts w:ascii="Courier New" w:cs="Courier New" w:eastAsia="Courier New" w:hAnsi="Courier New"/>
          <w:sz w:val="22"/>
          <w:szCs w:val="22"/>
        </w:rPr>
        <w:t xml:space="preserve">shallow_methods_of_prediction.ipynb</w:t>
      </w:r>
      <w:r>
        <w:rPr>
          <w:rFonts w:ascii="Arial" w:cs="Arial" w:eastAsia="Arial" w:hAnsi="Arial"/>
          <w:sz w:val="24"/>
          <w:szCs w:val="24"/>
        </w:rPr>
        <w:t xml:space="preserve">) addressed all of these limitations simultaneously. By inverting the research question to predict oral health outcomes from SES and access features, systematically cleaning NHANES sentinel codes and yes/no encodings, employing 5-fold stratified cross-validation, and running three distinct model families with hyperparameter tuning, the shallow approach produced substantially stronger and more interpretable results: ROC-AUC of 0.849 for predicting self-rated poor oral health, 0.844 for predicting clinician-identified need for care, and a two-stage DMFT regression that reduces MAE to 4.67 against a naive baseline of 6.98.</w:t>
      </w:r>
    </w:p>
    <w:p>
      <w:pPr>
        <w:spacing w:after="160" w:before="80"/>
        <w:jc w:val="both"/>
      </w:pPr>
      <w:r>
        <w:rPr>
          <w:rFonts w:ascii="Arial" w:cs="Arial" w:eastAsia="Arial" w:hAnsi="Arial"/>
          <w:sz w:val="24"/>
          <w:szCs w:val="24"/>
        </w:rPr>
        <w:t xml:space="preserve">The progression from deep learning to shallow methods was not a retreat from complexity—it was the scientifically appropriate response to the characteristics of the data and the requirements of the research question. Public health modeling of survey data benefits most from interpretable models trained on well-specified features, evaluated with rigorous cross-validation, and framed around defensible causal structures. The shallow methods approach delivers on all three.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DSAN 5300 Final Project — Modeling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2026-04-20T22:57:16.033Z</dcterms:created>
  <dcterms:modified xsi:type="dcterms:W3CDTF">2026-04-20T22:57:16.034Z</dcterms:modified>
</cp:coreProperties>
</file>

<file path=docProps/custom.xml><?xml version="1.0" encoding="utf-8"?>
<Properties xmlns="http://schemas.openxmlformats.org/officeDocument/2006/custom-properties" xmlns:vt="http://schemas.openxmlformats.org/officeDocument/2006/docPropsVTypes"/>
</file>