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Immunizing</w:t>
      </w:r>
      <w:r>
        <w:t xml:space="preserve"> </w:t>
      </w:r>
      <w:r>
        <w:t xml:space="preserve">the</w:t>
      </w:r>
      <w:r>
        <w:t xml:space="preserve"> </w:t>
      </w:r>
      <w:r>
        <w:t xml:space="preserve">Economy:</w:t>
      </w:r>
      <w:r>
        <w:t xml:space="preserve"> </w:t>
      </w:r>
      <w:r>
        <w:t xml:space="preserve">A</w:t>
      </w:r>
      <w:r>
        <w:t xml:space="preserve"> </w:t>
      </w:r>
      <w:r>
        <w:t xml:space="preserve">Causality</w:t>
      </w:r>
      <w:r>
        <w:t xml:space="preserve"> </w:t>
      </w:r>
      <w:r>
        <w:t xml:space="preserve">Discussion</w:t>
      </w:r>
      <w:r>
        <w:t xml:space="preserve"> </w:t>
      </w:r>
      <w:r>
        <w:t xml:space="preserve">on</w:t>
      </w:r>
      <w:r>
        <w:t xml:space="preserve"> </w:t>
      </w:r>
      <w:r>
        <w:t xml:space="preserve">Vaccines</w:t>
      </w:r>
      <w:r>
        <w:t xml:space="preserve"> </w:t>
      </w:r>
      <w:r>
        <w:t xml:space="preserve">and</w:t>
      </w:r>
      <w:r>
        <w:t xml:space="preserve"> </w:t>
      </w:r>
      <w:r>
        <w:t xml:space="preserve">Economic</w:t>
      </w:r>
      <w:r>
        <w:t xml:space="preserve"> </w:t>
      </w:r>
      <w:r>
        <w:t xml:space="preserve">Recovery</w:t>
      </w:r>
    </w:p>
    <w:p>
      <w:pPr>
        <w:pStyle w:val="Subtitle"/>
      </w:pPr>
      <w:r>
        <w:t xml:space="preserve">Inmunizando</w:t>
      </w:r>
      <w:r>
        <w:t xml:space="preserve"> </w:t>
      </w:r>
      <w:r>
        <w:t xml:space="preserve">a</w:t>
      </w:r>
      <w:r>
        <w:t xml:space="preserve"> </w:t>
      </w:r>
      <w:r>
        <w:t xml:space="preserve">la</w:t>
      </w:r>
      <w:r>
        <w:t xml:space="preserve"> </w:t>
      </w:r>
      <w:r>
        <w:t xml:space="preserve">Economía:</w:t>
      </w:r>
      <w:r>
        <w:t xml:space="preserve"> </w:t>
      </w:r>
      <w:r>
        <w:t xml:space="preserve">Una</w:t>
      </w:r>
      <w:r>
        <w:t xml:space="preserve"> </w:t>
      </w:r>
      <w:r>
        <w:t xml:space="preserve">Discusión</w:t>
      </w:r>
      <w:r>
        <w:t xml:space="preserve"> </w:t>
      </w:r>
      <w:r>
        <w:t xml:space="preserve">de</w:t>
      </w:r>
      <w:r>
        <w:t xml:space="preserve"> </w:t>
      </w:r>
      <w:r>
        <w:t xml:space="preserve">Causalidad</w:t>
      </w:r>
      <w:r>
        <w:t xml:space="preserve"> </w:t>
      </w:r>
      <w:r>
        <w:t xml:space="preserve">Sobre</w:t>
      </w:r>
      <w:r>
        <w:t xml:space="preserve"> </w:t>
      </w:r>
      <w:r>
        <w:t xml:space="preserve">Vacunas</w:t>
      </w:r>
      <w:r>
        <w:t xml:space="preserve"> </w:t>
      </w:r>
      <w:r>
        <w:t xml:space="preserve">y</w:t>
      </w:r>
      <w:r>
        <w:t xml:space="preserve"> </w:t>
      </w:r>
      <w:r>
        <w:t xml:space="preserve">Reactivación</w:t>
      </w:r>
      <w:r>
        <w:t xml:space="preserve"> </w:t>
      </w:r>
      <w:r>
        <w:t xml:space="preserve">Económica</w:t>
      </w:r>
    </w:p>
    <w:p>
      <w:pPr>
        <w:pStyle w:val="Author"/>
      </w:pPr>
      <w:r>
        <w:t xml:space="preserve">Daniel</w:t>
      </w:r>
      <w:r>
        <w:t xml:space="preserve"> </w:t>
      </w:r>
      <w:r>
        <w:t xml:space="preserve">Hernan</w:t>
      </w:r>
      <w:r>
        <w:t xml:space="preserve"> </w:t>
      </w:r>
      <w:r>
        <w:t xml:space="preserve">Sánchez</w:t>
      </w:r>
      <w:r>
        <w:t xml:space="preserve"> </w:t>
      </w:r>
      <w:r>
        <w:t xml:space="preserve">Pazmiño</w:t>
      </w:r>
    </w:p>
    <w:bookmarkStart w:id="20" w:name="abstract"/>
    <w:p>
      <w:pPr>
        <w:pStyle w:val="Heading1"/>
      </w:pPr>
      <w:r>
        <w:t xml:space="preserve">Abstract</w:t>
      </w:r>
    </w:p>
    <w:p>
      <w:pPr>
        <w:pStyle w:val="FirstParagraph"/>
      </w:pPr>
      <w:r>
        <w:t xml:space="preserve">The COVID-19 pandemic severely disrupted economic activity worldwide. In Ecuador, the pandemic found an epicenter in the city of Guayaquil during April 2020, where the excess death rate skyrocketed to almost 700%. However, in mid-2021, Ecuador had a glimpse of hope again as the vaccination process turned extremely effective and under a hundred days half of the country’s population was inoculated. While since then excess deaths have remained at all-time lows in the pandemic era, the Ecuadorian economy remains weakened. This paper discusses a causal effect of vaccination on economic recovery by implementing a two-way fixed effects difference-in-differences estimator on a repeated cross section of Ecuador 2020-2021 at the province-level. Evidence is found that provinces with apparent vaccine-hesitant populations see about 25% less business creation than provinces with openness to vaccination. This finding stresses the importance of fostering vaccination among populations in a country, especially if booster shots are necessary in the future. This effect is found by leaving out the creation of SAS (Sociedad de Acciones Simplificada) businesses, a new firm legal figure introduced to the country in mid-May, which prompted the creation of many new formal businesses due to the reduction of entry costs. Only minimal evidence of differential prior trends is found, which supports the existence of causality. Finally, other estimation methodologies are proposed to identify a more precise causal effect of vaccination on economic activity.</w:t>
      </w:r>
    </w:p>
    <w:bookmarkEnd w:id="20"/>
    <w:bookmarkStart w:id="21" w:name="resumen"/>
    <w:p>
      <w:pPr>
        <w:pStyle w:val="Heading1"/>
      </w:pPr>
      <w:r>
        <w:t xml:space="preserve">Resumen</w:t>
      </w:r>
    </w:p>
    <w:p>
      <w:pPr>
        <w:pStyle w:val="FirstParagraph"/>
      </w:pPr>
      <w:r>
        <w:t xml:space="preserve">La pandemia del COVID-19 interrumpió severamente la actividad económica mundial. En Ecuador, la pandemia encontró un epicentro en la ciudad de Guayaquil en abril del 2020, en donde la tasa de mortalidad en exceso llegó a casi el 700%. Sin embargo, en la mitad del 2021 el Ecuador tuvo un destello de esperanza cuando el proceso de vacunación se tornó extremadamente efectivo y en menos de cien días más de la mitad de población se inmunizó completamente. Aunque desde ese momento las muertes en exceso se mantienen en mínimos históricos en la era de la pandemia, la economía ecuatoriana se mantiene debilitada. Este artículo discute un efecto causal de la vacunación en la reactivación económica utilizando un estimador diferencia-en-diferencias de efectos fijos de doble vía en una sección transversal repetida del Ecuador 2020-2021 al nivel provincial. Se encuentra evidencia de que provincias con poblaciones aparentemente resistentes a la vacunación ven aproximadamente un 25% menos de creación de empresas, en comparación a provincias más abiertas a la vacunación. Este hallazgo resalta la importancia de fomentar la vacunación en las poblaciones de un país, especialmente si dosis de refuerzo se requieren en el futuro. Este efecto se encuentra eliminando la creación de las empresas SAS (Sociedad de Acciones Simplificada), una figura legal de compañía introducida en el país a mediados de 2020 que ocasionó la creación de nuevas firmas debido a la reducción considerable de costos de entrada. Se encuentra evidencia mínima de tendencias previas no similares, lo que apoya a la existencia de causalidad. Finalmente, se proponen otras metodologías de estimación para identificar un efecto causal más preciso de la vacunación en la actividad económica.</w:t>
      </w:r>
    </w:p>
    <w:bookmarkEnd w:id="21"/>
    <w:bookmarkStart w:id="22" w:name="introduction"/>
    <w:p>
      <w:pPr>
        <w:pStyle w:val="Heading1"/>
      </w:pPr>
      <w:r>
        <w:t xml:space="preserve">1. Introduction</w:t>
      </w:r>
    </w:p>
    <w:p>
      <w:pPr>
        <w:pStyle w:val="FirstParagraph"/>
      </w:pPr>
      <w:r>
        <w:t xml:space="preserve">Although the 21st century is still far from over, COVID-19 will necessarily be reminded as one of the most important happenings of the time. The changes that the pandemic has brought about have been long-lasting, as the virus which originally emerged in China by late 2019 has had effects still suffered by the time this article was written. In April 2020, the IMF predicted that the economic effects of the pandemic would be the greatest since the Great Depression</w:t>
      </w:r>
      <w:r>
        <w:t xml:space="preserve"> </w:t>
      </w:r>
      <w:r>
        <w:t xml:space="preserve">(International Monetary Fund 2020c)</w:t>
      </w:r>
      <w:r>
        <w:t xml:space="preserve">. By October 2020, the IMF revised down their projections of world economic growth and the pandemic accumulated over a million deaths to COVID-19, proving to be a worse crisis than what it was initially expected. It was understood that both the health risks posed by COVID-19 and the lockdown policy enacted by the world’s governments had greatly hampered economic conditions around the world, especially in the Western Hemisphere</w:t>
      </w:r>
      <w:r>
        <w:t xml:space="preserve"> </w:t>
      </w:r>
      <w:r>
        <w:t xml:space="preserve">(2020b)</w:t>
      </w:r>
      <w:r>
        <w:t xml:space="preserve">.</w:t>
      </w:r>
    </w:p>
    <w:p>
      <w:pPr>
        <w:pStyle w:val="BodyText"/>
      </w:pPr>
      <w:r>
        <w:t xml:space="preserve">Ecuador barely escaped economic and social chaos by securing an agreement with the IMF in 2020 worth 6.5 billion dollars after facing terrible consequences due to high public debt and the precipitous fall of oil prices</w:t>
      </w:r>
      <w:r>
        <w:t xml:space="preserve"> </w:t>
      </w:r>
      <w:r>
        <w:t xml:space="preserve">(International Monetary Fund 2020a)</w:t>
      </w:r>
      <w:r>
        <w:t xml:space="preserve">. However, the Ecuadorian economy was still expected to shrink by 11% in 2020 and its unemployment rate was expected to increase in 4.3 percentage points relative to 2019</w:t>
      </w:r>
      <w:r>
        <w:t xml:space="preserve"> </w:t>
      </w:r>
      <w:r>
        <w:t xml:space="preserve">(International Monetary Fund 2020b)</w:t>
      </w:r>
      <w:r>
        <w:t xml:space="preserve">. Guayas became the COVID-19 epicenter in Ecuador with a 900% excess deaths rate</w:t>
      </w:r>
      <w:r>
        <w:t xml:space="preserve"> </w:t>
      </w:r>
      <w:r>
        <w:t xml:space="preserve">(Naranjo 2020)</w:t>
      </w:r>
      <w:r>
        <w:t xml:space="preserve"> </w:t>
      </w:r>
      <w:r>
        <w:t xml:space="preserve">and with its capital Guayaquil becoming an international attention center due to the extreme humanitarian crisis caused by the COVID-19 impact</w:t>
      </w:r>
      <w:r>
        <w:t xml:space="preserve"> </w:t>
      </w:r>
      <w:r>
        <w:t xml:space="preserve">(Zibell 2020)</w:t>
      </w:r>
      <w:r>
        <w:t xml:space="preserve">.</w:t>
      </w:r>
    </w:p>
    <w:p>
      <w:pPr>
        <w:pStyle w:val="BodyText"/>
      </w:pPr>
      <w:r>
        <w:t xml:space="preserve">However, by 2021 new hope surfaced as newly-developed COVID-19 vaccines received authorities approval and started to be massively distributed around the world by April 2021. The actual economic downturn in 2020 was smaller for both Ecuador and the global economy as well, which encouraged hopes for the coming year. The IMF revised its 2021 projections upward as vaccine rollouts developed in the United States and other developed economies</w:t>
      </w:r>
      <w:r>
        <w:t xml:space="preserve"> </w:t>
      </w:r>
      <w:r>
        <w:t xml:space="preserve">(2021)</w:t>
      </w:r>
      <w:r>
        <w:t xml:space="preserve">. However, on the developing world and notably in Ecuador vaccine distribution became increasingly unequal, as top government officials and private agents received their first vaccine doses before those that actually needed them</w:t>
      </w:r>
      <w:r>
        <w:t xml:space="preserve"> </w:t>
      </w:r>
      <w:r>
        <w:t xml:space="preserve">(Taj and Politi 2021)</w:t>
      </w:r>
      <w:r>
        <w:t xml:space="preserve">. In Ecuador the immunization process was initially slow and corrupt: the Ministry of Health’s mother and two well-connected TikTok influencers received a vaccination dose before some first-line workers were even eligible to receive one</w:t>
      </w:r>
      <w:r>
        <w:t xml:space="preserve"> </w:t>
      </w:r>
      <w:r>
        <w:t xml:space="preserve">(Machado 2021; Sandoval 2021)</w:t>
      </w:r>
      <w:r>
        <w:t xml:space="preserve">. Corruption in vaccination and public health contracting played a key role in the resignations and removals of four Ministries of Health between March 2020 and April 2021.</w:t>
      </w:r>
    </w:p>
    <w:p>
      <w:pPr>
        <w:pStyle w:val="BodyText"/>
      </w:pPr>
      <w:r>
        <w:t xml:space="preserve">Yet once again Ecuador became the center of international attention in the second half of 2021 as its sovereign bonds provided the best returns in the world after the possession of economically-liberal President Guillermo Lasso</w:t>
      </w:r>
      <w:r>
        <w:t xml:space="preserve"> </w:t>
      </w:r>
      <w:r>
        <w:t xml:space="preserve">(Vizcaino and Kueffner 2021)</w:t>
      </w:r>
      <w:r>
        <w:t xml:space="preserve">. The Lasso Administration was able to immunize over half of the country’s population in 100 days after his possesion in May 24th, which may have converted Lasso into one of the most popular presidents in the region by October 2021</w:t>
      </w:r>
      <w:r>
        <w:t xml:space="preserve"> </w:t>
      </w:r>
      <w:r>
        <w:t xml:space="preserve">(Hurtado 2021)</w:t>
      </w:r>
      <w:r>
        <w:t xml:space="preserve">. The new Administration’s economic agenda promised economic recovery through investment-friendly policy</w:t>
      </w:r>
      <w:r>
        <w:t xml:space="preserve"> </w:t>
      </w:r>
      <w:r>
        <w:t xml:space="preserve">(Madrid 2021)</w:t>
      </w:r>
      <w:r>
        <w:t xml:space="preserve">, even marketing the massive vaccination plan as an initial step for recovery after the pandemic shock</w:t>
      </w:r>
      <w:r>
        <w:t xml:space="preserve"> </w:t>
      </w:r>
      <w:r>
        <w:t xml:space="preserve">(Brik 2021)</w:t>
      </w:r>
      <w:r>
        <w:t xml:space="preserve">.</w:t>
      </w:r>
    </w:p>
    <w:p>
      <w:pPr>
        <w:pStyle w:val="BodyText"/>
      </w:pPr>
      <w:r>
        <w:t xml:space="preserve">The Ecuadorian economy grew 4.2% in 2021</w:t>
      </w:r>
      <w:r>
        <w:t xml:space="preserve"> </w:t>
      </w:r>
      <w:r>
        <w:t xml:space="preserve">(Banco Central del Ecuador 2022)</w:t>
      </w:r>
      <w:r>
        <w:t xml:space="preserve">, 50% more than the October 2021 IMF projection</w:t>
      </w:r>
      <w:r>
        <w:t xml:space="preserve"> </w:t>
      </w:r>
      <w:r>
        <w:t xml:space="preserve">(2021)</w:t>
      </w:r>
      <w:r>
        <w:t xml:space="preserve">.The Ecuadorian Central Bank attributes the increases due to important economic gains in the oil, tourism, agriculture and commerce industries, citing the economic effects brought about by the successful vaccine rollout as the main motivator for the internal economic reactivation. However, the statement by the institution may pose an important causal inference issue: even if vaccines have proven to be successful in mitigating COVID-19 infection</w:t>
      </w:r>
      <w:r>
        <w:t xml:space="preserve"> </w:t>
      </w:r>
      <w:r>
        <w:t xml:space="preserve">(Katella 2022)</w:t>
      </w:r>
      <w:r>
        <w:t xml:space="preserve">, not much is known about their effect on economic activity. Additionally, the vaccination process may also correlate with other reactivation motivators which may become confounders. Among them stand the 162.6133553 % increase in the price of the WTI oil barrel</w:t>
      </w:r>
      <w:r>
        <w:t xml:space="preserve"> </w:t>
      </w:r>
      <w:r>
        <w:t xml:space="preserve">(</w:t>
      </w:r>
      <w:r>
        <w:t xml:space="preserve">“</w:t>
      </w:r>
      <w:r>
        <w:t xml:space="preserve">Crude Oil WTI Price</w:t>
      </w:r>
      <w:r>
        <w:t xml:space="preserve">”</w:t>
      </w:r>
      <w:r>
        <w:t xml:space="preserve"> </w:t>
      </w:r>
      <w:r>
        <w:t xml:space="preserve">2022)</w:t>
      </w:r>
      <w:r>
        <w:t xml:space="preserve"> </w:t>
      </w:r>
      <w:r>
        <w:t xml:space="preserve">and the loosening of pandemic restrictions which took place after Lasso took office.</w:t>
      </w:r>
    </w:p>
    <w:p>
      <w:pPr>
        <w:pStyle w:val="BodyText"/>
      </w:pPr>
      <w:r>
        <w:t xml:space="preserve">The aim of this paper is to discuss the possibility of a causal effect of COVID-19 vaccination in economic recovery. This is done by implementing a regression-based approach to a difference-in-differences research design to estimate an average treatment effect of vaccine hesitancy in two proxies of economic activity. Province-level data from Ecuador on several economic and demographic indicators published in a monthly basis is used for the econometric analysis, which focuses on the 24 months between January 2020 and December 2021.</w:t>
      </w:r>
    </w:p>
    <w:bookmarkEnd w:id="22"/>
    <w:bookmarkStart w:id="23" w:name="literature-review"/>
    <w:p>
      <w:pPr>
        <w:pStyle w:val="Heading1"/>
      </w:pPr>
      <w:r>
        <w:t xml:space="preserve">2. Literature Review</w:t>
      </w:r>
    </w:p>
    <w:p>
      <w:pPr>
        <w:pStyle w:val="FirstParagraph"/>
      </w:pPr>
      <w:r>
        <w:t xml:space="preserve">In general, literature on COVID-19 and its economic effects which focuses on causal inference is limited. More has been said about causal effects of vaccination and social distancing measures on health outcomes. Causal evidence has been found in support of social distancing and lockdown measures as a means to reduce infections in the COVID-19 pandemic</w:t>
      </w:r>
      <w:r>
        <w:t xml:space="preserve"> </w:t>
      </w:r>
      <w:r>
        <w:t xml:space="preserve">(Banerjee and Nayak 2020; Sharkey and Wood 2020)</w:t>
      </w:r>
      <w:r>
        <w:t xml:space="preserve"> </w:t>
      </w:r>
      <w:r>
        <w:t xml:space="preserve">as well as in other pandemics [</w:t>
      </w:r>
      <w:r>
        <w:t xml:space="preserve">Stern, Cetron, and Markel (2009)</w:t>
      </w:r>
      <w:r>
        <w:t xml:space="preserve">; Bootsma.2007;</w:t>
      </w:r>
      <w:r>
        <w:t xml:space="preserve"> </w:t>
      </w:r>
      <w:r>
        <w:t xml:space="preserve">Mandavilli (2020)</w:t>
      </w:r>
      <w:r>
        <w:t xml:space="preserve">]. Numerous randomized trials have been run to assess the effects of COVID-19 vaccines, finding that these are safe for mass distribution and effective in slowing down the spread of the virus</w:t>
      </w:r>
      <w:r>
        <w:t xml:space="preserve"> </w:t>
      </w:r>
      <w:r>
        <w:t xml:space="preserve">(Chen et al. 2021; Polack et al. 2020; Yap et al. 2021; Zheng et al. 2022; Deb et al. 2021)</w:t>
      </w:r>
      <w:r>
        <w:t xml:space="preserve">, deeming them essential in the fight against the pandemic.</w:t>
      </w:r>
    </w:p>
    <w:p>
      <w:pPr>
        <w:pStyle w:val="BodyText"/>
      </w:pPr>
      <w:r>
        <w:t xml:space="preserve">Regarding economic impacts, it is understood that pandemics hamper economic activity through several channels. According to</w:t>
      </w:r>
      <w:r>
        <w:t xml:space="preserve"> </w:t>
      </w:r>
      <w:r>
        <w:t xml:space="preserve">Brodeur et al. (2021)</w:t>
      </w:r>
      <w:r>
        <w:t xml:space="preserve">, these channels are the impact of social distancing measures, direct and indirect costs (hospitalization, loss of labor and production) as well as offsetting and cascading effects as the disruption of services are the most important. The direct channels connect macroeconomically to reductions in household consumption and wealth. The macroeconomic models which were studied by</w:t>
      </w:r>
      <w:r>
        <w:t xml:space="preserve"> </w:t>
      </w:r>
      <w:r>
        <w:t xml:space="preserve">Brodeur et al. (2021)</w:t>
      </w:r>
      <w:r>
        <w:t xml:space="preserve"> </w:t>
      </w:r>
      <w:r>
        <w:t xml:space="preserve">predict a mostly demand-deficient recession, where policy that benefits the economy’s supply may not be successful in inducing recovery. Other studies quantified the opportunity cost of shutdowns in the economy, finding that shutdowns put market production in a 25% production deficit, and that medical development and innovation may reduce the shutdown cost in about 70%</w:t>
      </w:r>
      <w:r>
        <w:t xml:space="preserve"> </w:t>
      </w:r>
      <w:r>
        <w:t xml:space="preserve">(Mulligan 2021)</w:t>
      </w:r>
      <w:r>
        <w:t xml:space="preserve">. Additionally,</w:t>
      </w:r>
      <w:r>
        <w:t xml:space="preserve"> </w:t>
      </w:r>
      <w:r>
        <w:t xml:space="preserve">Deb et al. (2022)</w:t>
      </w:r>
      <w:r>
        <w:t xml:space="preserve"> </w:t>
      </w:r>
      <w:r>
        <w:t xml:space="preserve">find that containment measures hurt economic activity, associating a containment measure with a 10 percent loss in industrial production over 30 days of measure implementation. Regarding business creation,</w:t>
      </w:r>
      <w:r>
        <w:t xml:space="preserve"> </w:t>
      </w:r>
      <w:r>
        <w:t xml:space="preserve">Meunier, Coste, and Maia (2022)</w:t>
      </w:r>
      <w:r>
        <w:t xml:space="preserve"> </w:t>
      </w:r>
      <w:r>
        <w:t xml:space="preserve">find that newly registered firms fell in 58% of economies in 2020 relative to 2019, when the normal trend was to see new business creation in 2/3 of economies.</w:t>
      </w:r>
    </w:p>
    <w:p>
      <w:pPr>
        <w:pStyle w:val="BodyText"/>
      </w:pPr>
      <w:r>
        <w:t xml:space="preserve">If COVID-19 was indeed an aggregate demand-intensive shock, it is natural to see a fall in business creation as potential customers become wary of spending in an uncertain environment, where health risks appear to affect the likelihood of spending. If vaccines are indeed the best way to fight the pandemic, it would be expected that economies with higher vaccination rates experience higher economic recovery. The effect of vaccines might be two-fold: on one hand more vaccination may foster less pandemic restrictions which would help economic activity as businesses are less restrained. On the other hand, vaccination may foster economic recovery by reducing the likelihood of contagion and thus increase aggregate demand for goods and services, as the likelihood of contracting COVID-19 is smaller.</w:t>
      </w:r>
    </w:p>
    <w:p>
      <w:pPr>
        <w:pStyle w:val="BodyText"/>
      </w:pPr>
      <w:r>
        <w:t xml:space="preserve">Furceri et al. (2021)</w:t>
      </w:r>
      <w:r>
        <w:t xml:space="preserve"> </w:t>
      </w:r>
      <w:r>
        <w:t xml:space="preserve">develop an empirical model of vaccination and economic effects across 46 countries, finding a positive statistically significant relationship of vaccination rates and economic activity proxied by nitrogen emissions. The effect could be understood as causal given that</w:t>
      </w:r>
      <w:r>
        <w:t xml:space="preserve"> </w:t>
      </w:r>
      <w:r>
        <w:t xml:space="preserve">“</w:t>
      </w:r>
      <w:r>
        <w:t xml:space="preserve">vaccine surprises</w:t>
      </w:r>
      <w:r>
        <w:t xml:space="preserve">”</w:t>
      </w:r>
      <w:r>
        <w:t xml:space="preserve"> </w:t>
      </w:r>
      <w:r>
        <w:t xml:space="preserve">are used, the key effect being that an unexpected increase in vaccination per capita is associated with increases in economic activity. Furthermore, it has been said that countries with higher vaccination rates were expected to make stronger economic recoveries according to IMF data, as the projections for regions with higher vaccine inequality were revised downward by April 2021</w:t>
      </w:r>
      <w:r>
        <w:t xml:space="preserve"> </w:t>
      </w:r>
      <w:r>
        <w:t xml:space="preserve">(United Nations Development Programme 2022)</w:t>
      </w:r>
      <w:r>
        <w:t xml:space="preserve">. However, this analysis does not make a causal investigation, as indeed it is countries that have been historically richer which had higher vaccination rates in 2022. The lack of causal inference research regarding this key topic is evident, considering that the results of the only study which infers a causal effect may not be applicable to countries outside their sample or at time horizons which can include stronger COVID-19 variants.</w:t>
      </w:r>
    </w:p>
    <w:bookmarkEnd w:id="23"/>
    <w:bookmarkStart w:id="28" w:name="methodology"/>
    <w:p>
      <w:pPr>
        <w:pStyle w:val="Heading1"/>
      </w:pPr>
      <w:r>
        <w:t xml:space="preserve">3. Methodology</w:t>
      </w:r>
    </w:p>
    <w:bookmarkStart w:id="25" w:name="data"/>
    <w:p>
      <w:pPr>
        <w:pStyle w:val="Heading2"/>
      </w:pPr>
      <w:r>
        <w:t xml:space="preserve">3.1 Data</w:t>
      </w:r>
    </w:p>
    <w:p>
      <w:pPr>
        <w:pStyle w:val="FirstParagraph"/>
      </w:pPr>
      <w:r>
        <w:t xml:space="preserve">A province-level database was constructed for this paper. Monthly-published data at the province level was recovered from various government sources to construct a repeated cross-section in which every province has 12 observations on several economic and demographic variables. Thus, the database has 288 observations.</w:t>
      </w:r>
    </w:p>
    <w:p>
      <w:pPr>
        <w:pStyle w:val="BodyText"/>
      </w:pPr>
      <w:r>
        <w:t xml:space="preserve">To proxy economic recovery, data from the Ecuadorian regulatory and supervisory public institution for private companies</w:t>
      </w:r>
      <w:r>
        <w:t xml:space="preserve"> </w:t>
      </w:r>
      <w:r>
        <w:rPr>
          <w:iCs/>
          <w:i/>
        </w:rPr>
        <w:t xml:space="preserve">Superintendencia de Compañías, Valores y Seguros</w:t>
      </w:r>
      <w:r>
        <w:t xml:space="preserve"> </w:t>
      </w:r>
      <w:r>
        <w:t xml:space="preserve">(SCVS) is used as a dependent variable. Namely, business creation is used as a proxy for economic recovery, based on the</w:t>
      </w:r>
      <w:r>
        <w:t xml:space="preserve"> </w:t>
      </w:r>
      <w:hyperlink r:id="rId24">
        <w:r>
          <w:rPr>
            <w:rStyle w:val="Hyperlink"/>
          </w:rPr>
          <w:t xml:space="preserve">Companies’ Directory database</w:t>
        </w:r>
      </w:hyperlink>
      <w:r>
        <w:t xml:space="preserve">. The number of businesses created in any given month between January 2020 and December 2021 was computed based on the date of creation of the business in the SCVS system. The following table describes all variables used in the paper.</w:t>
      </w:r>
    </w:p>
    <w:p>
      <w:pPr>
        <w:pStyle w:val="TableCaption"/>
      </w:pPr>
      <w:r>
        <w:t xml:space="preserve">Variable descriptions and sources</w:t>
      </w:r>
    </w:p>
    <w:tbl>
      <w:tblPr>
        <w:tblStyle w:val="Table"/>
        <w:tblW w:type="pct" w:w="5000"/>
        <w:tblLook w:firstRow="1" w:lastRow="0" w:firstColumn="0" w:lastColumn="0" w:noHBand="0" w:noVBand="0" w:val="0020"/>
        <w:tblCaption w:val="Variable descriptions and sources"/>
      </w:tblPr>
      <w:tblGrid>
        <w:gridCol w:w="1488"/>
        <w:gridCol w:w="2232"/>
        <w:gridCol w:w="4199"/>
      </w:tblGrid>
      <w:tr>
        <w:trPr>
          <w:tblHeader w:val="true"/>
        </w:trPr>
        <w:tc>
          <w:tcPr/>
          <w:p>
            <w:pPr>
              <w:pStyle w:val="Compact"/>
              <w:jc w:val="left"/>
            </w:pPr>
            <w:r>
              <w:t xml:space="preserve">Variable</w:t>
            </w:r>
          </w:p>
        </w:tc>
        <w:tc>
          <w:tcPr/>
          <w:p>
            <w:pPr>
              <w:pStyle w:val="Compact"/>
              <w:jc w:val="left"/>
            </w:pPr>
            <w:r>
              <w:t xml:space="preserve">Source</w:t>
            </w:r>
          </w:p>
        </w:tc>
        <w:tc>
          <w:tcPr/>
          <w:p>
            <w:pPr>
              <w:pStyle w:val="Compact"/>
              <w:jc w:val="left"/>
            </w:pPr>
            <w:r>
              <w:t xml:space="preserve">Note</w:t>
            </w:r>
          </w:p>
        </w:tc>
      </w:tr>
      <w:tr>
        <w:tc>
          <w:tcPr/>
          <w:p>
            <w:pPr>
              <w:pStyle w:val="Compact"/>
              <w:jc w:val="left"/>
            </w:pPr>
            <w:r>
              <w:t xml:space="preserve">Business creation</w:t>
            </w:r>
          </w:p>
        </w:tc>
        <w:tc>
          <w:tcPr/>
          <w:p>
            <w:pPr>
              <w:pStyle w:val="Compact"/>
              <w:jc w:val="left"/>
            </w:pPr>
            <w:r>
              <w:t xml:space="preserve">SCVS</w:t>
            </w:r>
          </w:p>
        </w:tc>
        <w:tc>
          <w:tcPr/>
          <w:p>
            <w:pPr>
              <w:pStyle w:val="Compact"/>
              <w:jc w:val="left"/>
            </w:pPr>
            <w:r>
              <w:t xml:space="preserve">Number of businesses created in any given month and province during 2020-2021.</w:t>
            </w:r>
          </w:p>
        </w:tc>
      </w:tr>
      <w:tr>
        <w:tc>
          <w:tcPr/>
          <w:p>
            <w:pPr>
              <w:pStyle w:val="Compact"/>
              <w:jc w:val="left"/>
            </w:pPr>
            <w:r>
              <w:t xml:space="preserve">Inmuno-preventable cases</w:t>
            </w:r>
          </w:p>
        </w:tc>
        <w:tc>
          <w:tcPr/>
          <w:p>
            <w:pPr>
              <w:pStyle w:val="Compact"/>
              <w:jc w:val="left"/>
            </w:pPr>
            <w:r>
              <w:t xml:space="preserve">Ministry of Health</w:t>
            </w:r>
          </w:p>
        </w:tc>
        <w:tc>
          <w:tcPr/>
          <w:p>
            <w:pPr>
              <w:pStyle w:val="Compact"/>
              <w:jc w:val="left"/>
            </w:pPr>
            <w:r>
              <w:t xml:space="preserve">Parotiditis, Chickenpox and Hepatitis B.</w:t>
            </w:r>
          </w:p>
        </w:tc>
      </w:tr>
      <w:tr>
        <w:tc>
          <w:tcPr/>
          <w:p>
            <w:pPr>
              <w:pStyle w:val="Compact"/>
              <w:jc w:val="left"/>
            </w:pPr>
            <w:r>
              <w:t xml:space="preserve">Vaccination rate</w:t>
            </w:r>
          </w:p>
        </w:tc>
        <w:tc>
          <w:tcPr/>
          <w:p>
            <w:pPr>
              <w:pStyle w:val="Compact"/>
              <w:jc w:val="left"/>
            </w:pPr>
            <w:r>
              <w:t xml:space="preserve">Datos-Ecuacovid Project</w:t>
            </w:r>
          </w:p>
        </w:tc>
        <w:tc>
          <w:tcPr/>
          <w:p>
            <w:pPr>
              <w:pStyle w:val="Compact"/>
              <w:jc w:val="left"/>
            </w:pPr>
            <w:r>
              <w:t xml:space="preserve">Data obtained from the Ministry of Health’s Vacunometro.</w:t>
            </w:r>
          </w:p>
        </w:tc>
      </w:tr>
      <w:tr>
        <w:tc>
          <w:tcPr/>
          <w:p>
            <w:pPr>
              <w:pStyle w:val="Compact"/>
              <w:jc w:val="left"/>
            </w:pPr>
            <w:r>
              <w:t xml:space="preserve">2020 Population Projections</w:t>
            </w:r>
          </w:p>
        </w:tc>
        <w:tc>
          <w:tcPr/>
          <w:p>
            <w:pPr>
              <w:pStyle w:val="Compact"/>
              <w:jc w:val="left"/>
            </w:pPr>
            <w:r>
              <w:t xml:space="preserve">Datos-Ecuacovid Project</w:t>
            </w:r>
          </w:p>
        </w:tc>
        <w:tc>
          <w:tcPr/>
          <w:p>
            <w:pPr>
              <w:pStyle w:val="Compact"/>
              <w:jc w:val="left"/>
            </w:pPr>
            <w:r>
              <w:t xml:space="preserve">Data obtained from INEC Census Projections.</w:t>
            </w:r>
          </w:p>
        </w:tc>
      </w:tr>
      <w:tr>
        <w:tc>
          <w:tcPr/>
          <w:p>
            <w:pPr>
              <w:pStyle w:val="Compact"/>
              <w:jc w:val="left"/>
            </w:pPr>
            <w:r>
              <w:t xml:space="preserve">Excess deaths</w:t>
            </w:r>
          </w:p>
        </w:tc>
        <w:tc>
          <w:tcPr/>
          <w:p>
            <w:pPr>
              <w:pStyle w:val="Compact"/>
              <w:jc w:val="left"/>
            </w:pPr>
            <w:r>
              <w:t xml:space="preserve">Excess Deaths Dashboard by Naranjo (2022)</w:t>
            </w:r>
          </w:p>
        </w:tc>
        <w:tc>
          <w:tcPr/>
          <w:p>
            <w:pPr>
              <w:pStyle w:val="Compact"/>
              <w:jc w:val="left"/>
            </w:pPr>
            <w:r>
              <w:t xml:space="preserve">Normal death rate computed based on historic death rates per province.</w:t>
            </w:r>
          </w:p>
        </w:tc>
      </w:tr>
      <w:tr>
        <w:tc>
          <w:tcPr/>
          <w:p>
            <w:pPr>
              <w:pStyle w:val="Compact"/>
              <w:jc w:val="left"/>
            </w:pPr>
            <w:r>
              <w:t xml:space="preserve">Thefts</w:t>
            </w:r>
          </w:p>
        </w:tc>
        <w:tc>
          <w:tcPr/>
          <w:p>
            <w:pPr>
              <w:pStyle w:val="Compact"/>
              <w:jc w:val="left"/>
            </w:pPr>
            <w:r>
              <w:t xml:space="preserve">Ministry of Government</w:t>
            </w:r>
          </w:p>
        </w:tc>
        <w:tc>
          <w:tcPr/>
          <w:p>
            <w:pPr>
              <w:pStyle w:val="Compact"/>
              <w:jc w:val="left"/>
            </w:pPr>
            <w:r>
              <w:t xml:space="preserve">Theft reports to the police</w:t>
            </w:r>
          </w:p>
        </w:tc>
      </w:tr>
      <w:tr>
        <w:tc>
          <w:tcPr/>
          <w:p>
            <w:pPr>
              <w:pStyle w:val="Compact"/>
              <w:jc w:val="left"/>
            </w:pPr>
            <w:r>
              <w:t xml:space="preserve">Homicides</w:t>
            </w:r>
          </w:p>
        </w:tc>
        <w:tc>
          <w:tcPr/>
          <w:p>
            <w:pPr>
              <w:pStyle w:val="Compact"/>
              <w:jc w:val="left"/>
            </w:pPr>
            <w:r>
              <w:t xml:space="preserve">Ministry of Government</w:t>
            </w:r>
          </w:p>
        </w:tc>
        <w:tc>
          <w:tcPr/>
          <w:p>
            <w:pPr>
              <w:pStyle w:val="Compact"/>
              <w:jc w:val="left"/>
            </w:pPr>
            <w:r>
              <w:t xml:space="preserve">Violent deaths reported to the police</w:t>
            </w:r>
          </w:p>
        </w:tc>
      </w:tr>
      <w:tr>
        <w:tc>
          <w:tcPr/>
          <w:p>
            <w:pPr>
              <w:pStyle w:val="Compact"/>
              <w:jc w:val="left"/>
            </w:pPr>
            <w:r>
              <w:t xml:space="preserve">Transit accidents</w:t>
            </w:r>
          </w:p>
        </w:tc>
        <w:tc>
          <w:tcPr/>
          <w:p>
            <w:pPr>
              <w:pStyle w:val="Compact"/>
              <w:jc w:val="left"/>
            </w:pPr>
            <w:r>
              <w:t xml:space="preserve">National Transit Agency</w:t>
            </w:r>
          </w:p>
        </w:tc>
        <w:tc>
          <w:tcPr/>
          <w:p>
            <w:pPr>
              <w:pStyle w:val="Compact"/>
              <w:jc w:val="left"/>
            </w:pPr>
            <w:r>
              <w:t xml:space="preserve">Includes those resulting in injury and/or death</w:t>
            </w:r>
          </w:p>
        </w:tc>
      </w:tr>
      <w:tr>
        <w:tc>
          <w:tcPr/>
          <w:p>
            <w:pPr>
              <w:pStyle w:val="Compact"/>
              <w:jc w:val="left"/>
            </w:pPr>
            <w:r>
              <w:t xml:space="preserve">Registered labor contracts</w:t>
            </w:r>
          </w:p>
        </w:tc>
        <w:tc>
          <w:tcPr/>
          <w:p>
            <w:pPr>
              <w:pStyle w:val="Compact"/>
              <w:jc w:val="left"/>
            </w:pPr>
            <w:r>
              <w:t xml:space="preserve">Open Data Catalogue Government Database</w:t>
            </w:r>
          </w:p>
        </w:tc>
        <w:tc>
          <w:tcPr/>
          <w:p>
            <w:pPr>
              <w:pStyle w:val="Compact"/>
              <w:jc w:val="left"/>
            </w:pPr>
            <w:r>
              <w:t xml:space="preserve">Number of registered labor contracts in the Unique Labor System (SUT).</w:t>
            </w:r>
          </w:p>
        </w:tc>
      </w:tr>
    </w:tbl>
    <w:bookmarkEnd w:id="25"/>
    <w:bookmarkStart w:id="27" w:name="empirical-approach"/>
    <w:p>
      <w:pPr>
        <w:pStyle w:val="Heading2"/>
      </w:pPr>
      <w:r>
        <w:t xml:space="preserve">3.2 Empirical approach</w:t>
      </w:r>
    </w:p>
    <w:p>
      <w:pPr>
        <w:pStyle w:val="FirstParagraph"/>
      </w:pPr>
      <w:r>
        <w:t xml:space="preserve">A differences-in-differences design is implemented to investigate a potential causal effect of vaccination rates in business creation. The shock that will be exploited for the estimation will be the Delta Variant. This variant of COVID-19 was initially identified in India in late 2020, and spread to the United States in June 2021. It was identified that while the variant’s symptoms were the same as the original disease, they seemed to be more severe in the respiratory tract and it also spread quicker. Additionally, the variant seemed to put unvaccinated people at a much higher risk than other variants. It quickly became the principal variant in the United States throughout the fall of 2021</w:t>
      </w:r>
      <w:r>
        <w:t xml:space="preserve"> </w:t>
      </w:r>
      <w:r>
        <w:t xml:space="preserve">(Katella 2022; UCDavis Health 2022)</w:t>
      </w:r>
      <w:r>
        <w:t xml:space="preserve">. In Ecuador, cases of this variant were initially identified in the summer of 2021 and by October it became the dominant variant in COVID-19 infections</w:t>
      </w:r>
      <w:r>
        <w:t xml:space="preserve"> </w:t>
      </w:r>
      <w:r>
        <w:t xml:space="preserve">(Mendoza 2021; Heredia 2021)</w:t>
      </w:r>
      <w:r>
        <w:t xml:space="preserve">. This shock is used because given the characteristics of the</w:t>
      </w:r>
      <w:r>
        <w:t xml:space="preserve"> </w:t>
      </w:r>
      <w:r>
        <w:t xml:space="preserve">“</w:t>
      </w:r>
      <w:r>
        <w:t xml:space="preserve">new</w:t>
      </w:r>
      <w:r>
        <w:t xml:space="preserve">”</w:t>
      </w:r>
      <w:r>
        <w:t xml:space="preserve"> </w:t>
      </w:r>
      <w:r>
        <w:t xml:space="preserve">disease it would be easier to elicit differences in outcomes between groups with different propensity to become vaccinated against COVID-19.</w:t>
      </w:r>
    </w:p>
    <w:p>
      <w:pPr>
        <w:pStyle w:val="BodyText"/>
      </w:pPr>
      <w:r>
        <w:t xml:space="preserve">The treatment group will be defined in terms of vaccination hesitancy and actual COVID-19 vaccination rates. In order to accurately exploit vaccination hesitancy and not confound it with logistic/movement restriction issues, the treatment group is defined in reference to the number of vaccine-preventable diseases detected in each province through time. The Ministry of Health has made available yearly vaccine-preventable disease tabloids (</w:t>
      </w:r>
      <w:hyperlink r:id="rId26">
        <w:r>
          <w:rPr>
            <w:rStyle w:val="Hyperlink"/>
          </w:rPr>
          <w:t xml:space="preserve">gacetas inmunoprevenibles</w:t>
        </w:r>
      </w:hyperlink>
      <w:r>
        <w:t xml:space="preserve">) which tabulate yearly reported cases of vaccine-preventable diseases at the province level for 2019 and 2020. With this information, the number of vaccine-preventable diseases per thousand is computed with basis to the 2020 population projections (no 2021 projections have been made available). Also, the average monthly vaccination rate is computed, which can be seen at group level in the following table. The treatment group is then composed of the following provinces: Carchi, Chimborazo, Cotopaxi, Morona Santiago, Orellana, Pastaza, Santo Domingo, Sucumbíos, Zamora Chinchipe. These provinces comply with two conditions: higher than average vaccine-preventable cases per one thousand and lower than average monthly vaccination rates. The following table shows some descriptive statistics for the groups.</w:t>
      </w:r>
    </w:p>
    <w:tbl>
      <w:tblPr>
        <w:tblStyle w:val="Table"/>
        <w:tblW w:type="pct" w:w="5000"/>
        <w:tblLook w:firstRow="1" w:lastRow="0" w:firstColumn="0" w:lastColumn="0" w:noHBand="0" w:noVBand="0" w:val="0020"/>
      </w:tblPr>
      <w:tblGrid>
        <w:gridCol w:w="618"/>
        <w:gridCol w:w="1237"/>
        <w:gridCol w:w="1237"/>
        <w:gridCol w:w="2103"/>
        <w:gridCol w:w="2722"/>
      </w:tblGrid>
      <w:tr>
        <w:trPr>
          <w:tblHeader w:val="true"/>
        </w:trPr>
        <w:tc>
          <w:tcPr/>
          <w:p>
            <w:pPr>
              <w:pStyle w:val="Compact"/>
              <w:jc w:val="left"/>
            </w:pPr>
            <w:r>
              <w:t xml:space="preserve">Group</w:t>
            </w:r>
          </w:p>
        </w:tc>
        <w:tc>
          <w:tcPr/>
          <w:p>
            <w:pPr>
              <w:pStyle w:val="Compact"/>
              <w:jc w:val="left"/>
            </w:pPr>
            <w:r>
              <w:t xml:space="preserve">New Businesses 2020</w:t>
            </w:r>
          </w:p>
        </w:tc>
        <w:tc>
          <w:tcPr/>
          <w:p>
            <w:pPr>
              <w:pStyle w:val="Compact"/>
              <w:jc w:val="left"/>
            </w:pPr>
            <w:r>
              <w:t xml:space="preserve">New Businesses 2021</w:t>
            </w:r>
          </w:p>
        </w:tc>
        <w:tc>
          <w:tcPr/>
          <w:p>
            <w:pPr>
              <w:pStyle w:val="Compact"/>
              <w:jc w:val="left"/>
            </w:pPr>
            <w:r>
              <w:t xml:space="preserve">Mean Monthly Vaccination Rate (%)</w:t>
            </w:r>
          </w:p>
        </w:tc>
        <w:tc>
          <w:tcPr/>
          <w:p>
            <w:pPr>
              <w:pStyle w:val="Compact"/>
              <w:jc w:val="left"/>
            </w:pPr>
            <w:r>
              <w:t xml:space="preserve">Mean vaccine-preventable cases per thousand</w:t>
            </w:r>
          </w:p>
        </w:tc>
      </w:tr>
      <w:tr>
        <w:tc>
          <w:tcPr/>
          <w:p>
            <w:pPr>
              <w:pStyle w:val="Compact"/>
              <w:jc w:val="left"/>
            </w:pPr>
            <w:r>
              <w:t xml:space="preserve">Control</w:t>
            </w:r>
          </w:p>
        </w:tc>
        <w:tc>
          <w:tcPr/>
          <w:p>
            <w:pPr>
              <w:pStyle w:val="Compact"/>
              <w:jc w:val="left"/>
            </w:pPr>
            <w:r>
              <w:t xml:space="preserve">6102.00</w:t>
            </w:r>
          </w:p>
        </w:tc>
        <w:tc>
          <w:tcPr/>
          <w:p>
            <w:pPr>
              <w:pStyle w:val="Compact"/>
              <w:jc w:val="left"/>
            </w:pPr>
            <w:r>
              <w:t xml:space="preserve">4745.00</w:t>
            </w:r>
          </w:p>
        </w:tc>
        <w:tc>
          <w:tcPr/>
          <w:p>
            <w:pPr>
              <w:pStyle w:val="Compact"/>
              <w:jc w:val="left"/>
            </w:pPr>
            <w:r>
              <w:t xml:space="preserve">39.99</w:t>
            </w:r>
          </w:p>
        </w:tc>
        <w:tc>
          <w:tcPr/>
          <w:p>
            <w:pPr>
              <w:pStyle w:val="Compact"/>
              <w:jc w:val="left"/>
            </w:pPr>
            <w:r>
              <w:t xml:space="preserve">1.28</w:t>
            </w:r>
          </w:p>
        </w:tc>
      </w:tr>
      <w:tr>
        <w:tc>
          <w:tcPr/>
          <w:p>
            <w:pPr>
              <w:pStyle w:val="Compact"/>
              <w:jc w:val="left"/>
            </w:pPr>
            <w:r>
              <w:t xml:space="preserve">Treatment</w:t>
            </w:r>
          </w:p>
        </w:tc>
        <w:tc>
          <w:tcPr/>
          <w:p>
            <w:pPr>
              <w:pStyle w:val="Compact"/>
              <w:jc w:val="left"/>
            </w:pPr>
            <w:r>
              <w:t xml:space="preserve">622.00</w:t>
            </w:r>
          </w:p>
        </w:tc>
        <w:tc>
          <w:tcPr/>
          <w:p>
            <w:pPr>
              <w:pStyle w:val="Compact"/>
              <w:jc w:val="left"/>
            </w:pPr>
            <w:r>
              <w:t xml:space="preserve">472.00</w:t>
            </w:r>
          </w:p>
        </w:tc>
        <w:tc>
          <w:tcPr/>
          <w:p>
            <w:pPr>
              <w:pStyle w:val="Compact"/>
              <w:jc w:val="left"/>
            </w:pPr>
            <w:r>
              <w:t xml:space="preserve">32.82</w:t>
            </w:r>
          </w:p>
        </w:tc>
        <w:tc>
          <w:tcPr/>
          <w:p>
            <w:pPr>
              <w:pStyle w:val="Compact"/>
              <w:jc w:val="left"/>
            </w:pPr>
            <w:r>
              <w:t xml:space="preserve">1.95</w:t>
            </w:r>
          </w:p>
        </w:tc>
      </w:tr>
    </w:tbl>
    <w:bookmarkEnd w:id="27"/>
    <w:bookmarkEnd w:id="28"/>
    <w:bookmarkStart w:id="98" w:name="references"/>
    <w:p>
      <w:pPr>
        <w:pStyle w:val="Heading1"/>
      </w:pPr>
      <w:r>
        <w:t xml:space="preserve">4. References</w:t>
      </w:r>
    </w:p>
    <w:bookmarkStart w:id="97" w:name="refs"/>
    <w:bookmarkStart w:id="30" w:name="ref-BCE.2022"/>
    <w:p>
      <w:pPr>
        <w:pStyle w:val="Bibliography"/>
      </w:pPr>
      <w:r>
        <w:t xml:space="preserve">Banco Central del Ecuador. 2022.</w:t>
      </w:r>
      <w:r>
        <w:t xml:space="preserve"> </w:t>
      </w:r>
      <w:r>
        <w:t xml:space="preserve">“</w:t>
      </w:r>
      <w:r>
        <w:t xml:space="preserve">La econom</w:t>
      </w:r>
      <w:r>
        <w:t xml:space="preserve">í</w:t>
      </w:r>
      <w:r>
        <w:t xml:space="preserve">a ecuatoriana creci</w:t>
      </w:r>
      <w:r>
        <w:t xml:space="preserve">ó</w:t>
      </w:r>
      <w:r>
        <w:t xml:space="preserve"> </w:t>
      </w:r>
      <w:r>
        <w:t xml:space="preserve">4,2</w:t>
      </w:r>
      <w:r>
        <w:t xml:space="preserve">%</w:t>
      </w:r>
      <w:r>
        <w:t xml:space="preserve"> </w:t>
      </w:r>
      <w:r>
        <w:t xml:space="preserve">en 2021, superando las previsiones de crecimiento m</w:t>
      </w:r>
      <w:r>
        <w:t xml:space="preserve">á</w:t>
      </w:r>
      <w:r>
        <w:t xml:space="preserve">s recientes</w:t>
      </w:r>
      <w:r>
        <w:t xml:space="preserve">.”</w:t>
      </w:r>
      <w:r>
        <w:t xml:space="preserve"> </w:t>
      </w:r>
      <w:hyperlink r:id="rId29">
        <w:r>
          <w:rPr>
            <w:rStyle w:val="Hyperlink"/>
          </w:rPr>
          <w:t xml:space="preserve">https://www.bce.fin.ec/index.php/boletines-de-prensa-archivo/item/1482-la-economia-ecuatoriana-crecio-4-2-en-2021-superando-las-previsiones-de-crecimiento-mas-recientes</w:t>
        </w:r>
      </w:hyperlink>
      <w:r>
        <w:t xml:space="preserve">.</w:t>
      </w:r>
    </w:p>
    <w:bookmarkEnd w:id="30"/>
    <w:bookmarkStart w:id="32" w:name="ref-Banerjee.2020"/>
    <w:p>
      <w:pPr>
        <w:pStyle w:val="Bibliography"/>
      </w:pPr>
      <w:r>
        <w:t xml:space="preserve">Banerjee, Tannista, and Arnab Nayak. 2020.</w:t>
      </w:r>
      <w:r>
        <w:t xml:space="preserve"> </w:t>
      </w:r>
      <w:r>
        <w:t xml:space="preserve">“</w:t>
      </w:r>
      <w:r>
        <w:t xml:space="preserve">A county level analysis to determine If social distancing slowed the spread of COVID-19</w:t>
      </w:r>
      <w:r>
        <w:t xml:space="preserve">.”</w:t>
      </w:r>
      <w:r>
        <w:t xml:space="preserve"> </w:t>
      </w:r>
      <w:r>
        <w:rPr>
          <w:iCs/>
          <w:i/>
        </w:rPr>
        <w:t xml:space="preserve">Revista Panamericana de Salud P</w:t>
      </w:r>
      <w:r>
        <w:rPr>
          <w:iCs/>
          <w:i/>
        </w:rPr>
        <w:t xml:space="preserve">ú</w:t>
      </w:r>
      <w:r>
        <w:rPr>
          <w:iCs/>
          <w:i/>
        </w:rPr>
        <w:t xml:space="preserve">blica</w:t>
      </w:r>
      <w:r>
        <w:t xml:space="preserve"> </w:t>
      </w:r>
      <w:r>
        <w:t xml:space="preserve">44: e90.</w:t>
      </w:r>
      <w:r>
        <w:t xml:space="preserve"> </w:t>
      </w:r>
      <w:hyperlink r:id="rId31">
        <w:r>
          <w:rPr>
            <w:rStyle w:val="Hyperlink"/>
          </w:rPr>
          <w:t xml:space="preserve">https://doi.org/10.26633/RPSP.2020.90</w:t>
        </w:r>
      </w:hyperlink>
      <w:r>
        <w:t xml:space="preserve">.</w:t>
      </w:r>
    </w:p>
    <w:bookmarkEnd w:id="32"/>
    <w:bookmarkStart w:id="34" w:name="ref-Brik.2021"/>
    <w:p>
      <w:pPr>
        <w:pStyle w:val="Bibliography"/>
      </w:pPr>
      <w:r>
        <w:t xml:space="preserve">Brik, Daniela. 2021.</w:t>
      </w:r>
      <w:r>
        <w:t xml:space="preserve"> </w:t>
      </w:r>
      <w:r>
        <w:t xml:space="preserve">“</w:t>
      </w:r>
      <w:r>
        <w:t xml:space="preserve">Lasso ante el reto de impulsar las vacunas y reactivar la econom</w:t>
      </w:r>
      <w:r>
        <w:t xml:space="preserve">í</w:t>
      </w:r>
      <w:r>
        <w:t xml:space="preserve">a en Ecuador</w:t>
      </w:r>
      <w:r>
        <w:t xml:space="preserve">.”</w:t>
      </w:r>
      <w:r>
        <w:t xml:space="preserve"> </w:t>
      </w:r>
      <w:hyperlink r:id="rId33">
        <w:r>
          <w:rPr>
            <w:rStyle w:val="Hyperlink"/>
          </w:rPr>
          <w:t xml:space="preserve">https://www.swissinfo.ch/spa/ecuador-investidura--an%C3%A1lisis-_lasso-ante-el-reto-de-impulsar-las-vacunas-y-reactivar-la-econom%C3%ADa-en-ecuador/46641098</w:t>
        </w:r>
      </w:hyperlink>
      <w:r>
        <w:t xml:space="preserve">.</w:t>
      </w:r>
    </w:p>
    <w:bookmarkEnd w:id="34"/>
    <w:bookmarkStart w:id="36" w:name="ref-Brodeur.2021"/>
    <w:p>
      <w:pPr>
        <w:pStyle w:val="Bibliography"/>
      </w:pPr>
      <w:r>
        <w:t xml:space="preserve">Brodeur, Abel, David Gray, Anik Islam, and Suraiya Bhuiyan. 2021.</w:t>
      </w:r>
      <w:r>
        <w:t xml:space="preserve"> </w:t>
      </w:r>
      <w:r>
        <w:t xml:space="preserve">“</w:t>
      </w:r>
      <w:r>
        <w:t xml:space="preserve">A literature review of the economics of COVID-19</w:t>
      </w:r>
      <w:r>
        <w:t xml:space="preserve">.”</w:t>
      </w:r>
      <w:r>
        <w:t xml:space="preserve"> </w:t>
      </w:r>
      <w:r>
        <w:rPr>
          <w:iCs/>
          <w:i/>
        </w:rPr>
        <w:t xml:space="preserve">Journal of Economic Surveys</w:t>
      </w:r>
      <w:r>
        <w:t xml:space="preserve">.</w:t>
      </w:r>
      <w:r>
        <w:t xml:space="preserve"> </w:t>
      </w:r>
      <w:hyperlink r:id="rId35">
        <w:r>
          <w:rPr>
            <w:rStyle w:val="Hyperlink"/>
          </w:rPr>
          <w:t xml:space="preserve">https://doi.org/10.1111/joes.12423</w:t>
        </w:r>
      </w:hyperlink>
      <w:r>
        <w:t xml:space="preserve">.</w:t>
      </w:r>
    </w:p>
    <w:bookmarkEnd w:id="36"/>
    <w:bookmarkStart w:id="38" w:name="ref-Chen.2021"/>
    <w:p>
      <w:pPr>
        <w:pStyle w:val="Bibliography"/>
      </w:pPr>
      <w:r>
        <w:t xml:space="preserve">Chen, Musha, Yue Yuan, Yiguo Zhou, Zhaomin Deng, Jin Zhao, Fengling Feng, Huachun Zou, and Caijun Sun. 2021.</w:t>
      </w:r>
      <w:r>
        <w:t xml:space="preserve"> </w:t>
      </w:r>
      <w:r>
        <w:t xml:space="preserve">“</w:t>
      </w:r>
      <w:r>
        <w:t xml:space="preserve">Safety of SARS-CoV-2 vaccines: a systematic review and meta-analysis of randomized controlled trials</w:t>
      </w:r>
      <w:r>
        <w:t xml:space="preserve">.”</w:t>
      </w:r>
      <w:r>
        <w:t xml:space="preserve"> </w:t>
      </w:r>
      <w:r>
        <w:rPr>
          <w:iCs/>
          <w:i/>
        </w:rPr>
        <w:t xml:space="preserve">Infectius Diseases of Poverty</w:t>
      </w:r>
      <w:r>
        <w:t xml:space="preserve"> </w:t>
      </w:r>
      <w:r>
        <w:t xml:space="preserve">10 (1): 94.</w:t>
      </w:r>
      <w:r>
        <w:t xml:space="preserve"> </w:t>
      </w:r>
      <w:hyperlink r:id="rId37">
        <w:r>
          <w:rPr>
            <w:rStyle w:val="Hyperlink"/>
          </w:rPr>
          <w:t xml:space="preserve">https://doi.org/10.1186/s40249-021-00878-5</w:t>
        </w:r>
      </w:hyperlink>
      <w:r>
        <w:t xml:space="preserve">.</w:t>
      </w:r>
    </w:p>
    <w:bookmarkEnd w:id="38"/>
    <w:bookmarkStart w:id="39" w:name="ref-MarketWatch.2022"/>
    <w:p>
      <w:pPr>
        <w:pStyle w:val="Bibliography"/>
      </w:pPr>
      <w:r>
        <w:t xml:space="preserve">“</w:t>
      </w:r>
      <w:r>
        <w:t xml:space="preserve">Crude Oil WTI Price</w:t>
      </w:r>
      <w:r>
        <w:t xml:space="preserve">.”</w:t>
      </w:r>
      <w:r>
        <w:t xml:space="preserve"> </w:t>
      </w:r>
      <w:r>
        <w:t xml:space="preserve">2022.</w:t>
      </w:r>
    </w:p>
    <w:bookmarkEnd w:id="39"/>
    <w:bookmarkStart w:id="41" w:name="ref-Deb.2022"/>
    <w:p>
      <w:pPr>
        <w:pStyle w:val="Bibliography"/>
      </w:pPr>
      <w:r>
        <w:t xml:space="preserve">Deb, Pragyan, Davide Furceri, Jonathan D. Ostry, and Nour Tawk. 2022.</w:t>
      </w:r>
      <w:r>
        <w:t xml:space="preserve"> </w:t>
      </w:r>
      <w:r>
        <w:t xml:space="preserve">“</w:t>
      </w:r>
      <w:r>
        <w:t xml:space="preserve">The Economic Effects of COVID-19 Containment Measures</w:t>
      </w:r>
      <w:r>
        <w:t xml:space="preserve">.”</w:t>
      </w:r>
      <w:r>
        <w:t xml:space="preserve"> </w:t>
      </w:r>
      <w:r>
        <w:rPr>
          <w:iCs/>
          <w:i/>
        </w:rPr>
        <w:t xml:space="preserve">Open Economies Review</w:t>
      </w:r>
      <w:r>
        <w:t xml:space="preserve"> </w:t>
      </w:r>
      <w:r>
        <w:t xml:space="preserve">33 (1): 1–32.</w:t>
      </w:r>
      <w:r>
        <w:t xml:space="preserve"> </w:t>
      </w:r>
      <w:hyperlink r:id="rId40">
        <w:r>
          <w:rPr>
            <w:rStyle w:val="Hyperlink"/>
          </w:rPr>
          <w:t xml:space="preserve">https://doi.org/10.1007/s11079-021-09638-2</w:t>
        </w:r>
      </w:hyperlink>
      <w:r>
        <w:t xml:space="preserve">.</w:t>
      </w:r>
    </w:p>
    <w:bookmarkEnd w:id="41"/>
    <w:bookmarkStart w:id="43" w:name="ref-Deb.2021"/>
    <w:p>
      <w:pPr>
        <w:pStyle w:val="Bibliography"/>
      </w:pPr>
      <w:r>
        <w:t xml:space="preserve">Deb, Pragyan, David Furceri, Daniel Jimenez, Kothari, Siddhart, Jonathan D. Ostry, and Nour Tawk. 2021.</w:t>
      </w:r>
      <w:r>
        <w:t xml:space="preserve"> </w:t>
      </w:r>
      <w:r>
        <w:t xml:space="preserve">“</w:t>
      </w:r>
      <w:r>
        <w:t xml:space="preserve">Determinants of COVID-19 Vaccine Rollouts and Their Effects on Health Outcomes: WP/21/247: International Monetary Fund Working Papers</w:t>
      </w:r>
      <w:r>
        <w:t xml:space="preserve">.”</w:t>
      </w:r>
      <w:r>
        <w:t xml:space="preserve"> </w:t>
      </w:r>
      <w:r>
        <w:t xml:space="preserve">Washington, DC:</w:t>
      </w:r>
      <w:r>
        <w:t xml:space="preserve"> </w:t>
      </w:r>
      <w:r>
        <w:t xml:space="preserve">International Monetary Fund</w:t>
      </w:r>
      <w:r>
        <w:t xml:space="preserve">.</w:t>
      </w:r>
      <w:r>
        <w:t xml:space="preserve"> </w:t>
      </w:r>
      <w:hyperlink r:id="rId42">
        <w:r>
          <w:rPr>
            <w:rStyle w:val="Hyperlink"/>
          </w:rPr>
          <w:t xml:space="preserve">https://www.imf.org/-/media/Files/Publications/WP/2021/English/wpiea2021247-print-pdf.ashx</w:t>
        </w:r>
      </w:hyperlink>
      <w:r>
        <w:t xml:space="preserve">.</w:t>
      </w:r>
    </w:p>
    <w:bookmarkEnd w:id="43"/>
    <w:bookmarkStart w:id="45" w:name="ref-Furceri.2021"/>
    <w:p>
      <w:pPr>
        <w:pStyle w:val="Bibliography"/>
      </w:pPr>
      <w:r>
        <w:t xml:space="preserve">Furceri, Davide, Pragyan Deb, Siddharth Kothari, Nour Tawk, Daniel Jimenez, and Jonathan David Ostry. 2021.</w:t>
      </w:r>
      <w:r>
        <w:t xml:space="preserve"> </w:t>
      </w:r>
      <w:r>
        <w:rPr>
          <w:iCs/>
          <w:i/>
        </w:rPr>
        <w:t xml:space="preserve">The Effects of COVID-19 Vaccines on Economic Activity: International Monetary Fund Working Paper Series</w:t>
      </w:r>
      <w:r>
        <w:t xml:space="preserve">. Vol. WP/21, 248.</w:t>
      </w:r>
      <w:r>
        <w:t xml:space="preserve"> </w:t>
      </w:r>
      <w:r>
        <w:t xml:space="preserve">Working paper / International Monetary Fund</w:t>
      </w:r>
      <w:r>
        <w:t xml:space="preserve">. 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44">
        <w:r>
          <w:rPr>
            <w:rStyle w:val="Hyperlink"/>
          </w:rPr>
          <w:t xml:space="preserve">https://doi.org/10.5089/9781589063761.001</w:t>
        </w:r>
      </w:hyperlink>
      <w:r>
        <w:t xml:space="preserve">.</w:t>
      </w:r>
    </w:p>
    <w:bookmarkEnd w:id="45"/>
    <w:bookmarkStart w:id="47" w:name="ref-Heredia.2021"/>
    <w:p>
      <w:pPr>
        <w:pStyle w:val="Bibliography"/>
      </w:pPr>
      <w:r>
        <w:t xml:space="preserve">Heredia, Valeria. 2021.</w:t>
      </w:r>
      <w:r>
        <w:t xml:space="preserve"> </w:t>
      </w:r>
      <w:r>
        <w:t xml:space="preserve">“</w:t>
      </w:r>
      <w:r>
        <w:t xml:space="preserve">Delta es la variante que predomina en Ecuador</w:t>
      </w:r>
      <w:r>
        <w:t xml:space="preserve">.”</w:t>
      </w:r>
      <w:r>
        <w:t xml:space="preserve"> </w:t>
      </w:r>
      <w:hyperlink r:id="rId46">
        <w:r>
          <w:rPr>
            <w:rStyle w:val="Hyperlink"/>
          </w:rPr>
          <w:t xml:space="preserve">https://www.elcomercio.com/tendencias/sociedad/delta-variantes-ecuador-coronavirus-pandemia.html</w:t>
        </w:r>
      </w:hyperlink>
      <w:r>
        <w:t xml:space="preserve">.</w:t>
      </w:r>
    </w:p>
    <w:bookmarkEnd w:id="47"/>
    <w:bookmarkStart w:id="49" w:name="ref-Hurtado.2021"/>
    <w:p>
      <w:pPr>
        <w:pStyle w:val="Bibliography"/>
      </w:pPr>
      <w:r>
        <w:t xml:space="preserve">Hurtado, Sebastián. 2021.</w:t>
      </w:r>
      <w:r>
        <w:t xml:space="preserve"> </w:t>
      </w:r>
      <w:r>
        <w:t xml:space="preserve">“</w:t>
      </w:r>
      <w:r>
        <w:t xml:space="preserve">The Ups and Downs of Guillermo Lasso</w:t>
      </w:r>
      <w:r>
        <w:t xml:space="preserve">.”</w:t>
      </w:r>
      <w:r>
        <w:t xml:space="preserve"> </w:t>
      </w:r>
      <w:hyperlink r:id="rId48">
        <w:r>
          <w:rPr>
            <w:rStyle w:val="Hyperlink"/>
          </w:rPr>
          <w:t xml:space="preserve">https://americasquarterly.org/article/the-ups-and-downs-of-guillermo-lasso/</w:t>
        </w:r>
      </w:hyperlink>
      <w:r>
        <w:t xml:space="preserve">.</w:t>
      </w:r>
    </w:p>
    <w:bookmarkEnd w:id="49"/>
    <w:bookmarkStart w:id="51" w:name="ref-IMF.Oct2020.Art"/>
    <w:p>
      <w:pPr>
        <w:pStyle w:val="Bibliography"/>
      </w:pPr>
      <w:r>
        <w:t xml:space="preserve">International Monetary Fund. 2020a.</w:t>
      </w:r>
      <w:r>
        <w:t xml:space="preserve"> </w:t>
      </w:r>
      <w:r>
        <w:t xml:space="preserve">“</w:t>
      </w:r>
      <w:r>
        <w:t xml:space="preserve">Ayudar al Ecuador a enfrentar la pandemia</w:t>
      </w:r>
      <w:r>
        <w:t xml:space="preserve">.”</w:t>
      </w:r>
      <w:r>
        <w:t xml:space="preserve"> </w:t>
      </w:r>
      <w:hyperlink r:id="rId50">
        <w:r>
          <w:rPr>
            <w:rStyle w:val="Hyperlink"/>
          </w:rPr>
          <w:t xml:space="preserve">https://www.imf.org/es/News/Articles/2020/10/05/na100520-helping-ecuador-confront-the-pandemic</w:t>
        </w:r>
      </w:hyperlink>
      <w:r>
        <w:t xml:space="preserve">.</w:t>
      </w:r>
    </w:p>
    <w:bookmarkEnd w:id="51"/>
    <w:bookmarkStart w:id="53" w:name="ref-IMF.Oct2020"/>
    <w:p>
      <w:pPr>
        <w:pStyle w:val="Bibliography"/>
      </w:pPr>
      <w:r>
        <w:t xml:space="preserve">———. 2020b.</w:t>
      </w:r>
      <w:r>
        <w:t xml:space="preserve"> </w:t>
      </w:r>
      <w:r>
        <w:t xml:space="preserve">“</w:t>
      </w:r>
      <w:r>
        <w:t xml:space="preserve">World Economic Outlook (International Monetary Fund): A Long and Difficult Ascent</w:t>
      </w:r>
      <w:r>
        <w:t xml:space="preserve">.”</w:t>
      </w:r>
      <w:r>
        <w:t xml:space="preserve"> </w:t>
      </w:r>
      <w:r>
        <w:t xml:space="preserve">World economic outlook</w:t>
      </w:r>
      <w:r>
        <w:t xml:space="preserve">. 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52">
        <w:r>
          <w:rPr>
            <w:rStyle w:val="Hyperlink"/>
          </w:rPr>
          <w:t xml:space="preserve">https://www.imf.org/-/media/Files/Publications/WEO/2020/October/English/text.ashx</w:t>
        </w:r>
      </w:hyperlink>
      <w:r>
        <w:t xml:space="preserve">.</w:t>
      </w:r>
    </w:p>
    <w:bookmarkEnd w:id="53"/>
    <w:bookmarkStart w:id="55" w:name="ref-IMF.April2020"/>
    <w:p>
      <w:pPr>
        <w:pStyle w:val="Bibliography"/>
      </w:pPr>
      <w:r>
        <w:t xml:space="preserve">———. 2020c.</w:t>
      </w:r>
      <w:r>
        <w:t xml:space="preserve"> </w:t>
      </w:r>
      <w:r>
        <w:t xml:space="preserve">“</w:t>
      </w:r>
      <w:r>
        <w:t xml:space="preserve">World Economic Outlook (International Monetary Fund): The Great Lockdown</w:t>
      </w:r>
      <w:r>
        <w:t xml:space="preserve">.”</w:t>
      </w:r>
      <w:r>
        <w:t xml:space="preserve"> </w:t>
      </w:r>
      <w:r>
        <w:t xml:space="preserve">World economic and financial surveys</w:t>
      </w:r>
      <w:r>
        <w:t xml:space="preserve">. Washington, DC:</w:t>
      </w:r>
      <w:r>
        <w:t xml:space="preserve"> </w:t>
      </w:r>
      <w:r>
        <w:t xml:space="preserve">International Monetary Fund</w:t>
      </w:r>
      <w:r>
        <w:t xml:space="preserve">.</w:t>
      </w:r>
      <w:r>
        <w:t xml:space="preserve"> </w:t>
      </w:r>
      <w:hyperlink r:id="rId54">
        <w:r>
          <w:rPr>
            <w:rStyle w:val="Hyperlink"/>
          </w:rPr>
          <w:t xml:space="preserve">https://www.imf.org/-/media/Files/Publications/WEO/2020/April/English/text.ashx</w:t>
        </w:r>
      </w:hyperlink>
      <w:r>
        <w:t xml:space="preserve">.</w:t>
      </w:r>
    </w:p>
    <w:bookmarkEnd w:id="55"/>
    <w:bookmarkStart w:id="57" w:name="ref-IMF.April2021"/>
    <w:p>
      <w:pPr>
        <w:pStyle w:val="Bibliography"/>
      </w:pPr>
      <w:r>
        <w:t xml:space="preserve">———. 2021.</w:t>
      </w:r>
      <w:r>
        <w:t xml:space="preserve"> </w:t>
      </w:r>
      <w:r>
        <w:t xml:space="preserve">“</w:t>
      </w:r>
      <w:r>
        <w:t xml:space="preserve">World Economic Outlook (International Monetary Fund): Managing Divergent Recoveries</w:t>
      </w:r>
      <w:r>
        <w:t xml:space="preserve">.”</w:t>
      </w:r>
      <w:r>
        <w:t xml:space="preserve"> </w:t>
      </w:r>
      <w:r>
        <w:t xml:space="preserve">Washington, DC:</w:t>
      </w:r>
      <w:r>
        <w:t xml:space="preserve"> </w:t>
      </w:r>
      <w:r>
        <w:t xml:space="preserve">International Monetary Fund</w:t>
      </w:r>
      <w:r>
        <w:t xml:space="preserve">;</w:t>
      </w:r>
      <w:r>
        <w:t xml:space="preserve"> </w:t>
      </w:r>
      <w:r>
        <w:t xml:space="preserve">International Monetary Fund</w:t>
      </w:r>
      <w:r>
        <w:t xml:space="preserve">.</w:t>
      </w:r>
      <w:r>
        <w:t xml:space="preserve"> </w:t>
      </w:r>
      <w:hyperlink r:id="rId56">
        <w:r>
          <w:rPr>
            <w:rStyle w:val="Hyperlink"/>
          </w:rPr>
          <w:t xml:space="preserve">https://www.imf.org/-/media/Files/Publications/WEO/2021/April/English/text.ashx</w:t>
        </w:r>
      </w:hyperlink>
      <w:r>
        <w:t xml:space="preserve">.</w:t>
      </w:r>
    </w:p>
    <w:bookmarkEnd w:id="57"/>
    <w:bookmarkStart w:id="58" w:name="ref-IMF.Oct2021"/>
    <w:p>
      <w:pPr>
        <w:pStyle w:val="Bibliography"/>
      </w:pPr>
      <w:r>
        <w:t xml:space="preserve">———. 2021.</w:t>
      </w:r>
      <w:r>
        <w:t xml:space="preserve"> </w:t>
      </w:r>
      <w:r>
        <w:t xml:space="preserve">“</w:t>
      </w:r>
      <w:r>
        <w:t xml:space="preserve">World Economic Outlook (International Monetary Fund): Recovery During a Pandemic: Health Concerns, Supply Disruptions, and Price Pressures</w:t>
      </w:r>
      <w:r>
        <w:t xml:space="preserve">.”</w:t>
      </w:r>
      <w:r>
        <w:t xml:space="preserve"> </w:t>
      </w:r>
      <w:r>
        <w:t xml:space="preserve">Washington, DC.</w:t>
      </w:r>
    </w:p>
    <w:bookmarkEnd w:id="58"/>
    <w:bookmarkStart w:id="60" w:name="ref-Katella.2022"/>
    <w:p>
      <w:pPr>
        <w:pStyle w:val="Bibliography"/>
      </w:pPr>
      <w:r>
        <w:t xml:space="preserve">Katella, Kathy. 2022.</w:t>
      </w:r>
      <w:r>
        <w:t xml:space="preserve"> </w:t>
      </w:r>
      <w:r>
        <w:t xml:space="preserve">“</w:t>
      </w:r>
      <w:r>
        <w:t xml:space="preserve">Comparing the COVID-19 Vaccines: How Are They Different?</w:t>
      </w:r>
      <w:r>
        <w:t xml:space="preserve">”</w:t>
      </w:r>
      <w:r>
        <w:t xml:space="preserve"> </w:t>
      </w:r>
      <w:hyperlink r:id="rId59">
        <w:r>
          <w:rPr>
            <w:rStyle w:val="Hyperlink"/>
          </w:rPr>
          <w:t xml:space="preserve">https://www.yalemedicine.org/news/covid-19-vaccine-comparison</w:t>
        </w:r>
      </w:hyperlink>
      <w:r>
        <w:t xml:space="preserve">.</w:t>
      </w:r>
    </w:p>
    <w:bookmarkEnd w:id="60"/>
    <w:bookmarkStart w:id="62" w:name="ref-Machado.2021"/>
    <w:p>
      <w:pPr>
        <w:pStyle w:val="Bibliography"/>
      </w:pPr>
      <w:r>
        <w:t xml:space="preserve">Machado, Jonathan. 2021.</w:t>
      </w:r>
      <w:r>
        <w:t xml:space="preserve"> </w:t>
      </w:r>
      <w:r>
        <w:t xml:space="preserve">“</w:t>
      </w:r>
      <w:r>
        <w:t xml:space="preserve">Pol</w:t>
      </w:r>
      <w:r>
        <w:t xml:space="preserve">é</w:t>
      </w:r>
      <w:r>
        <w:t xml:space="preserve">mica por confidencialidad de la lista de vacunados VIP en Ecuador</w:t>
      </w:r>
      <w:r>
        <w:t xml:space="preserve">.”</w:t>
      </w:r>
      <w:r>
        <w:t xml:space="preserve"> </w:t>
      </w:r>
      <w:hyperlink r:id="rId61">
        <w:r>
          <w:rPr>
            <w:rStyle w:val="Hyperlink"/>
          </w:rPr>
          <w:t xml:space="preserve">https://www.primicias.ec/noticias/sociedad/polemica-lista-vacunados-covid-ecuador/</w:t>
        </w:r>
      </w:hyperlink>
      <w:r>
        <w:t xml:space="preserve">.</w:t>
      </w:r>
    </w:p>
    <w:bookmarkEnd w:id="62"/>
    <w:bookmarkStart w:id="64" w:name="ref-Madrid.2021"/>
    <w:p>
      <w:pPr>
        <w:pStyle w:val="Bibliography"/>
      </w:pPr>
      <w:r>
        <w:t xml:space="preserve">Madrid, Roxana. 2021.</w:t>
      </w:r>
      <w:r>
        <w:t xml:space="preserve"> </w:t>
      </w:r>
      <w:r>
        <w:t xml:space="preserve">“</w:t>
      </w:r>
      <w:r>
        <w:t xml:space="preserve">Lasso expone su propuesta de reactivaci</w:t>
      </w:r>
      <w:r>
        <w:t xml:space="preserve">ó</w:t>
      </w:r>
      <w:r>
        <w:t xml:space="preserve">n econ</w:t>
      </w:r>
      <w:r>
        <w:t xml:space="preserve">ó</w:t>
      </w:r>
      <w:r>
        <w:t xml:space="preserve">mica para el Ecuador en Foro de Davos</w:t>
      </w:r>
      <w:r>
        <w:t xml:space="preserve">.”</w:t>
      </w:r>
      <w:r>
        <w:t xml:space="preserve"> </w:t>
      </w:r>
      <w:hyperlink r:id="rId63">
        <w:r>
          <w:rPr>
            <w:rStyle w:val="Hyperlink"/>
          </w:rPr>
          <w:t xml:space="preserve">https://www.elcomercio.com/actualidad/politica/presidente-lasso-exposicion-foro-davos-plan-reactivacion-economica-ecuador.html</w:t>
        </w:r>
      </w:hyperlink>
      <w:r>
        <w:t xml:space="preserve">.</w:t>
      </w:r>
    </w:p>
    <w:bookmarkEnd w:id="64"/>
    <w:bookmarkStart w:id="66" w:name="ref-Mandavilli.2020"/>
    <w:p>
      <w:pPr>
        <w:pStyle w:val="Bibliography"/>
      </w:pPr>
      <w:r>
        <w:t xml:space="preserve">Mandavilli, Apoorva. 2020.</w:t>
      </w:r>
      <w:r>
        <w:t xml:space="preserve"> </w:t>
      </w:r>
      <w:r>
        <w:t xml:space="preserve">“</w:t>
      </w:r>
      <w:r>
        <w:t xml:space="preserve">Wondering About Social Distancing?</w:t>
      </w:r>
      <w:r>
        <w:t xml:space="preserve">”</w:t>
      </w:r>
      <w:r>
        <w:t xml:space="preserve"> </w:t>
      </w:r>
      <w:hyperlink r:id="rId65">
        <w:r>
          <w:rPr>
            <w:rStyle w:val="Hyperlink"/>
          </w:rPr>
          <w:t xml:space="preserve">https://www.nytimes.com/2020/03/16/smarter-living/coronavirus-social-distancing.html</w:t>
        </w:r>
      </w:hyperlink>
      <w:r>
        <w:t xml:space="preserve">.</w:t>
      </w:r>
    </w:p>
    <w:bookmarkEnd w:id="66"/>
    <w:bookmarkStart w:id="68" w:name="ref-Mendoza.2021"/>
    <w:p>
      <w:pPr>
        <w:pStyle w:val="Bibliography"/>
      </w:pPr>
      <w:r>
        <w:t xml:space="preserve">Mendoza, Daniela. 2021.</w:t>
      </w:r>
      <w:r>
        <w:t xml:space="preserve"> </w:t>
      </w:r>
      <w:r>
        <w:t xml:space="preserve">“</w:t>
      </w:r>
      <w:r>
        <w:t xml:space="preserve">Ecuador ha detectado 85 casos de la variante delta en su pa</w:t>
      </w:r>
      <w:r>
        <w:t xml:space="preserve">í</w:t>
      </w:r>
      <w:r>
        <w:t xml:space="preserve">s</w:t>
      </w:r>
      <w:r>
        <w:t xml:space="preserve">.”</w:t>
      </w:r>
      <w:r>
        <w:t xml:space="preserve"> </w:t>
      </w:r>
      <w:hyperlink r:id="rId67">
        <w:r>
          <w:rPr>
            <w:rStyle w:val="Hyperlink"/>
          </w:rPr>
          <w:t xml:space="preserve">https://www.aa.com.tr/es/mundo/ecuador-ha-detectado-85-casos-de-la-variante-delta-en-su-pa%C3%ADs/2316134</w:t>
        </w:r>
      </w:hyperlink>
      <w:r>
        <w:t xml:space="preserve">.</w:t>
      </w:r>
    </w:p>
    <w:bookmarkEnd w:id="68"/>
    <w:bookmarkStart w:id="70" w:name="ref-Meunier.2022"/>
    <w:p>
      <w:pPr>
        <w:pStyle w:val="Bibliography"/>
      </w:pPr>
      <w:r>
        <w:t xml:space="preserve">Meunier, Frederic, Cyrian Coste, and Ricardo Maia. 2022.</w:t>
      </w:r>
      <w:r>
        <w:t xml:space="preserve"> </w:t>
      </w:r>
      <w:r>
        <w:t xml:space="preserve">“</w:t>
      </w:r>
      <w:r>
        <w:t xml:space="preserve">How did the COVID-19 pandemic influence the pace of new business formation?</w:t>
      </w:r>
      <w:r>
        <w:t xml:space="preserve">”</w:t>
      </w:r>
      <w:r>
        <w:t xml:space="preserve"> Edited by World Bank.</w:t>
      </w:r>
      <w:r>
        <w:t xml:space="preserve"> </w:t>
      </w:r>
      <w:r>
        <w:t xml:space="preserve">World Bank Blogs</w:t>
      </w:r>
      <w:r>
        <w:t xml:space="preserve">.</w:t>
      </w:r>
      <w:r>
        <w:t xml:space="preserve"> </w:t>
      </w:r>
      <w:hyperlink r:id="rId69">
        <w:r>
          <w:rPr>
            <w:rStyle w:val="Hyperlink"/>
          </w:rPr>
          <w:t xml:space="preserve">https://blogs.worldbank.org/developmenttalk/how-did-covid-19-pandemic-influence-pace-new-business-formation</w:t>
        </w:r>
      </w:hyperlink>
      <w:r>
        <w:t xml:space="preserve">.</w:t>
      </w:r>
    </w:p>
    <w:bookmarkEnd w:id="70"/>
    <w:bookmarkStart w:id="72" w:name="ref-Mulligan.2021"/>
    <w:p>
      <w:pPr>
        <w:pStyle w:val="Bibliography"/>
      </w:pPr>
      <w:r>
        <w:t xml:space="preserve">Mulligan, Casey B. 2021.</w:t>
      </w:r>
      <w:r>
        <w:t xml:space="preserve"> </w:t>
      </w:r>
      <w:r>
        <w:t xml:space="preserve">“</w:t>
      </w:r>
      <w:r>
        <w:t xml:space="preserve">Economic Activity and the Value of Medical Innovation during a Pandemic</w:t>
      </w:r>
      <w:r>
        <w:t xml:space="preserve">.”</w:t>
      </w:r>
      <w:r>
        <w:t xml:space="preserve"> </w:t>
      </w:r>
      <w:r>
        <w:rPr>
          <w:iCs/>
          <w:i/>
        </w:rPr>
        <w:t xml:space="preserve">Journal of Benefit-Cost Analysis</w:t>
      </w:r>
      <w:r>
        <w:t xml:space="preserve"> </w:t>
      </w:r>
      <w:r>
        <w:t xml:space="preserve">12 (3): 420–40.</w:t>
      </w:r>
      <w:r>
        <w:t xml:space="preserve"> </w:t>
      </w:r>
      <w:hyperlink r:id="rId71">
        <w:r>
          <w:rPr>
            <w:rStyle w:val="Hyperlink"/>
          </w:rPr>
          <w:t xml:space="preserve">https://doi.org/10.1017/bca.2021.5</w:t>
        </w:r>
      </w:hyperlink>
      <w:r>
        <w:t xml:space="preserve">.</w:t>
      </w:r>
    </w:p>
    <w:bookmarkEnd w:id="72"/>
    <w:bookmarkStart w:id="74" w:name="ref-Naranjo.2020"/>
    <w:p>
      <w:pPr>
        <w:pStyle w:val="Bibliography"/>
      </w:pPr>
      <w:r>
        <w:t xml:space="preserve">Naranjo, Sebastián. 2020.</w:t>
      </w:r>
      <w:r>
        <w:t xml:space="preserve"> </w:t>
      </w:r>
      <w:r>
        <w:t xml:space="preserve">“</w:t>
      </w:r>
      <w:r>
        <w:t xml:space="preserve">Ecuador registr</w:t>
      </w:r>
      <w:r>
        <w:t xml:space="preserve">ó</w:t>
      </w:r>
      <w:r>
        <w:t xml:space="preserve"> </w:t>
      </w:r>
      <w:r>
        <w:t xml:space="preserve">hasta julio un exceso de mortalidad de 80,2</w:t>
      </w:r>
      <w:r>
        <w:t xml:space="preserve">%</w:t>
      </w:r>
      <w:r>
        <w:t xml:space="preserve">.”</w:t>
      </w:r>
      <w:r>
        <w:t xml:space="preserve"> </w:t>
      </w:r>
      <w:hyperlink r:id="rId73">
        <w:r>
          <w:rPr>
            <w:rStyle w:val="Hyperlink"/>
          </w:rPr>
          <w:t xml:space="preserve">https://www.revistagestion.ec/sociedad-analisis/ecuador-registro-hasta-julio-un-exceso-de-mortalidad-de-802</w:t>
        </w:r>
      </w:hyperlink>
      <w:r>
        <w:t xml:space="preserve">.</w:t>
      </w:r>
    </w:p>
    <w:bookmarkEnd w:id="74"/>
    <w:bookmarkStart w:id="76" w:name="ref-Polack.2020"/>
    <w:p>
      <w:pPr>
        <w:pStyle w:val="Bibliography"/>
      </w:pPr>
      <w:r>
        <w:t xml:space="preserve">Polack, Fernando P., Stephen J. Thomas, Nicholas Kitchin, Judith Absalon, Alejandra Gurtman, Stephen Lockhart, John L. Perez, et al. 2020.</w:t>
      </w:r>
      <w:r>
        <w:t xml:space="preserve"> </w:t>
      </w:r>
      <w:r>
        <w:t xml:space="preserve">“</w:t>
      </w:r>
      <w:r>
        <w:t xml:space="preserve">Safety and Efficacy of the BNT162b2 mRNA Covid-19 Vaccine</w:t>
      </w:r>
      <w:r>
        <w:t xml:space="preserve">.”</w:t>
      </w:r>
      <w:r>
        <w:t xml:space="preserve"> </w:t>
      </w:r>
      <w:r>
        <w:rPr>
          <w:iCs/>
          <w:i/>
        </w:rPr>
        <w:t xml:space="preserve">The New England Journal of Medicine</w:t>
      </w:r>
      <w:r>
        <w:t xml:space="preserve"> </w:t>
      </w:r>
      <w:r>
        <w:t xml:space="preserve">383 (27): 2603–15.</w:t>
      </w:r>
      <w:r>
        <w:t xml:space="preserve"> </w:t>
      </w:r>
      <w:hyperlink r:id="rId75">
        <w:r>
          <w:rPr>
            <w:rStyle w:val="Hyperlink"/>
          </w:rPr>
          <w:t xml:space="preserve">https://doi.org/10.1056/NEJMoa2034577</w:t>
        </w:r>
      </w:hyperlink>
      <w:r>
        <w:t xml:space="preserve">.</w:t>
      </w:r>
    </w:p>
    <w:bookmarkEnd w:id="76"/>
    <w:bookmarkStart w:id="78" w:name="ref-Sandoval.2021"/>
    <w:p>
      <w:pPr>
        <w:pStyle w:val="Bibliography"/>
      </w:pPr>
      <w:r>
        <w:t xml:space="preserve">Sandoval, Carla. 2021.</w:t>
      </w:r>
      <w:r>
        <w:t xml:space="preserve"> </w:t>
      </w:r>
      <w:r>
        <w:t xml:space="preserve">“</w:t>
      </w:r>
      <w:r>
        <w:t xml:space="preserve">Salud ordena investigar inclusi</w:t>
      </w:r>
      <w:r>
        <w:t xml:space="preserve">ó</w:t>
      </w:r>
      <w:r>
        <w:t xml:space="preserve">n de</w:t>
      </w:r>
      <w:r>
        <w:t xml:space="preserve"> </w:t>
      </w:r>
      <w:r>
        <w:t xml:space="preserve">‘tiktokers’</w:t>
      </w:r>
      <w:r>
        <w:t xml:space="preserve"> </w:t>
      </w:r>
      <w:r>
        <w:t xml:space="preserve">en lista de vacunados covid-19</w:t>
      </w:r>
      <w:r>
        <w:t xml:space="preserve">.”</w:t>
      </w:r>
      <w:r>
        <w:t xml:space="preserve"> </w:t>
      </w:r>
      <w:r>
        <w:rPr>
          <w:iCs/>
          <w:i/>
        </w:rPr>
        <w:t xml:space="preserve">El Comercio</w:t>
      </w:r>
      <w:r>
        <w:t xml:space="preserve">.</w:t>
      </w:r>
      <w:r>
        <w:t xml:space="preserve"> </w:t>
      </w:r>
      <w:hyperlink r:id="rId77">
        <w:r>
          <w:rPr>
            <w:rStyle w:val="Hyperlink"/>
          </w:rPr>
          <w:t xml:space="preserve">https://www.elcomercio.com/tendencias/sociedad/salud-investigacion-tiktokers-vacunados-covid19.html</w:t>
        </w:r>
      </w:hyperlink>
      <w:r>
        <w:t xml:space="preserve">.</w:t>
      </w:r>
    </w:p>
    <w:bookmarkEnd w:id="78"/>
    <w:bookmarkStart w:id="80" w:name="ref-Sharkey.2020"/>
    <w:p>
      <w:pPr>
        <w:pStyle w:val="Bibliography"/>
      </w:pPr>
      <w:r>
        <w:t xml:space="preserve">Sharkey, Patrick, and George Wood. 2020.</w:t>
      </w:r>
      <w:r>
        <w:t xml:space="preserve"> </w:t>
      </w:r>
      <w:r>
        <w:t xml:space="preserve">“</w:t>
      </w:r>
      <w:r>
        <w:t xml:space="preserve">The Causal Effect of Social Distancing on the Spread of SARS-CoV-2</w:t>
      </w:r>
      <w:r>
        <w:t xml:space="preserve">.”</w:t>
      </w:r>
      <w:r>
        <w:t xml:space="preserve"> </w:t>
      </w:r>
      <w:hyperlink r:id="rId79">
        <w:r>
          <w:rPr>
            <w:rStyle w:val="Hyperlink"/>
          </w:rPr>
          <w:t xml:space="preserve">https://osf.io/preprints/socarxiv/hzj7a/</w:t>
        </w:r>
      </w:hyperlink>
      <w:r>
        <w:t xml:space="preserve">.</w:t>
      </w:r>
    </w:p>
    <w:bookmarkEnd w:id="80"/>
    <w:bookmarkStart w:id="82" w:name="ref-Stern.2009"/>
    <w:p>
      <w:pPr>
        <w:pStyle w:val="Bibliography"/>
      </w:pPr>
      <w:r>
        <w:t xml:space="preserve">Stern, Alexandra M., Martin S. Cetron, and Howard Markel. 2009.</w:t>
      </w:r>
      <w:r>
        <w:t xml:space="preserve"> </w:t>
      </w:r>
      <w:r>
        <w:t xml:space="preserve">“</w:t>
      </w:r>
      <w:r>
        <w:t xml:space="preserve">Closing the schools: lessons from the 1918-19 U.S. influenza pandemic</w:t>
      </w:r>
      <w:r>
        <w:t xml:space="preserve">.”</w:t>
      </w:r>
      <w:r>
        <w:t xml:space="preserve"> </w:t>
      </w:r>
      <w:r>
        <w:rPr>
          <w:iCs/>
          <w:i/>
        </w:rPr>
        <w:t xml:space="preserve">Health Affairs (Project Hope)</w:t>
      </w:r>
      <w:r>
        <w:t xml:space="preserve"> </w:t>
      </w:r>
      <w:r>
        <w:t xml:space="preserve">28 (6): w1066–78.</w:t>
      </w:r>
      <w:r>
        <w:t xml:space="preserve"> </w:t>
      </w:r>
      <w:hyperlink r:id="rId81">
        <w:r>
          <w:rPr>
            <w:rStyle w:val="Hyperlink"/>
          </w:rPr>
          <w:t xml:space="preserve">https://doi.org/10.1377/hlthaff.28.6.w1066</w:t>
        </w:r>
      </w:hyperlink>
      <w:r>
        <w:t xml:space="preserve">.</w:t>
      </w:r>
    </w:p>
    <w:bookmarkEnd w:id="82"/>
    <w:bookmarkStart w:id="84" w:name="ref-Taj.2021"/>
    <w:p>
      <w:pPr>
        <w:pStyle w:val="Bibliography"/>
      </w:pPr>
      <w:r>
        <w:t xml:space="preserve">Taj, Mitra, and Daniel Politi. 2021.</w:t>
      </w:r>
      <w:r>
        <w:t xml:space="preserve"> </w:t>
      </w:r>
      <w:r>
        <w:t xml:space="preserve">“</w:t>
      </w:r>
      <w:r>
        <w:t xml:space="preserve">‘V.I.P. Immunization’</w:t>
      </w:r>
      <w:r>
        <w:t xml:space="preserve"> </w:t>
      </w:r>
      <w:r>
        <w:t xml:space="preserve">for the Powerful Rattles South America</w:t>
      </w:r>
      <w:r>
        <w:t xml:space="preserve">.”</w:t>
      </w:r>
      <w:r>
        <w:t xml:space="preserve"> </w:t>
      </w:r>
      <w:hyperlink r:id="rId83">
        <w:r>
          <w:rPr>
            <w:rStyle w:val="Hyperlink"/>
          </w:rPr>
          <w:t xml:space="preserve">https://www.nytimes.com/2021/02/25/world/americas/covid-south-america-vaccine-corruption.html</w:t>
        </w:r>
      </w:hyperlink>
      <w:r>
        <w:t xml:space="preserve">.</w:t>
      </w:r>
    </w:p>
    <w:bookmarkEnd w:id="84"/>
    <w:bookmarkStart w:id="86" w:name="ref-UCD.2022"/>
    <w:p>
      <w:pPr>
        <w:pStyle w:val="Bibliography"/>
      </w:pPr>
      <w:r>
        <w:t xml:space="preserve">UCDavis Health. 2022.</w:t>
      </w:r>
      <w:r>
        <w:t xml:space="preserve"> </w:t>
      </w:r>
      <w:r>
        <w:t xml:space="preserve">“</w:t>
      </w:r>
      <w:r>
        <w:t xml:space="preserve">Delta variant: 8 things you should know about this COVID-19 strain | UC Davis Health</w:t>
      </w:r>
      <w:r>
        <w:t xml:space="preserve">.”</w:t>
      </w:r>
      <w:r>
        <w:t xml:space="preserve"> </w:t>
      </w:r>
      <w:hyperlink r:id="rId85">
        <w:r>
          <w:rPr>
            <w:rStyle w:val="Hyperlink"/>
          </w:rPr>
          <w:t xml:space="preserve">https://health.ucdavis.edu/coronavirus/covid-19-information/delta-variant</w:t>
        </w:r>
      </w:hyperlink>
      <w:r>
        <w:t xml:space="preserve">.</w:t>
      </w:r>
    </w:p>
    <w:bookmarkEnd w:id="86"/>
    <w:bookmarkStart w:id="88" w:name="ref-UNDP.2022"/>
    <w:p>
      <w:pPr>
        <w:pStyle w:val="Bibliography"/>
      </w:pPr>
      <w:r>
        <w:t xml:space="preserve">United Nations Development Programme. 2022.</w:t>
      </w:r>
      <w:r>
        <w:t xml:space="preserve"> </w:t>
      </w:r>
      <w:r>
        <w:t xml:space="preserve">“</w:t>
      </w:r>
      <w:r>
        <w:t xml:space="preserve">Impact of vaccine inequity on economic recovery 2022 - UNDP Data Futures Platform</w:t>
      </w:r>
      <w:r>
        <w:t xml:space="preserve">.”</w:t>
      </w:r>
      <w:r>
        <w:t xml:space="preserve"> </w:t>
      </w:r>
      <w:r>
        <w:t xml:space="preserve">Edited by Data Futures Platform UNDP.</w:t>
      </w:r>
      <w:r>
        <w:t xml:space="preserve"> </w:t>
      </w:r>
      <w:hyperlink r:id="rId87">
        <w:r>
          <w:rPr>
            <w:rStyle w:val="Hyperlink"/>
          </w:rPr>
          <w:t xml:space="preserve">https://data.undp.org/vaccine-equity-archive/impact-of-vaccine-inequity-on-economic-recovery-2022/</w:t>
        </w:r>
      </w:hyperlink>
      <w:r>
        <w:t xml:space="preserve">.</w:t>
      </w:r>
    </w:p>
    <w:bookmarkEnd w:id="88"/>
    <w:bookmarkStart w:id="90" w:name="ref-Vizcaino.2021"/>
    <w:p>
      <w:pPr>
        <w:pStyle w:val="Bibliography"/>
      </w:pPr>
      <w:r>
        <w:t xml:space="preserve">Vizcaino, Maria Elena, and Stephan Kueffner. 2021.</w:t>
      </w:r>
      <w:r>
        <w:t xml:space="preserve"> </w:t>
      </w:r>
      <w:r>
        <w:t xml:space="preserve">“</w:t>
      </w:r>
      <w:r>
        <w:t xml:space="preserve">Ecuador Defaulted Last Year. Now Its Bonds Are World’s Best</w:t>
      </w:r>
      <w:r>
        <w:t xml:space="preserve">.”</w:t>
      </w:r>
      <w:r>
        <w:t xml:space="preserve"> </w:t>
      </w:r>
      <w:hyperlink r:id="rId89">
        <w:r>
          <w:rPr>
            <w:rStyle w:val="Hyperlink"/>
          </w:rPr>
          <w:t xml:space="preserve">https://www.bloomberg.com/news/articles/2021-08-02/ecuador-defaulted-last-year-now-its-bonds-are-the-world-s-best</w:t>
        </w:r>
      </w:hyperlink>
      <w:r>
        <w:t xml:space="preserve">.</w:t>
      </w:r>
    </w:p>
    <w:bookmarkEnd w:id="90"/>
    <w:bookmarkStart w:id="92" w:name="ref-Yap.2021"/>
    <w:p>
      <w:pPr>
        <w:pStyle w:val="Bibliography"/>
      </w:pPr>
      <w:r>
        <w:t xml:space="preserve">Yap, Charles, Abulhassan Ali, Amogh Prabhakar, Akul Prabhakar, Aman Pal, Ying Yi Lim, and Pramath Kakodkar. 2021.</w:t>
      </w:r>
      <w:r>
        <w:t xml:space="preserve"> </w:t>
      </w:r>
      <w:r>
        <w:t xml:space="preserve">“</w:t>
      </w:r>
      <w:r>
        <w:t xml:space="preserve">Comprehensive literature review on COVID-19 vaccines and role of SARS-CoV-2 variants in the pandemic</w:t>
      </w:r>
      <w:r>
        <w:t xml:space="preserve">.”</w:t>
      </w:r>
      <w:r>
        <w:t xml:space="preserve"> </w:t>
      </w:r>
      <w:r>
        <w:rPr>
          <w:iCs/>
          <w:i/>
        </w:rPr>
        <w:t xml:space="preserve">Therapeutic Advances in Vaccines and Immunotherapy</w:t>
      </w:r>
      <w:r>
        <w:t xml:space="preserve"> </w:t>
      </w:r>
      <w:r>
        <w:t xml:space="preserve">9: 25151355211059791.</w:t>
      </w:r>
      <w:r>
        <w:t xml:space="preserve"> </w:t>
      </w:r>
      <w:hyperlink r:id="rId91">
        <w:r>
          <w:rPr>
            <w:rStyle w:val="Hyperlink"/>
          </w:rPr>
          <w:t xml:space="preserve">https://doi.org/10.1177/25151355211059791</w:t>
        </w:r>
      </w:hyperlink>
      <w:r>
        <w:t xml:space="preserve">.</w:t>
      </w:r>
    </w:p>
    <w:bookmarkEnd w:id="92"/>
    <w:bookmarkStart w:id="94" w:name="ref-Zheng.2022"/>
    <w:p>
      <w:pPr>
        <w:pStyle w:val="Bibliography"/>
      </w:pPr>
      <w:r>
        <w:t xml:space="preserve">Zheng, Caifang, Weihao Shao, Xiaorui Chen, Bowen Zhang, Gaili Wang, and Weidong Zhang. 2022.</w:t>
      </w:r>
      <w:r>
        <w:t xml:space="preserve"> </w:t>
      </w:r>
      <w:r>
        <w:t xml:space="preserve">“</w:t>
      </w:r>
      <w:r>
        <w:t xml:space="preserve">Real-world effectiveness of COVID-19 vaccines: a literature review and meta-analysis</w:t>
      </w:r>
      <w:r>
        <w:t xml:space="preserve">.”</w:t>
      </w:r>
      <w:r>
        <w:t xml:space="preserve"> </w:t>
      </w:r>
      <w:r>
        <w:rPr>
          <w:iCs/>
          <w:i/>
        </w:rPr>
        <w:t xml:space="preserve">International Journal of Infectious Diseases : IJID : Official Publication of the International Society for Infectious Diseases</w:t>
      </w:r>
      <w:r>
        <w:t xml:space="preserve"> </w:t>
      </w:r>
      <w:r>
        <w:t xml:space="preserve">114: 252–60.</w:t>
      </w:r>
      <w:r>
        <w:t xml:space="preserve"> </w:t>
      </w:r>
      <w:hyperlink r:id="rId93">
        <w:r>
          <w:rPr>
            <w:rStyle w:val="Hyperlink"/>
          </w:rPr>
          <w:t xml:space="preserve">https://doi.org/10.1016/j.ijid.2021.11.009</w:t>
        </w:r>
      </w:hyperlink>
      <w:r>
        <w:t xml:space="preserve">.</w:t>
      </w:r>
    </w:p>
    <w:bookmarkEnd w:id="94"/>
    <w:bookmarkStart w:id="96" w:name="ref-Zibell.2020"/>
    <w:p>
      <w:pPr>
        <w:pStyle w:val="Bibliography"/>
      </w:pPr>
      <w:r>
        <w:t xml:space="preserve">Zibell, Matías. 2020.</w:t>
      </w:r>
      <w:r>
        <w:t xml:space="preserve"> </w:t>
      </w:r>
      <w:r>
        <w:t xml:space="preserve">“</w:t>
      </w:r>
      <w:r>
        <w:t xml:space="preserve">Coronavirus en Ecuador: el drama de Guayaquil, que tiene m</w:t>
      </w:r>
      <w:r>
        <w:t xml:space="preserve">á</w:t>
      </w:r>
      <w:r>
        <w:t xml:space="preserve">s muertos por covid-19 que pa</w:t>
      </w:r>
      <w:r>
        <w:t xml:space="preserve">í</w:t>
      </w:r>
      <w:r>
        <w:t xml:space="preserve">ses enteros y lucha a contrarreloj para darles un entierro digno</w:t>
      </w:r>
      <w:r>
        <w:t xml:space="preserve">.”</w:t>
      </w:r>
      <w:r>
        <w:t xml:space="preserve"> </w:t>
      </w:r>
      <w:hyperlink r:id="rId95">
        <w:r>
          <w:rPr>
            <w:rStyle w:val="Hyperlink"/>
          </w:rPr>
          <w:t xml:space="preserve">https://www.bbc.com/mundo/noticias-america-latina-52116100</w:t>
        </w:r>
      </w:hyperlink>
      <w:r>
        <w:t xml:space="preserve">.</w:t>
      </w:r>
    </w:p>
    <w:bookmarkEnd w:id="96"/>
    <w:bookmarkEnd w:id="97"/>
    <w:bookmarkEnd w:id="98"/>
    <w:sectPr w:rsidR="000035D6" w:rsidSect="00D0743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5CCD0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5C2005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042882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BA2100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51474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1149FB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41060BE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8A0FC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43036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478813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4AF4FC8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70534293" w:numId="1">
    <w:abstractNumId w:val="10"/>
  </w:num>
  <w:num w16cid:durableId="499271770" w:numId="2">
    <w:abstractNumId w:val="9"/>
  </w:num>
  <w:num w16cid:durableId="992416583" w:numId="3">
    <w:abstractNumId w:val="7"/>
  </w:num>
  <w:num w16cid:durableId="81533582" w:numId="4">
    <w:abstractNumId w:val="6"/>
  </w:num>
  <w:num w16cid:durableId="1461075741" w:numId="5">
    <w:abstractNumId w:val="5"/>
  </w:num>
  <w:num w16cid:durableId="727652139" w:numId="6">
    <w:abstractNumId w:val="4"/>
  </w:num>
  <w:num w16cid:durableId="256449962" w:numId="7">
    <w:abstractNumId w:val="8"/>
  </w:num>
  <w:num w16cid:durableId="1873035131" w:numId="8">
    <w:abstractNumId w:val="3"/>
  </w:num>
  <w:num w16cid:durableId="192815758" w:numId="9">
    <w:abstractNumId w:val="2"/>
  </w:num>
  <w:num w16cid:durableId="92825503" w:numId="10">
    <w:abstractNumId w:val="1"/>
  </w:num>
  <w:num w16cid:durableId="1483157218"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4551B3"/>
    <w:pPr>
      <w:keepNext/>
      <w:keepLines/>
      <w:spacing w:after="0" w:before="480"/>
      <w:outlineLvl w:val="0"/>
    </w:pPr>
    <w:rPr>
      <w:rFonts w:ascii="Perpetua" w:cstheme="majorBidi" w:eastAsiaTheme="majorEastAsia" w:hAnsi="Perpetua"/>
      <w:b/>
      <w:bCs/>
      <w:color w:themeColor="text1" w:val="000000"/>
      <w:szCs w:val="32"/>
    </w:rPr>
  </w:style>
  <w:style w:styleId="Heading2" w:type="paragraph">
    <w:name w:val="heading 2"/>
    <w:basedOn w:val="Normal"/>
    <w:next w:val="BodyText"/>
    <w:uiPriority w:val="9"/>
    <w:unhideWhenUsed/>
    <w:qFormat/>
    <w:rsid w:val="004551B3"/>
    <w:pPr>
      <w:keepNext/>
      <w:keepLines/>
      <w:spacing w:after="0" w:before="200"/>
      <w:outlineLvl w:val="1"/>
    </w:pPr>
    <w:rPr>
      <w:rFonts w:ascii="Perpetua" w:cstheme="majorBidi" w:eastAsiaTheme="majorEastAsia" w:hAnsi="Perpetua"/>
      <w:bCs/>
      <w:color w:themeColor="text1" w:val="000000"/>
      <w:szCs w:val="28"/>
    </w:rPr>
  </w:style>
  <w:style w:styleId="Heading3" w:type="paragraph">
    <w:name w:val="heading 3"/>
    <w:basedOn w:val="Normal"/>
    <w:next w:val="BodyText"/>
    <w:uiPriority w:val="9"/>
    <w:unhideWhenUsed/>
    <w:qFormat/>
    <w:rsid w:val="004551B3"/>
    <w:pPr>
      <w:keepNext/>
      <w:keepLines/>
      <w:spacing w:after="0" w:before="200"/>
      <w:outlineLvl w:val="2"/>
    </w:pPr>
    <w:rPr>
      <w:rFonts w:ascii="Perpetua" w:cstheme="majorBidi" w:eastAsiaTheme="majorEastAsia" w:hAnsi="Perpetua"/>
      <w:bCs/>
      <w:color w:themeColor="text1" w:val="000000"/>
    </w:rPr>
  </w:style>
  <w:style w:styleId="Heading4" w:type="paragraph">
    <w:name w:val="heading 4"/>
    <w:basedOn w:val="Normal"/>
    <w:next w:val="BodyText"/>
    <w:uiPriority w:val="9"/>
    <w:unhideWhenUsed/>
    <w:qFormat/>
    <w:rsid w:val="0039762E"/>
    <w:pPr>
      <w:keepNext/>
      <w:keepLines/>
      <w:spacing w:after="0" w:before="200"/>
      <w:outlineLvl w:val="3"/>
    </w:pPr>
    <w:rPr>
      <w:rFonts w:asciiTheme="majorHAnsi" w:cstheme="majorBidi" w:eastAsiaTheme="majorEastAsia" w:hAnsiTheme="majorHAnsi"/>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9326A"/>
    <w:pPr>
      <w:spacing w:after="180" w:before="180"/>
      <w:jc w:val="both"/>
    </w:pPr>
    <w:rPr>
      <w:rFonts w:ascii="Perpetua" w:hAnsi="Perpetua"/>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9326A"/>
    <w:pPr>
      <w:keepNext/>
      <w:keepLines/>
      <w:spacing w:after="240" w:before="480"/>
      <w:jc w:val="center"/>
    </w:pPr>
    <w:rPr>
      <w:rFonts w:ascii="Perpetua" w:cstheme="majorBidi" w:eastAsiaTheme="majorEastAsia" w:hAnsi="Perpetua"/>
      <w:b/>
      <w:bCs/>
      <w:color w:themeColor="text1" w:val="000000"/>
      <w:sz w:val="32"/>
      <w:szCs w:val="36"/>
    </w:rPr>
  </w:style>
  <w:style w:styleId="Subtitle" w:type="paragraph">
    <w:name w:val="Subtitle"/>
    <w:basedOn w:val="Title"/>
    <w:next w:val="BodyText"/>
    <w:qFormat/>
    <w:rsid w:val="00B57A63"/>
    <w:pPr>
      <w:spacing w:before="240"/>
    </w:pPr>
    <w:rPr>
      <w:sz w:val="24"/>
      <w:szCs w:val="30"/>
    </w:rPr>
  </w:style>
  <w:style w:customStyle="1" w:styleId="Author" w:type="paragraph">
    <w:name w:val="Author"/>
    <w:next w:val="BodyText"/>
    <w:qFormat/>
    <w:rsid w:val="0049326A"/>
    <w:pPr>
      <w:keepNext/>
      <w:keepLines/>
      <w:jc w:val="center"/>
    </w:pPr>
    <w:rPr>
      <w:rFonts w:ascii="Perpetua" w:hAnsi="Perpetua"/>
    </w:rPr>
  </w:style>
  <w:style w:styleId="Date" w:type="paragraph">
    <w:name w:val="Date"/>
    <w:next w:val="BodyText"/>
    <w:qFormat/>
    <w:rsid w:val="0049326A"/>
    <w:pPr>
      <w:keepNext/>
      <w:keepLines/>
      <w:jc w:val="center"/>
    </w:pPr>
    <w:rPr>
      <w:rFonts w:ascii="Perpetua" w:hAnsi="Perpetua"/>
    </w:rPr>
  </w:style>
  <w:style w:customStyle="1" w:styleId="Abstract" w:type="paragraph">
    <w:name w:val="Abstract"/>
    <w:basedOn w:val="Normal"/>
    <w:next w:val="BodyText"/>
    <w:qFormat/>
    <w:rsid w:val="0049326A"/>
    <w:pPr>
      <w:keepNext/>
      <w:keepLines/>
      <w:spacing w:after="300" w:before="300"/>
      <w:jc w:val="both"/>
    </w:pPr>
    <w:rPr>
      <w:rFonts w:ascii="Perpetua" w:hAnsi="Perpetua"/>
      <w:szCs w:val="20"/>
    </w:rPr>
  </w:style>
  <w:style w:styleId="Bibliography" w:type="paragraph">
    <w:name w:val="Bibliography"/>
    <w:basedOn w:val="Normal"/>
    <w:qFormat/>
    <w:rsid w:val="0049326A"/>
    <w:pPr>
      <w:ind w:hanging="720" w:left="720"/>
    </w:pPr>
    <w:rPr>
      <w:rFonts w:ascii="Perpetua" w:hAnsi="Perpetua"/>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4551B3"/>
    <w:rPr>
      <w:rFonts w:ascii="Perpetua" w:hAnsi="Perpetua"/>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F03FFF"/>
    <w:pPr>
      <w:spacing w:after="120"/>
    </w:pPr>
    <w:rPr>
      <w:rFonts w:ascii="Perpetua" w:hAnsi="Perpetua"/>
      <w:b/>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9C09E7"/>
    <w:rPr>
      <w:rFonts w:ascii="Perpetua" w:hAnsi="Perpetua"/>
      <w:b/>
    </w:r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F03FFF"/>
    <w:rPr>
      <w:rFonts w:ascii="Perpetua" w:hAnsi="Perpetua"/>
      <w:b/>
      <w:i/>
    </w:rPr>
  </w:style>
  <w:style w:customStyle="1" w:styleId="VerbatimChar" w:type="character">
    <w:name w:val="Verbatim Char"/>
    <w:basedOn w:val="CaptionChar"/>
    <w:link w:val="SourceCode"/>
    <w:rPr>
      <w:rFonts w:ascii="Consolas" w:hAnsi="Consolas"/>
      <w:b/>
      <w:i/>
      <w:sz w:val="22"/>
    </w:rPr>
  </w:style>
  <w:style w:customStyle="1" w:styleId="SectionNumber" w:type="character">
    <w:name w:val="Section Number"/>
    <w:basedOn w:val="CaptionChar"/>
    <w:rPr>
      <w:rFonts w:ascii="Perpetua" w:hAnsi="Perpetua"/>
      <w:b/>
      <w:i/>
    </w:rPr>
  </w:style>
  <w:style w:styleId="FootnoteReference" w:type="character">
    <w:name w:val="footnote reference"/>
    <w:basedOn w:val="CaptionChar"/>
    <w:rPr>
      <w:rFonts w:ascii="Perpetua" w:hAnsi="Perpetua"/>
      <w:b/>
      <w:i/>
      <w:vertAlign w:val="superscript"/>
    </w:rPr>
  </w:style>
  <w:style w:styleId="Hyperlink" w:type="character">
    <w:name w:val="Hyperlink"/>
    <w:basedOn w:val="CaptionChar"/>
    <w:rsid w:val="006800C0"/>
    <w:rPr>
      <w:rFonts w:ascii="Perpetua" w:hAnsi="Perpetua"/>
      <w:b w:val="0"/>
      <w:i w:val="0"/>
      <w:color w:themeColor="accent1" w:val="4F81BD"/>
      <w:u w:val="single"/>
    </w:rPr>
  </w:style>
  <w:style w:styleId="TOCHeading" w:type="paragraph">
    <w:name w:val="TOC Heading"/>
    <w:basedOn w:val="Heading1"/>
    <w:next w:val="BodyText"/>
    <w:uiPriority w:val="39"/>
    <w:unhideWhenUsed/>
    <w:qFormat/>
    <w:rsid w:val="00F03FFF"/>
    <w:pPr>
      <w:spacing w:before="240" w:line="259" w:lineRule="auto"/>
      <w:outlineLvl w:val="9"/>
    </w:pPr>
    <w:rPr>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i/>
      <w:color w:val="204A87"/>
      <w:sz w:val="22"/>
      <w:shd w:color="auto" w:fill="F8F8F8" w:val="clear"/>
    </w:rPr>
  </w:style>
  <w:style w:customStyle="1" w:styleId="DataTypeTok" w:type="character">
    <w:name w:val="DataTypeTok"/>
    <w:basedOn w:val="VerbatimChar"/>
    <w:rPr>
      <w:rFonts w:ascii="Consolas" w:hAnsi="Consolas"/>
      <w:b/>
      <w:i/>
      <w:color w:val="204A87"/>
      <w:sz w:val="22"/>
      <w:shd w:color="auto" w:fill="F8F8F8" w:val="clear"/>
    </w:rPr>
  </w:style>
  <w:style w:customStyle="1" w:styleId="DecValTok" w:type="character">
    <w:name w:val="DecValTok"/>
    <w:basedOn w:val="VerbatimChar"/>
    <w:rPr>
      <w:rFonts w:ascii="Consolas" w:hAnsi="Consolas"/>
      <w:b/>
      <w:i/>
      <w:color w:val="0000CF"/>
      <w:sz w:val="22"/>
      <w:shd w:color="auto" w:fill="F8F8F8" w:val="clear"/>
    </w:rPr>
  </w:style>
  <w:style w:customStyle="1" w:styleId="BaseNTok" w:type="character">
    <w:name w:val="BaseNTok"/>
    <w:basedOn w:val="VerbatimChar"/>
    <w:rPr>
      <w:rFonts w:ascii="Consolas" w:hAnsi="Consolas"/>
      <w:b/>
      <w:i/>
      <w:color w:val="0000CF"/>
      <w:sz w:val="22"/>
      <w:shd w:color="auto" w:fill="F8F8F8" w:val="clear"/>
    </w:rPr>
  </w:style>
  <w:style w:customStyle="1" w:styleId="FloatTok" w:type="character">
    <w:name w:val="FloatTok"/>
    <w:basedOn w:val="VerbatimChar"/>
    <w:rPr>
      <w:rFonts w:ascii="Consolas" w:hAnsi="Consolas"/>
      <w:b/>
      <w:i/>
      <w:color w:val="0000CF"/>
      <w:sz w:val="22"/>
      <w:shd w:color="auto" w:fill="F8F8F8" w:val="clear"/>
    </w:rPr>
  </w:style>
  <w:style w:customStyle="1" w:styleId="ConstantTok" w:type="character">
    <w:name w:val="ConstantTok"/>
    <w:basedOn w:val="VerbatimChar"/>
    <w:rPr>
      <w:rFonts w:ascii="Consolas" w:hAnsi="Consolas"/>
      <w:b/>
      <w:i/>
      <w:color w:val="000000"/>
      <w:sz w:val="22"/>
      <w:shd w:color="auto" w:fill="F8F8F8" w:val="clear"/>
    </w:rPr>
  </w:style>
  <w:style w:customStyle="1" w:styleId="CharTok" w:type="character">
    <w:name w:val="CharTok"/>
    <w:basedOn w:val="VerbatimChar"/>
    <w:rPr>
      <w:rFonts w:ascii="Consolas" w:hAnsi="Consolas"/>
      <w:b/>
      <w:i/>
      <w:color w:val="4E9A06"/>
      <w:sz w:val="22"/>
      <w:shd w:color="auto" w:fill="F8F8F8" w:val="clear"/>
    </w:rPr>
  </w:style>
  <w:style w:customStyle="1" w:styleId="SpecialCharTok" w:type="character">
    <w:name w:val="SpecialCharTok"/>
    <w:basedOn w:val="VerbatimChar"/>
    <w:rPr>
      <w:rFonts w:ascii="Consolas" w:hAnsi="Consolas"/>
      <w:b/>
      <w:i/>
      <w:color w:val="000000"/>
      <w:sz w:val="22"/>
      <w:shd w:color="auto" w:fill="F8F8F8" w:val="clear"/>
    </w:rPr>
  </w:style>
  <w:style w:customStyle="1" w:styleId="StringTok" w:type="character">
    <w:name w:val="StringTok"/>
    <w:basedOn w:val="VerbatimChar"/>
    <w:rPr>
      <w:rFonts w:ascii="Consolas" w:hAnsi="Consolas"/>
      <w:b/>
      <w:i/>
      <w:color w:val="4E9A06"/>
      <w:sz w:val="22"/>
      <w:shd w:color="auto" w:fill="F8F8F8" w:val="clear"/>
    </w:rPr>
  </w:style>
  <w:style w:customStyle="1" w:styleId="VerbatimStringTok" w:type="character">
    <w:name w:val="VerbatimStringTok"/>
    <w:basedOn w:val="VerbatimChar"/>
    <w:rPr>
      <w:rFonts w:ascii="Consolas" w:hAnsi="Consolas"/>
      <w:b/>
      <w:i/>
      <w:color w:val="4E9A06"/>
      <w:sz w:val="22"/>
      <w:shd w:color="auto" w:fill="F8F8F8" w:val="clear"/>
    </w:rPr>
  </w:style>
  <w:style w:customStyle="1" w:styleId="SpecialStringTok" w:type="character">
    <w:name w:val="SpecialStringTok"/>
    <w:basedOn w:val="VerbatimChar"/>
    <w:rPr>
      <w:rFonts w:ascii="Consolas" w:hAnsi="Consolas"/>
      <w:b/>
      <w:i/>
      <w:color w:val="4E9A06"/>
      <w:sz w:val="22"/>
      <w:shd w:color="auto" w:fill="F8F8F8" w:val="clear"/>
    </w:rPr>
  </w:style>
  <w:style w:customStyle="1" w:styleId="ImportTok" w:type="character">
    <w:name w:val="ImportTok"/>
    <w:basedOn w:val="VerbatimChar"/>
    <w:rPr>
      <w:rFonts w:ascii="Consolas" w:hAnsi="Consolas"/>
      <w:b/>
      <w:i/>
      <w:sz w:val="22"/>
      <w:shd w:color="auto" w:fill="F8F8F8" w:val="clear"/>
    </w:rPr>
  </w:style>
  <w:style w:customStyle="1" w:styleId="CommentTok" w:type="character">
    <w:name w:val="CommentTok"/>
    <w:basedOn w:val="VerbatimChar"/>
    <w:rPr>
      <w:rFonts w:ascii="Consolas" w:hAnsi="Consolas"/>
      <w:b/>
      <w:i w:val="0"/>
      <w:color w:val="8F5902"/>
      <w:sz w:val="22"/>
      <w:shd w:color="auto" w:fill="F8F8F8" w:val="clear"/>
    </w:rPr>
  </w:style>
  <w:style w:customStyle="1" w:styleId="DocumentationTok" w:type="character">
    <w:name w:val="DocumentationTok"/>
    <w:basedOn w:val="VerbatimChar"/>
    <w:rPr>
      <w:rFonts w:ascii="Consolas" w:hAnsi="Consolas"/>
      <w:b w:val="0"/>
      <w:i w:val="0"/>
      <w:color w:val="8F5902"/>
      <w:sz w:val="22"/>
      <w:shd w:color="auto" w:fill="F8F8F8" w:val="clear"/>
    </w:rPr>
  </w:style>
  <w:style w:customStyle="1" w:styleId="AnnotationTok" w:type="character">
    <w:name w:val="AnnotationTok"/>
    <w:basedOn w:val="VerbatimChar"/>
    <w:rPr>
      <w:rFonts w:ascii="Consolas" w:hAnsi="Consolas"/>
      <w:b w:val="0"/>
      <w:i w:val="0"/>
      <w:color w:val="8F5902"/>
      <w:sz w:val="22"/>
      <w:shd w:color="auto" w:fill="F8F8F8" w:val="clear"/>
    </w:rPr>
  </w:style>
  <w:style w:customStyle="1" w:styleId="CommentVarTok" w:type="character">
    <w:name w:val="CommentVarTok"/>
    <w:basedOn w:val="VerbatimChar"/>
    <w:rPr>
      <w:rFonts w:ascii="Consolas" w:hAnsi="Consolas"/>
      <w:b w:val="0"/>
      <w:i w:val="0"/>
      <w:color w:val="8F5902"/>
      <w:sz w:val="22"/>
      <w:shd w:color="auto" w:fill="F8F8F8" w:val="clear"/>
    </w:rPr>
  </w:style>
  <w:style w:customStyle="1" w:styleId="OtherTok" w:type="character">
    <w:name w:val="OtherTok"/>
    <w:basedOn w:val="VerbatimChar"/>
    <w:rPr>
      <w:rFonts w:ascii="Consolas" w:hAnsi="Consolas"/>
      <w:b/>
      <w:i/>
      <w:color w:val="8F5902"/>
      <w:sz w:val="22"/>
      <w:shd w:color="auto" w:fill="F8F8F8" w:val="clear"/>
    </w:rPr>
  </w:style>
  <w:style w:customStyle="1" w:styleId="FunctionTok" w:type="character">
    <w:name w:val="FunctionTok"/>
    <w:basedOn w:val="VerbatimChar"/>
    <w:rPr>
      <w:rFonts w:ascii="Consolas" w:hAnsi="Consolas"/>
      <w:b/>
      <w:i/>
      <w:color w:val="000000"/>
      <w:sz w:val="22"/>
      <w:shd w:color="auto" w:fill="F8F8F8" w:val="clear"/>
    </w:rPr>
  </w:style>
  <w:style w:customStyle="1" w:styleId="VariableTok" w:type="character">
    <w:name w:val="VariableTok"/>
    <w:basedOn w:val="VerbatimChar"/>
    <w:rPr>
      <w:rFonts w:ascii="Consolas" w:hAnsi="Consolas"/>
      <w:b/>
      <w:i/>
      <w:color w:val="000000"/>
      <w:sz w:val="22"/>
      <w:shd w:color="auto" w:fill="F8F8F8" w:val="clear"/>
    </w:rPr>
  </w:style>
  <w:style w:customStyle="1" w:styleId="ControlFlowTok" w:type="character">
    <w:name w:val="ControlFlowTok"/>
    <w:basedOn w:val="VerbatimChar"/>
    <w:rPr>
      <w:rFonts w:ascii="Consolas" w:hAnsi="Consolas"/>
      <w:b w:val="0"/>
      <w:i/>
      <w:color w:val="204A87"/>
      <w:sz w:val="22"/>
      <w:shd w:color="auto" w:fill="F8F8F8" w:val="clear"/>
    </w:rPr>
  </w:style>
  <w:style w:customStyle="1" w:styleId="OperatorTok" w:type="character">
    <w:name w:val="OperatorTok"/>
    <w:basedOn w:val="VerbatimChar"/>
    <w:rPr>
      <w:rFonts w:ascii="Consolas" w:hAnsi="Consolas"/>
      <w:b w:val="0"/>
      <w:i/>
      <w:color w:val="CE5C00"/>
      <w:sz w:val="22"/>
      <w:shd w:color="auto" w:fill="F8F8F8" w:val="clear"/>
    </w:rPr>
  </w:style>
  <w:style w:customStyle="1" w:styleId="BuiltInTok" w:type="character">
    <w:name w:val="BuiltInTok"/>
    <w:basedOn w:val="VerbatimChar"/>
    <w:rPr>
      <w:rFonts w:ascii="Consolas" w:hAnsi="Consolas"/>
      <w:b/>
      <w:i/>
      <w:sz w:val="22"/>
      <w:shd w:color="auto" w:fill="F8F8F8" w:val="clear"/>
    </w:rPr>
  </w:style>
  <w:style w:customStyle="1" w:styleId="ExtensionTok" w:type="character">
    <w:name w:val="ExtensionTok"/>
    <w:basedOn w:val="VerbatimChar"/>
    <w:rPr>
      <w:rFonts w:ascii="Consolas" w:hAnsi="Consolas"/>
      <w:b/>
      <w:i/>
      <w:sz w:val="22"/>
      <w:shd w:color="auto" w:fill="F8F8F8" w:val="clear"/>
    </w:rPr>
  </w:style>
  <w:style w:customStyle="1" w:styleId="PreprocessorTok" w:type="character">
    <w:name w:val="PreprocessorTok"/>
    <w:basedOn w:val="VerbatimChar"/>
    <w:rPr>
      <w:rFonts w:ascii="Consolas" w:hAnsi="Consolas"/>
      <w:b/>
      <w:i w:val="0"/>
      <w:color w:val="8F5902"/>
      <w:sz w:val="22"/>
      <w:shd w:color="auto" w:fill="F8F8F8" w:val="clear"/>
    </w:rPr>
  </w:style>
  <w:style w:customStyle="1" w:styleId="AttributeTok" w:type="character">
    <w:name w:val="AttributeTok"/>
    <w:basedOn w:val="VerbatimChar"/>
    <w:rPr>
      <w:rFonts w:ascii="Consolas" w:hAnsi="Consolas"/>
      <w:b/>
      <w:i/>
      <w:color w:val="C4A000"/>
      <w:sz w:val="22"/>
      <w:shd w:color="auto" w:fill="F8F8F8" w:val="clear"/>
    </w:rPr>
  </w:style>
  <w:style w:customStyle="1" w:styleId="RegionMarkerTok" w:type="character">
    <w:name w:val="RegionMarkerTok"/>
    <w:basedOn w:val="VerbatimChar"/>
    <w:rPr>
      <w:rFonts w:ascii="Consolas" w:hAnsi="Consolas"/>
      <w:b/>
      <w:i/>
      <w:sz w:val="22"/>
      <w:shd w:color="auto" w:fill="F8F8F8" w:val="clear"/>
    </w:rPr>
  </w:style>
  <w:style w:customStyle="1" w:styleId="InformationTok" w:type="character">
    <w:name w:val="InformationTok"/>
    <w:basedOn w:val="VerbatimChar"/>
    <w:rPr>
      <w:rFonts w:ascii="Consolas" w:hAnsi="Consolas"/>
      <w:b w:val="0"/>
      <w:i w:val="0"/>
      <w:color w:val="8F5902"/>
      <w:sz w:val="22"/>
      <w:shd w:color="auto" w:fill="F8F8F8" w:val="clear"/>
    </w:rPr>
  </w:style>
  <w:style w:customStyle="1" w:styleId="WarningTok" w:type="character">
    <w:name w:val="WarningTok"/>
    <w:basedOn w:val="VerbatimChar"/>
    <w:rPr>
      <w:rFonts w:ascii="Consolas" w:hAnsi="Consolas"/>
      <w:b w:val="0"/>
      <w:i w:val="0"/>
      <w:color w:val="8F5902"/>
      <w:sz w:val="22"/>
      <w:shd w:color="auto" w:fill="F8F8F8" w:val="clear"/>
    </w:rPr>
  </w:style>
  <w:style w:customStyle="1" w:styleId="AlertTok" w:type="character">
    <w:name w:val="AlertTok"/>
    <w:basedOn w:val="VerbatimChar"/>
    <w:rPr>
      <w:rFonts w:ascii="Consolas" w:hAnsi="Consolas"/>
      <w:b/>
      <w:i/>
      <w:color w:val="EF2929"/>
      <w:sz w:val="22"/>
      <w:shd w:color="auto" w:fill="F8F8F8" w:val="clear"/>
    </w:rPr>
  </w:style>
  <w:style w:customStyle="1" w:styleId="ErrorTok" w:type="character">
    <w:name w:val="ErrorTok"/>
    <w:basedOn w:val="VerbatimChar"/>
    <w:rPr>
      <w:rFonts w:ascii="Consolas" w:hAnsi="Consolas"/>
      <w:b w:val="0"/>
      <w:i/>
      <w:color w:val="A40000"/>
      <w:sz w:val="22"/>
      <w:shd w:color="auto" w:fill="F8F8F8" w:val="clear"/>
    </w:rPr>
  </w:style>
  <w:style w:customStyle="1" w:styleId="NormalTok" w:type="character">
    <w:name w:val="NormalTok"/>
    <w:basedOn w:val="VerbatimChar"/>
    <w:rPr>
      <w:rFonts w:ascii="Consolas" w:hAnsi="Consolas"/>
      <w:b/>
      <w:i/>
      <w:sz w:val="22"/>
      <w:shd w:color="auto" w:fill="F8F8F8" w:val="clear"/>
    </w:rPr>
  </w:style>
  <w:style w:customStyle="1" w:styleId="BodyTextChar" w:type="character">
    <w:name w:val="Body Text Char"/>
    <w:basedOn w:val="DefaultParagraphFont"/>
    <w:link w:val="BodyText"/>
    <w:rsid w:val="0049326A"/>
    <w:rPr>
      <w:rFonts w:ascii="Perpetua" w:hAnsi="Perpetua"/>
    </w:rPr>
  </w:style>
  <w:style w:styleId="Footer" w:type="paragraph">
    <w:name w:val="footer"/>
    <w:basedOn w:val="Normal"/>
    <w:link w:val="FooterChar"/>
    <w:semiHidden/>
    <w:unhideWhenUsed/>
    <w:rsid w:val="009C09E7"/>
    <w:pPr>
      <w:tabs>
        <w:tab w:pos="4252" w:val="center"/>
        <w:tab w:pos="8504" w:val="right"/>
      </w:tabs>
      <w:spacing w:after="0"/>
      <w:jc w:val="both"/>
    </w:pPr>
    <w:rPr>
      <w:rFonts w:ascii="Perpetua" w:hAnsi="Perpetua"/>
      <w:sz w:val="20"/>
    </w:rPr>
  </w:style>
  <w:style w:customStyle="1" w:styleId="FooterChar" w:type="character">
    <w:name w:val="Footer Char"/>
    <w:basedOn w:val="DefaultParagraphFont"/>
    <w:link w:val="Footer"/>
    <w:semiHidden/>
    <w:rsid w:val="009C09E7"/>
    <w:rPr>
      <w:rFonts w:ascii="Perpetua" w:hAnsi="Perpetu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americasquarterly.org/article/the-ups-and-downs-of-guillermo-lasso/" TargetMode="External" /><Relationship Type="http://schemas.openxmlformats.org/officeDocument/2006/relationships/hyperlink" Id="rId69" Target="https://blogs.worldbank.org/developmenttalk/how-did-covid-19-pandemic-influence-pace-new-business-formation" TargetMode="External" /><Relationship Type="http://schemas.openxmlformats.org/officeDocument/2006/relationships/hyperlink" Id="rId87" Target="https://data.undp.org/vaccine-equity-archive/impact-of-vaccine-inequity-on-economic-recovery-2022/" TargetMode="External" /><Relationship Type="http://schemas.openxmlformats.org/officeDocument/2006/relationships/hyperlink" Id="rId40" Target="https://doi.org/10.1007/s11079-021-09638-2" TargetMode="External" /><Relationship Type="http://schemas.openxmlformats.org/officeDocument/2006/relationships/hyperlink" Id="rId93" Target="https://doi.org/10.1016/j.ijid.2021.11.009" TargetMode="External" /><Relationship Type="http://schemas.openxmlformats.org/officeDocument/2006/relationships/hyperlink" Id="rId71" Target="https://doi.org/10.1017/bca.2021.5" TargetMode="External" /><Relationship Type="http://schemas.openxmlformats.org/officeDocument/2006/relationships/hyperlink" Id="rId75" Target="https://doi.org/10.1056/NEJMoa2034577" TargetMode="External" /><Relationship Type="http://schemas.openxmlformats.org/officeDocument/2006/relationships/hyperlink" Id="rId35" Target="https://doi.org/10.1111/joes.12423" TargetMode="External" /><Relationship Type="http://schemas.openxmlformats.org/officeDocument/2006/relationships/hyperlink" Id="rId91" Target="https://doi.org/10.1177/25151355211059791" TargetMode="External" /><Relationship Type="http://schemas.openxmlformats.org/officeDocument/2006/relationships/hyperlink" Id="rId37" Target="https://doi.org/10.1186/s40249-021-00878-5" TargetMode="External" /><Relationship Type="http://schemas.openxmlformats.org/officeDocument/2006/relationships/hyperlink" Id="rId81" Target="https://doi.org/10.1377/hlthaff.28.6.w1066" TargetMode="External" /><Relationship Type="http://schemas.openxmlformats.org/officeDocument/2006/relationships/hyperlink" Id="rId31" Target="https://doi.org/10.26633/RPSP.2020.90" TargetMode="External" /><Relationship Type="http://schemas.openxmlformats.org/officeDocument/2006/relationships/hyperlink" Id="rId44" Target="https://doi.org/10.5089/9781589063761.001" TargetMode="External" /><Relationship Type="http://schemas.openxmlformats.org/officeDocument/2006/relationships/hyperlink" Id="rId85" Target="https://health.ucdavis.edu/coronavirus/covid-19-information/delta-variant"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79" Target="https://osf.io/preprints/socarxiv/hzj7a/" TargetMode="External" /><Relationship Type="http://schemas.openxmlformats.org/officeDocument/2006/relationships/hyperlink" Id="rId67" Target="https://www.aa.com.tr/es/mundo/ecuador-ha-detectado-85-casos-de-la-variante-delta-en-su-pa%C3%ADs/2316134" TargetMode="External" /><Relationship Type="http://schemas.openxmlformats.org/officeDocument/2006/relationships/hyperlink" Id="rId95" Target="https://www.bbc.com/mundo/noticias-america-latina-52116100" TargetMode="External" /><Relationship Type="http://schemas.openxmlformats.org/officeDocument/2006/relationships/hyperlink" Id="rId29" Target="https://www.bce.fin.ec/index.php/boletines-de-prensa-archivo/item/1482-la-economia-ecuatoriana-crecio-4-2-en-2021-superando-las-previsiones-de-crecimiento-mas-recientes" TargetMode="External" /><Relationship Type="http://schemas.openxmlformats.org/officeDocument/2006/relationships/hyperlink" Id="rId89" Target="https://www.bloomberg.com/news/articles/2021-08-02/ecuador-defaulted-last-year-now-its-bonds-are-the-world-s-best" TargetMode="External" /><Relationship Type="http://schemas.openxmlformats.org/officeDocument/2006/relationships/hyperlink" Id="rId63" Target="https://www.elcomercio.com/actualidad/politica/presidente-lasso-exposicion-foro-davos-plan-reactivacion-economica-ecuador.html" TargetMode="External" /><Relationship Type="http://schemas.openxmlformats.org/officeDocument/2006/relationships/hyperlink" Id="rId46" Target="https://www.elcomercio.com/tendencias/sociedad/delta-variantes-ecuador-coronavirus-pandemia.html" TargetMode="External" /><Relationship Type="http://schemas.openxmlformats.org/officeDocument/2006/relationships/hyperlink" Id="rId77" Target="https://www.elcomercio.com/tendencias/sociedad/salud-investigacion-tiktokers-vacunados-covid19.html" TargetMode="External" /><Relationship Type="http://schemas.openxmlformats.org/officeDocument/2006/relationships/hyperlink" Id="rId54" Target="https://www.imf.org/-/media/Files/Publications/WEO/2020/April/English/text.ashx" TargetMode="External" /><Relationship Type="http://schemas.openxmlformats.org/officeDocument/2006/relationships/hyperlink" Id="rId52" Target="https://www.imf.org/-/media/Files/Publications/WEO/2020/October/English/text.ashx" TargetMode="External" /><Relationship Type="http://schemas.openxmlformats.org/officeDocument/2006/relationships/hyperlink" Id="rId56" Target="https://www.imf.org/-/media/Files/Publications/WEO/2021/April/English/text.ashx" TargetMode="External" /><Relationship Type="http://schemas.openxmlformats.org/officeDocument/2006/relationships/hyperlink" Id="rId42" Target="https://www.imf.org/-/media/Files/Publications/WP/2021/English/wpiea2021247-print-pdf.ashx" TargetMode="External" /><Relationship Type="http://schemas.openxmlformats.org/officeDocument/2006/relationships/hyperlink" Id="rId50" Target="https://www.imf.org/es/News/Articles/2020/10/05/na100520-helping-ecuador-confront-the-pandemic" TargetMode="External" /><Relationship Type="http://schemas.openxmlformats.org/officeDocument/2006/relationships/hyperlink" Id="rId65" Target="https://www.nytimes.com/2020/03/16/smarter-living/coronavirus-social-distancing.html" TargetMode="External" /><Relationship Type="http://schemas.openxmlformats.org/officeDocument/2006/relationships/hyperlink" Id="rId83" Target="https://www.nytimes.com/2021/02/25/world/americas/covid-south-america-vaccine-corruption.html" TargetMode="External" /><Relationship Type="http://schemas.openxmlformats.org/officeDocument/2006/relationships/hyperlink" Id="rId61" Target="https://www.primicias.ec/noticias/sociedad/polemica-lista-vacunados-covid-ecuador/" TargetMode="External" /><Relationship Type="http://schemas.openxmlformats.org/officeDocument/2006/relationships/hyperlink" Id="rId73" Target="https://www.revistagestion.ec/sociedad-analisis/ecuador-registro-hasta-julio-un-exceso-de-mortalidad-de-802" TargetMode="External" /><Relationship Type="http://schemas.openxmlformats.org/officeDocument/2006/relationships/hyperlink" Id="rId26" Target="https://www.salud.gob.ec/gacetas-inmunoprevenibles/" TargetMode="External" /><Relationship Type="http://schemas.openxmlformats.org/officeDocument/2006/relationships/hyperlink" Id="rId33" Target="https://www.swissinfo.ch/spa/ecuador-investidura--an%C3%A1lisis-_lasso-ante-el-reto-de-impulsar-las-vacunas-y-reactivar-la-econom%C3%ADa-en-ecuador/46641098" TargetMode="External" /><Relationship Type="http://schemas.openxmlformats.org/officeDocument/2006/relationships/hyperlink" Id="rId59" Target="https://www.yalemedicine.org/news/covid-19-vaccine-comparison" TargetMode="External" /></Relationships>
</file>

<file path=word/_rels/footnotes.xml.rels><?xml version="1.0" encoding="UTF-8"?><Relationships xmlns="http://schemas.openxmlformats.org/package/2006/relationships"><Relationship Type="http://schemas.openxmlformats.org/officeDocument/2006/relationships/hyperlink" Id="rId48" Target="https://americasquarterly.org/article/the-ups-and-downs-of-guillermo-lasso/" TargetMode="External" /><Relationship Type="http://schemas.openxmlformats.org/officeDocument/2006/relationships/hyperlink" Id="rId69" Target="https://blogs.worldbank.org/developmenttalk/how-did-covid-19-pandemic-influence-pace-new-business-formation" TargetMode="External" /><Relationship Type="http://schemas.openxmlformats.org/officeDocument/2006/relationships/hyperlink" Id="rId87" Target="https://data.undp.org/vaccine-equity-archive/impact-of-vaccine-inequity-on-economic-recovery-2022/" TargetMode="External" /><Relationship Type="http://schemas.openxmlformats.org/officeDocument/2006/relationships/hyperlink" Id="rId40" Target="https://doi.org/10.1007/s11079-021-09638-2" TargetMode="External" /><Relationship Type="http://schemas.openxmlformats.org/officeDocument/2006/relationships/hyperlink" Id="rId93" Target="https://doi.org/10.1016/j.ijid.2021.11.009" TargetMode="External" /><Relationship Type="http://schemas.openxmlformats.org/officeDocument/2006/relationships/hyperlink" Id="rId71" Target="https://doi.org/10.1017/bca.2021.5" TargetMode="External" /><Relationship Type="http://schemas.openxmlformats.org/officeDocument/2006/relationships/hyperlink" Id="rId75" Target="https://doi.org/10.1056/NEJMoa2034577" TargetMode="External" /><Relationship Type="http://schemas.openxmlformats.org/officeDocument/2006/relationships/hyperlink" Id="rId35" Target="https://doi.org/10.1111/joes.12423" TargetMode="External" /><Relationship Type="http://schemas.openxmlformats.org/officeDocument/2006/relationships/hyperlink" Id="rId91" Target="https://doi.org/10.1177/25151355211059791" TargetMode="External" /><Relationship Type="http://schemas.openxmlformats.org/officeDocument/2006/relationships/hyperlink" Id="rId37" Target="https://doi.org/10.1186/s40249-021-00878-5" TargetMode="External" /><Relationship Type="http://schemas.openxmlformats.org/officeDocument/2006/relationships/hyperlink" Id="rId81" Target="https://doi.org/10.1377/hlthaff.28.6.w1066" TargetMode="External" /><Relationship Type="http://schemas.openxmlformats.org/officeDocument/2006/relationships/hyperlink" Id="rId31" Target="https://doi.org/10.26633/RPSP.2020.90" TargetMode="External" /><Relationship Type="http://schemas.openxmlformats.org/officeDocument/2006/relationships/hyperlink" Id="rId44" Target="https://doi.org/10.5089/9781589063761.001" TargetMode="External" /><Relationship Type="http://schemas.openxmlformats.org/officeDocument/2006/relationships/hyperlink" Id="rId85" Target="https://health.ucdavis.edu/coronavirus/covid-19-information/delta-variant" TargetMode="External" /><Relationship Type="http://schemas.openxmlformats.org/officeDocument/2006/relationships/hyperlink" Id="rId24" Target="https://mercadodevalores.supercias.gob.ec/reportes/directorioCompanias.jsf" TargetMode="External" /><Relationship Type="http://schemas.openxmlformats.org/officeDocument/2006/relationships/hyperlink" Id="rId79" Target="https://osf.io/preprints/socarxiv/hzj7a/" TargetMode="External" /><Relationship Type="http://schemas.openxmlformats.org/officeDocument/2006/relationships/hyperlink" Id="rId67" Target="https://www.aa.com.tr/es/mundo/ecuador-ha-detectado-85-casos-de-la-variante-delta-en-su-pa%C3%ADs/2316134" TargetMode="External" /><Relationship Type="http://schemas.openxmlformats.org/officeDocument/2006/relationships/hyperlink" Id="rId95" Target="https://www.bbc.com/mundo/noticias-america-latina-52116100" TargetMode="External" /><Relationship Type="http://schemas.openxmlformats.org/officeDocument/2006/relationships/hyperlink" Id="rId29" Target="https://www.bce.fin.ec/index.php/boletines-de-prensa-archivo/item/1482-la-economia-ecuatoriana-crecio-4-2-en-2021-superando-las-previsiones-de-crecimiento-mas-recientes" TargetMode="External" /><Relationship Type="http://schemas.openxmlformats.org/officeDocument/2006/relationships/hyperlink" Id="rId89" Target="https://www.bloomberg.com/news/articles/2021-08-02/ecuador-defaulted-last-year-now-its-bonds-are-the-world-s-best" TargetMode="External" /><Relationship Type="http://schemas.openxmlformats.org/officeDocument/2006/relationships/hyperlink" Id="rId63" Target="https://www.elcomercio.com/actualidad/politica/presidente-lasso-exposicion-foro-davos-plan-reactivacion-economica-ecuador.html" TargetMode="External" /><Relationship Type="http://schemas.openxmlformats.org/officeDocument/2006/relationships/hyperlink" Id="rId46" Target="https://www.elcomercio.com/tendencias/sociedad/delta-variantes-ecuador-coronavirus-pandemia.html" TargetMode="External" /><Relationship Type="http://schemas.openxmlformats.org/officeDocument/2006/relationships/hyperlink" Id="rId77" Target="https://www.elcomercio.com/tendencias/sociedad/salud-investigacion-tiktokers-vacunados-covid19.html" TargetMode="External" /><Relationship Type="http://schemas.openxmlformats.org/officeDocument/2006/relationships/hyperlink" Id="rId54" Target="https://www.imf.org/-/media/Files/Publications/WEO/2020/April/English/text.ashx" TargetMode="External" /><Relationship Type="http://schemas.openxmlformats.org/officeDocument/2006/relationships/hyperlink" Id="rId52" Target="https://www.imf.org/-/media/Files/Publications/WEO/2020/October/English/text.ashx" TargetMode="External" /><Relationship Type="http://schemas.openxmlformats.org/officeDocument/2006/relationships/hyperlink" Id="rId56" Target="https://www.imf.org/-/media/Files/Publications/WEO/2021/April/English/text.ashx" TargetMode="External" /><Relationship Type="http://schemas.openxmlformats.org/officeDocument/2006/relationships/hyperlink" Id="rId42" Target="https://www.imf.org/-/media/Files/Publications/WP/2021/English/wpiea2021247-print-pdf.ashx" TargetMode="External" /><Relationship Type="http://schemas.openxmlformats.org/officeDocument/2006/relationships/hyperlink" Id="rId50" Target="https://www.imf.org/es/News/Articles/2020/10/05/na100520-helping-ecuador-confront-the-pandemic" TargetMode="External" /><Relationship Type="http://schemas.openxmlformats.org/officeDocument/2006/relationships/hyperlink" Id="rId65" Target="https://www.nytimes.com/2020/03/16/smarter-living/coronavirus-social-distancing.html" TargetMode="External" /><Relationship Type="http://schemas.openxmlformats.org/officeDocument/2006/relationships/hyperlink" Id="rId83" Target="https://www.nytimes.com/2021/02/25/world/americas/covid-south-america-vaccine-corruption.html" TargetMode="External" /><Relationship Type="http://schemas.openxmlformats.org/officeDocument/2006/relationships/hyperlink" Id="rId61" Target="https://www.primicias.ec/noticias/sociedad/polemica-lista-vacunados-covid-ecuador/" TargetMode="External" /><Relationship Type="http://schemas.openxmlformats.org/officeDocument/2006/relationships/hyperlink" Id="rId73" Target="https://www.revistagestion.ec/sociedad-analisis/ecuador-registro-hasta-julio-un-exceso-de-mortalidad-de-802" TargetMode="External" /><Relationship Type="http://schemas.openxmlformats.org/officeDocument/2006/relationships/hyperlink" Id="rId26" Target="https://www.salud.gob.ec/gacetas-inmunoprevenibles/" TargetMode="External" /><Relationship Type="http://schemas.openxmlformats.org/officeDocument/2006/relationships/hyperlink" Id="rId33" Target="https://www.swissinfo.ch/spa/ecuador-investidura--an%C3%A1lisis-_lasso-ante-el-reto-de-impulsar-las-vacunas-y-reactivar-la-econom%C3%ADa-en-ecuador/46641098" TargetMode="External" /><Relationship Type="http://schemas.openxmlformats.org/officeDocument/2006/relationships/hyperlink" Id="rId59" Target="https://www.yalemedicine.org/news/covid-19-vaccine-compari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146</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Immunizing the Economy: A Causality Discussion on Vaccines and Economic Recovery</dc:title>
  <dc:creator>Daniel Hernan Sánchez Pazmiño</dc:creator>
  <cp:keywords/>
  <dcterms:created xsi:type="dcterms:W3CDTF">2022-07-08T04:21:34Z</dcterms:created>
  <dcterms:modified xsi:type="dcterms:W3CDTF">2022-07-08T04:21:34Z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graphy">
    <vt:lpwstr>refs.bib</vt:lpwstr>
  </property>
  <property fmtid="{D5CDD505-2E9C-101B-9397-08002B2CF9AE}" pid="4" name="by-author">
    <vt:lpwstr/>
  </property>
  <property fmtid="{D5CDD505-2E9C-101B-9397-08002B2CF9AE}" pid="5" name="editor">
    <vt:lpwstr>source</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Inmunizando a la Economía: Una Discusión de Causalidad Sobre Vacunas y Reactivación Económica</vt:lpwstr>
  </property>
  <property fmtid="{D5CDD505-2E9C-101B-9397-08002B2CF9AE}" pid="12" name="toc-title">
    <vt:lpwstr>Table of contents</vt:lpwstr>
  </property>
</Properties>
</file>