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Inoculating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Author"/>
      </w:pPr>
      <w:r>
        <w:t xml:space="preserve">Daniel</w:t>
      </w:r>
      <w:r>
        <w:t xml:space="preserve"> </w:t>
      </w:r>
      <w:r>
        <w:t xml:space="preserve">Sánchez</w:t>
      </w:r>
    </w:p>
    <w:p>
      <w:pPr>
        <w:pStyle w:val="Date"/>
      </w:pPr>
      <w:r>
        <w:t xml:space="preserve">April</w:t>
      </w:r>
      <w:r>
        <w:t xml:space="preserve"> </w:t>
      </w:r>
      <w:r>
        <w:t xml:space="preserve">2022</w:t>
      </w:r>
    </w:p>
    <w:bookmarkStart w:id="20" w:name="abstract"/>
    <w:p>
      <w:pPr>
        <w:pStyle w:val="Heading1"/>
      </w:pPr>
      <w:r>
        <w:rPr>
          <w:rStyle w:val="SectionNumber"/>
        </w:rPr>
        <w:t xml:space="preserve">1</w:t>
      </w:r>
      <w:r>
        <w:tab/>
      </w: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w:t>
      </w:r>
      <w:r>
        <w:rPr>
          <w:iCs/>
          <w:i/>
        </w:rPr>
        <w:t xml:space="preserve">Sociedad de Acciones Simplificada</w:t>
      </w:r>
      <w:r>
        <w:t xml:space="preserve">)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rPr>
          <w:rStyle w:val="SectionNumber"/>
        </w:rPr>
        <w:t xml:space="preserve">2</w:t>
      </w:r>
      <w:r>
        <w:tab/>
      </w: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encontró un destello de esperanza cuando el proceso de vacunación se tornó extremadamente efectivo y en menos de cien días más de la mitad de población se inoculó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eliminado la creación de compañías SAS (</w:t>
      </w:r>
      <w:r>
        <w:rPr>
          <w:iCs/>
          <w:i/>
        </w:rPr>
        <w:t xml:space="preserve">Sociedad de Acciones Simplificada</w:t>
      </w:r>
      <w:r>
        <w:t xml:space="preserve">), una figura legal de compañía introducida en el país en la mitad del 2020 que ocasionó la creación de varias nuevas firmas formales debido a la reducción considerable de costos de entrada. Solo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rPr>
          <w:rStyle w:val="SectionNumber"/>
        </w:rPr>
        <w:t xml:space="preserve">3</w:t>
      </w:r>
      <w:r>
        <w:tab/>
      </w:r>
      <w:r>
        <w:t xml:space="preserve">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w:t>
      </w:r>
      <w:hyperlink w:anchor="ref-IMF.April2020">
        <w:r>
          <w:rPr>
            <w:rStyle w:val="Hyperlink"/>
          </w:rPr>
          <w:t xml:space="preserve">International Monetary Fund, 2020c</w:t>
        </w:r>
      </w:hyperlink>
      <w:r>
        <w:t xml:space="preserve">)</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w:t>
      </w:r>
      <w:hyperlink w:anchor="ref-IMF.Oct2020">
        <w:r>
          <w:rPr>
            <w:rStyle w:val="Hyperlink"/>
          </w:rPr>
          <w:t xml:space="preserve">2020b</w:t>
        </w:r>
      </w:hyperlink>
      <w:r>
        <w:t xml:space="preserve">)</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w:t>
      </w:r>
      <w:hyperlink w:anchor="ref-IMF.Oct2020.Art">
        <w:r>
          <w:rPr>
            <w:rStyle w:val="Hyperlink"/>
          </w:rPr>
          <w:t xml:space="preserve">International Monetary Fund, 2020a</w:t>
        </w:r>
      </w:hyperlink>
      <w:r>
        <w:t xml:space="preserve">)</w:t>
      </w:r>
      <w:r>
        <w:t xml:space="preserve">. However, the Ecuadorian economy was still expected to shrink by 11% in 2020 and its unemployment rate was expected to increase in 4,3 percentage points relative to 2019</w:t>
      </w:r>
      <w:r>
        <w:t xml:space="preserve"> </w:t>
      </w:r>
      <w:r>
        <w:t xml:space="preserve">(</w:t>
      </w:r>
      <w:hyperlink w:anchor="ref-IMF.Oct2020">
        <w:r>
          <w:rPr>
            <w:rStyle w:val="Hyperlink"/>
          </w:rPr>
          <w:t xml:space="preserve">International Monetary Fund, 2020b</w:t>
        </w:r>
      </w:hyperlink>
      <w:r>
        <w:t xml:space="preserve">)</w:t>
      </w:r>
      <w:r>
        <w:t xml:space="preserve">. Guayas became the COVID-19 epicenter in Ecuador with a 900% excess deaths rate</w:t>
      </w:r>
      <w:r>
        <w:t xml:space="preserve"> </w:t>
      </w:r>
      <w:r>
        <w:t xml:space="preserve">(</w:t>
      </w:r>
      <w:hyperlink w:anchor="ref-Naranjo.2020">
        <w:r>
          <w:rPr>
            <w:rStyle w:val="Hyperlink"/>
          </w:rPr>
          <w:t xml:space="preserve">Naranjo, 2020</w:t>
        </w:r>
      </w:hyperlink>
      <w:r>
        <w:t xml:space="preserve">)</w:t>
      </w:r>
      <w:r>
        <w:t xml:space="preserve"> </w:t>
      </w:r>
      <w:r>
        <w:t xml:space="preserve">and with its capital Guayaquil becoming an international attention center due to the extreme humanitarian crisis caused by the COVID-19 impact</w:t>
      </w:r>
      <w:r>
        <w:t xml:space="preserve"> </w:t>
      </w:r>
      <w:r>
        <w:t xml:space="preserve">(</w:t>
      </w:r>
      <w:hyperlink w:anchor="ref-Zibell.2020">
        <w:r>
          <w:rPr>
            <w:rStyle w:val="Hyperlink"/>
          </w:rPr>
          <w:t xml:space="preserve">Zibell, 2020</w:t>
        </w:r>
      </w:hyperlink>
      <w:r>
        <w:t xml:space="preserve">)</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w:t>
      </w:r>
      <w:hyperlink w:anchor="ref-IMF.April2021">
        <w:r>
          <w:rPr>
            <w:rStyle w:val="Hyperlink"/>
          </w:rPr>
          <w:t xml:space="preserve">2021</w:t>
        </w:r>
      </w:hyperlink>
      <w:r>
        <w:t xml:space="preserve">)</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w:t>
      </w:r>
      <w:hyperlink w:anchor="ref-Taj.2021">
        <w:r>
          <w:rPr>
            <w:rStyle w:val="Hyperlink"/>
          </w:rPr>
          <w:t xml:space="preserve">Taj &amp; Politi, 2021</w:t>
        </w:r>
      </w:hyperlink>
      <w:r>
        <w:t xml:space="preserve">)</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w:t>
      </w:r>
      <w:hyperlink w:anchor="ref-Machado.2021">
        <w:r>
          <w:rPr>
            <w:rStyle w:val="Hyperlink"/>
          </w:rPr>
          <w:t xml:space="preserve">Machado, 2021</w:t>
        </w:r>
      </w:hyperlink>
      <w:r>
        <w:t xml:space="preserve">;</w:t>
      </w:r>
      <w:r>
        <w:t xml:space="preserve"> </w:t>
      </w:r>
      <w:hyperlink w:anchor="ref-Sandoval.2021">
        <w:r>
          <w:rPr>
            <w:rStyle w:val="Hyperlink"/>
          </w:rPr>
          <w:t xml:space="preserve">Sandoval, 2021</w:t>
        </w:r>
      </w:hyperlink>
      <w:r>
        <w:t xml:space="preserve">)</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w:t>
      </w:r>
      <w:hyperlink w:anchor="ref-Vizcaino.2021">
        <w:r>
          <w:rPr>
            <w:rStyle w:val="Hyperlink"/>
          </w:rPr>
          <w:t xml:space="preserve">Vizcaino &amp; Kueffner, 2021</w:t>
        </w:r>
      </w:hyperlink>
      <w:r>
        <w:t xml:space="preserve">)</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w:t>
      </w:r>
      <w:hyperlink w:anchor="ref-Hurtado.2021">
        <w:r>
          <w:rPr>
            <w:rStyle w:val="Hyperlink"/>
          </w:rPr>
          <w:t xml:space="preserve">Hurtado, 2021</w:t>
        </w:r>
      </w:hyperlink>
      <w:r>
        <w:t xml:space="preserve">)</w:t>
      </w:r>
      <w:r>
        <w:t xml:space="preserve">. The new Administration’s economic agenda promised economic recovery through investment-friendly policy</w:t>
      </w:r>
      <w:r>
        <w:t xml:space="preserve"> </w:t>
      </w:r>
      <w:r>
        <w:t xml:space="preserve">(</w:t>
      </w:r>
      <w:hyperlink w:anchor="ref-Madrid.2021">
        <w:r>
          <w:rPr>
            <w:rStyle w:val="Hyperlink"/>
          </w:rPr>
          <w:t xml:space="preserve">Madrid, 2021</w:t>
        </w:r>
      </w:hyperlink>
      <w:r>
        <w:t xml:space="preserve">)</w:t>
      </w:r>
      <w:r>
        <w:t xml:space="preserve">, even marketing the massive vaccination plan as an initial step for recovery after the pandemic shock</w:t>
      </w:r>
      <w:r>
        <w:t xml:space="preserve"> </w:t>
      </w:r>
      <w:r>
        <w:t xml:space="preserve">(</w:t>
      </w:r>
      <w:hyperlink w:anchor="ref-Brik.2021">
        <w:r>
          <w:rPr>
            <w:rStyle w:val="Hyperlink"/>
          </w:rPr>
          <w:t xml:space="preserve">Brik, 2021</w:t>
        </w:r>
      </w:hyperlink>
      <w:r>
        <w:t xml:space="preserve">)</w:t>
      </w:r>
      <w:r>
        <w:t xml:space="preserve">.</w:t>
      </w:r>
    </w:p>
    <w:p>
      <w:pPr>
        <w:pStyle w:val="BodyText"/>
      </w:pPr>
      <w:r>
        <w:t xml:space="preserve">The Ecuadorian economy grew 4.2% in 2021</w:t>
      </w:r>
      <w:r>
        <w:t xml:space="preserve"> </w:t>
      </w:r>
      <w:r>
        <w:t xml:space="preserve">(</w:t>
      </w:r>
      <w:hyperlink w:anchor="ref-BCE.2022">
        <w:r>
          <w:rPr>
            <w:rStyle w:val="Hyperlink"/>
          </w:rPr>
          <w:t xml:space="preserve">Banco Central del Ecuador, 2022</w:t>
        </w:r>
      </w:hyperlink>
      <w:r>
        <w:t xml:space="preserve">)</w:t>
      </w:r>
      <w:r>
        <w:t xml:space="preserve">, 50% more than the October 2021 IMF projection</w:t>
      </w:r>
      <w:r>
        <w:t xml:space="preserve"> </w:t>
      </w:r>
      <w:r>
        <w:t xml:space="preserve">(</w:t>
      </w:r>
      <w:hyperlink w:anchor="ref-IMF.Oct2021">
        <w:r>
          <w:rPr>
            <w:rStyle w:val="Hyperlink"/>
          </w:rPr>
          <w:t xml:space="preserve">2021</w:t>
        </w:r>
      </w:hyperlink>
      <w:r>
        <w:t xml:space="preserve">)</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w:t>
      </w:r>
      <w:hyperlink w:anchor="ref-Katella.2022">
        <w:r>
          <w:rPr>
            <w:rStyle w:val="Hyperlink"/>
          </w:rPr>
          <w:t xml:space="preserve">Katella, 2022</w:t>
        </w:r>
      </w:hyperlink>
      <w:r>
        <w:t xml:space="preserve">)</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hyperlink w:anchor="ref-MarketWatch.2022">
        <w:r>
          <w:rPr>
            <w:rStyle w:val="Hyperlink"/>
            <w:iCs/>
            <w:i/>
          </w:rPr>
          <w:t xml:space="preserve">Crude Oil WTI Price</w:t>
        </w:r>
        <w:r>
          <w:rPr>
            <w:rStyle w:val="Hyperlink"/>
          </w:rPr>
          <w:t xml:space="preserve">, 2022</w:t>
        </w:r>
      </w:hyperlink>
      <w:r>
        <w:t xml:space="preserve">)</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rPr>
          <w:rStyle w:val="SectionNumber"/>
        </w:rPr>
        <w:t xml:space="preserve">4</w:t>
      </w:r>
      <w:r>
        <w:tab/>
      </w:r>
      <w:r>
        <w:t xml:space="preserve">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w:t>
      </w:r>
      <w:hyperlink w:anchor="ref-Banerjee.2020">
        <w:r>
          <w:rPr>
            <w:rStyle w:val="Hyperlink"/>
          </w:rPr>
          <w:t xml:space="preserve">Banerjee &amp; Nayak, 2020</w:t>
        </w:r>
      </w:hyperlink>
      <w:r>
        <w:t xml:space="preserve">;</w:t>
      </w:r>
      <w:r>
        <w:t xml:space="preserve"> </w:t>
      </w:r>
      <w:hyperlink w:anchor="ref-Sharkey.2020">
        <w:r>
          <w:rPr>
            <w:rStyle w:val="Hyperlink"/>
          </w:rPr>
          <w:t xml:space="preserve">Sharkey &amp; Wood, 2020</w:t>
        </w:r>
      </w:hyperlink>
      <w:r>
        <w:t xml:space="preserve">)</w:t>
      </w:r>
      <w:r>
        <w:t xml:space="preserve"> </w:t>
      </w:r>
      <w:r>
        <w:t xml:space="preserve">as well as in other pandemics [</w:t>
      </w:r>
      <w:r>
        <w:t xml:space="preserve">Stern et al. (</w:t>
      </w:r>
      <w:hyperlink w:anchor="ref-Stern.2009">
        <w:r>
          <w:rPr>
            <w:rStyle w:val="Hyperlink"/>
          </w:rPr>
          <w:t xml:space="preserve">2009</w:t>
        </w:r>
      </w:hyperlink>
      <w:r>
        <w:t xml:space="preserve">)</w:t>
      </w:r>
      <w:r>
        <w:t xml:space="preserve">; Bootsma.2007;</w:t>
      </w:r>
      <w:r>
        <w:t xml:space="preserve"> </w:t>
      </w:r>
      <w:r>
        <w:t xml:space="preserve">Mandavilli (</w:t>
      </w:r>
      <w:hyperlink w:anchor="ref-Mandavilli.2020">
        <w:r>
          <w:rPr>
            <w:rStyle w:val="Hyperlink"/>
          </w:rPr>
          <w:t xml:space="preserve">2020</w:t>
        </w:r>
      </w:hyperlink>
      <w:r>
        <w:t xml:space="preserve">)</w:t>
      </w:r>
      <w:r>
        <w:t xml:space="preserve">]. Numerous randomized trials have been run to assess the effects of COVID-19 vaccines, finding that these are safe for mass distribution and effective in slowing down the spread of the virus</w:t>
      </w:r>
      <w:r>
        <w:t xml:space="preserve"> </w:t>
      </w:r>
      <w:r>
        <w:t xml:space="preserve">(</w:t>
      </w:r>
      <w:hyperlink w:anchor="ref-Chen.2021">
        <w:r>
          <w:rPr>
            <w:rStyle w:val="Hyperlink"/>
          </w:rPr>
          <w:t xml:space="preserve">Chen et al., 2021</w:t>
        </w:r>
      </w:hyperlink>
      <w:r>
        <w:t xml:space="preserve">;</w:t>
      </w:r>
      <w:r>
        <w:t xml:space="preserve"> </w:t>
      </w:r>
      <w:hyperlink w:anchor="ref-Deb.2021">
        <w:r>
          <w:rPr>
            <w:rStyle w:val="Hyperlink"/>
          </w:rPr>
          <w:t xml:space="preserve">Deb et al., 2021</w:t>
        </w:r>
      </w:hyperlink>
      <w:r>
        <w:t xml:space="preserve">;</w:t>
      </w:r>
      <w:r>
        <w:t xml:space="preserve"> </w:t>
      </w:r>
      <w:hyperlink w:anchor="ref-Polack.2020">
        <w:r>
          <w:rPr>
            <w:rStyle w:val="Hyperlink"/>
          </w:rPr>
          <w:t xml:space="preserve">Polack et al., 2020</w:t>
        </w:r>
      </w:hyperlink>
      <w:r>
        <w:t xml:space="preserve">;</w:t>
      </w:r>
      <w:r>
        <w:t xml:space="preserve"> </w:t>
      </w:r>
      <w:hyperlink w:anchor="ref-Yap.2021">
        <w:r>
          <w:rPr>
            <w:rStyle w:val="Hyperlink"/>
          </w:rPr>
          <w:t xml:space="preserve">Yap et al., 2021</w:t>
        </w:r>
      </w:hyperlink>
      <w:r>
        <w:t xml:space="preserve">;</w:t>
      </w:r>
      <w:r>
        <w:t xml:space="preserve"> </w:t>
      </w:r>
      <w:hyperlink w:anchor="ref-Zheng.2022">
        <w:r>
          <w:rPr>
            <w:rStyle w:val="Hyperlink"/>
          </w:rPr>
          <w:t xml:space="preserve">Zheng et al., 2022</w:t>
        </w:r>
      </w:hyperlink>
      <w:r>
        <w:t xml:space="preserve">)</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r>
        <w:t xml:space="preserve">Brodeur et al. (</w:t>
      </w:r>
      <w:hyperlink w:anchor="ref-Brodeur.2021">
        <w:r>
          <w:rPr>
            <w:rStyle w:val="Hyperlink"/>
          </w:rPr>
          <w:t xml:space="preserve">2021</w:t>
        </w:r>
      </w:hyperlink>
      <w:r>
        <w:t xml:space="preserve">)</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r>
        <w:t xml:space="preserve">Brodeur et al. (</w:t>
      </w:r>
      <w:hyperlink w:anchor="ref-Brodeur.2021">
        <w:r>
          <w:rPr>
            <w:rStyle w:val="Hyperlink"/>
          </w:rPr>
          <w:t xml:space="preserve">2021</w:t>
        </w:r>
      </w:hyperlink>
      <w:r>
        <w:t xml:space="preserve">)</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w:t>
      </w:r>
      <w:hyperlink w:anchor="ref-Mulligan.2021">
        <w:r>
          <w:rPr>
            <w:rStyle w:val="Hyperlink"/>
          </w:rPr>
          <w:t xml:space="preserve">Mulligan, 2021</w:t>
        </w:r>
      </w:hyperlink>
      <w:r>
        <w:t xml:space="preserve">)</w:t>
      </w:r>
      <w:r>
        <w:t xml:space="preserve">. Additionally,</w:t>
      </w:r>
      <w:r>
        <w:t xml:space="preserve"> </w:t>
      </w:r>
      <w:r>
        <w:t xml:space="preserve">Deb et al. (</w:t>
      </w:r>
      <w:hyperlink w:anchor="ref-Deb.2022">
        <w:r>
          <w:rPr>
            <w:rStyle w:val="Hyperlink"/>
          </w:rPr>
          <w:t xml:space="preserve">2022</w:t>
        </w:r>
      </w:hyperlink>
      <w:r>
        <w:t xml:space="preserve">)</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r>
        <w:t xml:space="preserve">Meunier et al. (</w:t>
      </w:r>
      <w:hyperlink w:anchor="ref-Meunier.2022">
        <w:r>
          <w:rPr>
            <w:rStyle w:val="Hyperlink"/>
          </w:rPr>
          <w:t xml:space="preserve">2022</w:t>
        </w:r>
      </w:hyperlink>
      <w:r>
        <w:t xml:space="preserve">)</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r>
        <w:t xml:space="preserve">Furceri et al. (</w:t>
      </w:r>
      <w:hyperlink w:anchor="ref-Furceri.2021">
        <w:r>
          <w:rPr>
            <w:rStyle w:val="Hyperlink"/>
          </w:rPr>
          <w:t xml:space="preserve">2021</w:t>
        </w:r>
      </w:hyperlink>
      <w:r>
        <w:t xml:space="preserve">)</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w:t>
      </w:r>
      <w:hyperlink w:anchor="ref-UNDP.2022">
        <w:r>
          <w:rPr>
            <w:rStyle w:val="Hyperlink"/>
          </w:rPr>
          <w:t xml:space="preserve">United Nations Development Programme, 2022</w:t>
        </w:r>
      </w:hyperlink>
      <w:r>
        <w:t xml:space="preserve">)</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8" w:name="methodology"/>
    <w:p>
      <w:pPr>
        <w:pStyle w:val="Heading1"/>
      </w:pPr>
      <w:r>
        <w:rPr>
          <w:rStyle w:val="SectionNumber"/>
        </w:rPr>
        <w:t xml:space="preserve">5</w:t>
      </w:r>
      <w:r>
        <w:tab/>
      </w:r>
      <w:r>
        <w:t xml:space="preserve">Methodology</w:t>
      </w:r>
    </w:p>
    <w:bookmarkStart w:id="25" w:name="data"/>
    <w:p>
      <w:pPr>
        <w:pStyle w:val="Heading2"/>
      </w:pPr>
      <w:r>
        <w:rPr>
          <w:rStyle w:val="SectionNumber"/>
        </w:rPr>
        <w:t xml:space="preserve">5.1</w:t>
      </w:r>
      <w:r>
        <w:tab/>
      </w:r>
      <w:r>
        <w:t xml:space="preserve">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rPr>
          <w:rFonts/>
          <w:b w:val="true"/>
        </w:rPr>
        <w:t xml:space="preserve">Table </w:t>
      </w:r>
      <w:bookmarkStart w:id="2fb05d68-0e75-4eb6-8dfe-78d3a57f8632" w:name="data_description_tab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b05d68-0e75-4eb6-8dfe-78d3a57f8632"/>
      <w:r>
        <w:t xml:space="preserve">: </w:t>
      </w:r>
      <w:r>
        <w:t xml:space="preserve">Variable descriptions and 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Note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Business 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Superintendencia de Compa&lt;f1&gt;&lt;ed&gt;as, Valores y Seguros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Number of businesses created in any given month and province during 2020-2021.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Inmuno-preventable 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Ministry of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Parotiditis, Chickenpox and Hepatitis B.</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Datos-Ecuacovid 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Data obtained from the Ministry of Health's Vacun&lt;f3&gt;metro.</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 Population Projections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Datos-Ecuacovid 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Data obtained from INEC Census Projections.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Excess deaths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Excess Deaths Dashboard by Naranjo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Normal death rate computed based on historic death rates per province.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Thefts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Ministry of Government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Theft reports to the police</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Homicides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Ministry of Government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Violent deaths reported to the police</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Transit accidents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National Transit Agency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Includes those resulting in injury and/or death</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Registered labor contracts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Open Data Catalogue Government Database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Number of registered labor contracts in the Unique Labor System (SUT).</w:t>
            </w:r>
          </w:p>
        </w:tc>
      </w:tr>
    </w:tbl>
    <w:bookmarkEnd w:id="25"/>
    <w:bookmarkStart w:id="27" w:name="empirical-approach"/>
    <w:p>
      <w:pPr>
        <w:pStyle w:val="Heading2"/>
      </w:pPr>
      <w:r>
        <w:rPr>
          <w:rStyle w:val="SectionNumber"/>
        </w:rPr>
        <w:t xml:space="preserve">5.2</w:t>
      </w:r>
      <w:r>
        <w:tab/>
      </w:r>
      <w:r>
        <w:t xml:space="preserve">Empirical approach</w:t>
      </w:r>
    </w:p>
    <w:p>
      <w:pPr>
        <w:pStyle w:val="FirstParagraph"/>
      </w:pPr>
      <w:r>
        <w:t xml:space="preserve">A differences-in-differences design is implemented to investigate a potential causal effect of vaccination rates in business creation. The shock that will be exploited for the estimation will be the Delta Variant. This variant of COVID-19 was initially identified in India in late 2020, and spread to the United States in June 2021. It was identified that while the variant’s symptoms were the same as the original disease, they seemed to be more severe in the respiratory tract and it also spread quicker. Additionally, the variant seemed to put unvaccinated people at a much higher risk than other variants. It quickly became the principal variant in the United States throughout the fall of 2021</w:t>
      </w:r>
      <w:r>
        <w:t xml:space="preserve"> </w:t>
      </w:r>
      <w:r>
        <w:t xml:space="preserve">(</w:t>
      </w:r>
      <w:hyperlink w:anchor="ref-Katella.2022">
        <w:r>
          <w:rPr>
            <w:rStyle w:val="Hyperlink"/>
          </w:rPr>
          <w:t xml:space="preserve">Katella, 2022</w:t>
        </w:r>
      </w:hyperlink>
      <w:r>
        <w:t xml:space="preserve">;</w:t>
      </w:r>
      <w:r>
        <w:t xml:space="preserve"> </w:t>
      </w:r>
      <w:hyperlink w:anchor="ref-UCD.2022">
        <w:r>
          <w:rPr>
            <w:rStyle w:val="Hyperlink"/>
          </w:rPr>
          <w:t xml:space="preserve">UCDavis Health, 2022</w:t>
        </w:r>
      </w:hyperlink>
      <w:r>
        <w:t xml:space="preserve">)</w:t>
      </w:r>
      <w:r>
        <w:t xml:space="preserve">. In Ecuador, cases of this variant were initially identified in the summer of 2021 and by October it became the dominant variant in COVID-19 infections</w:t>
      </w:r>
      <w:r>
        <w:t xml:space="preserve"> </w:t>
      </w:r>
      <w:r>
        <w:t xml:space="preserve">(</w:t>
      </w:r>
      <w:hyperlink w:anchor="ref-Heredia.2021">
        <w:r>
          <w:rPr>
            <w:rStyle w:val="Hyperlink"/>
          </w:rPr>
          <w:t xml:space="preserve">Heredia, 2021</w:t>
        </w:r>
      </w:hyperlink>
      <w:r>
        <w:t xml:space="preserve">;</w:t>
      </w:r>
      <w:r>
        <w:t xml:space="preserve"> </w:t>
      </w:r>
      <w:hyperlink w:anchor="ref-Mendoza.2021">
        <w:r>
          <w:rPr>
            <w:rStyle w:val="Hyperlink"/>
          </w:rPr>
          <w:t xml:space="preserve">Mendoza, 2021</w:t>
        </w:r>
      </w:hyperlink>
      <w:r>
        <w:t xml:space="preserve">)</w:t>
      </w:r>
      <w:r>
        <w:t xml:space="preserve">. This shock is used because given the characteristics of the</w:t>
      </w:r>
      <w:r>
        <w:t xml:space="preserve"> </w:t>
      </w:r>
      <w:r>
        <w:t xml:space="preserve">“</w:t>
      </w:r>
      <w:r>
        <w:t xml:space="preserve">new</w:t>
      </w:r>
      <w:r>
        <w:t xml:space="preserve">”</w:t>
      </w:r>
      <w:r>
        <w:t xml:space="preserve"> </w:t>
      </w:r>
      <w:r>
        <w:t xml:space="preserve">disease it would be easier to elicit differences in outcomes between groups with different propensity to become vaccinated against COVID-19.</w:t>
      </w:r>
    </w:p>
    <w:p>
      <w:pPr>
        <w:pStyle w:val="BodyText"/>
      </w:pPr>
      <w:r>
        <w:t xml:space="preserve">The treatment group will be defined in terms of vaccination hesitancy and actual COVID-19 vaccination rates. In order to accurately exploit vaccination hesitancy and not confound it with logistic/movement restriction issues, the treatment group is defined in reference to the number of vaccine-preventable diseases detected in each province through time. The Ministry of Health has made available yearly vaccine-preventable disease tabloids (</w:t>
      </w:r>
      <w:hyperlink r:id="rId26">
        <w:r>
          <w:rPr>
            <w:rStyle w:val="Hyperlink"/>
          </w:rPr>
          <w:t xml:space="preserve">gacetas inmunoprevenibles</w:t>
        </w:r>
      </w:hyperlink>
      <w:r>
        <w:t xml:space="preserve">) which tabulate yearly reported cases of vaccine-preventable diseases at the province level for 2019 and 2020. With this information, the number of vaccine-preventable diseases per thousand is computed with basis to the 2020 population projections (no 2021 projections have been made available). Also, the average monthly vaccination rate is computed, which can be seen at group level in the following table. The treatment group is then composed of the following provinces: Carchi, Chimborazo, Cotopaxi, Morona Santiago, Orellana, Pastaza, Santo Domingo, Sucumbíos, Zamora Chinchipe. These provinces comply with two conditions: higher than average vaccine-preventable cases per one thousand and lower than average monthly vaccination rates. The following table shows some descriptive statistics for the groups.</w:t>
      </w:r>
    </w:p>
    <w:p>
      <w:pPr>
        <w:pStyle w:val="SourceCode"/>
      </w:pPr>
      <w:r>
        <w:rPr>
          <w:rStyle w:val="VerbatimChar"/>
        </w:rPr>
        <w:t xml:space="preserve">## Warning in !is.null(rmarkdown::metadata$output) &amp;&amp; rmarkdown::metadata$output</w:t>
      </w:r>
      <w:r>
        <w:br/>
      </w:r>
      <w:r>
        <w:rPr>
          <w:rStyle w:val="VerbatimChar"/>
        </w:rPr>
        <w:t xml:space="preserve">## %in% : 'length(x) = 2 &gt; 1' in coercion to 'logical(1)'</w:t>
      </w:r>
    </w:p>
    <w:p>
      <w:pPr>
        <w:pStyle w:val="TableCaption"/>
      </w:pPr>
      <w:r>
        <w:t xml:space="preserve">Descriptive Statistics for Treatment and Control Groups</w:t>
      </w:r>
    </w:p>
    <w:tbl>
      <w:tblPr>
        <w:tblStyle w:val="Table"/>
        <w:tblW w:type="pct" w:w="5000"/>
        <w:tblLook w:firstRow="1" w:lastRow="0" w:firstColumn="0" w:lastColumn="0" w:noHBand="0" w:noVBand="0" w:val="0020"/>
        <w:tblCaption w:val="Descriptive Statistics for Treatment and Control Groups"/>
      </w:tblPr>
      <w:tblGrid>
        <w:gridCol w:w="618"/>
        <w:gridCol w:w="1237"/>
        <w:gridCol w:w="1237"/>
        <w:gridCol w:w="2103"/>
        <w:gridCol w:w="2722"/>
      </w:tblGrid>
      <w:tr>
        <w:trPr>
          <w:tblHeader w:val="true"/>
        </w:trPr>
        <w:tc>
          <w:tcPr/>
          <w:p>
            <w:pPr>
              <w:pStyle w:val="Compact"/>
              <w:jc w:val="left"/>
            </w:pPr>
            <w:r>
              <w:t xml:space="preserve">Group</w:t>
            </w:r>
          </w:p>
        </w:tc>
        <w:tc>
          <w:tcPr/>
          <w:p>
            <w:pPr>
              <w:pStyle w:val="Compact"/>
              <w:jc w:val="left"/>
            </w:pPr>
            <w:r>
              <w:t xml:space="preserve">New Businesses 2020</w:t>
            </w:r>
          </w:p>
        </w:tc>
        <w:tc>
          <w:tcPr/>
          <w:p>
            <w:pPr>
              <w:pStyle w:val="Compact"/>
              <w:jc w:val="left"/>
            </w:pPr>
            <w:r>
              <w:t xml:space="preserve">New Businesses 2021</w:t>
            </w:r>
          </w:p>
        </w:tc>
        <w:tc>
          <w:tcPr/>
          <w:p>
            <w:pPr>
              <w:pStyle w:val="Compact"/>
              <w:jc w:val="left"/>
            </w:pPr>
            <w:r>
              <w:t xml:space="preserve">Mean Monthly Vaccination Rate (%)</w:t>
            </w:r>
          </w:p>
        </w:tc>
        <w:tc>
          <w:tcPr/>
          <w:p>
            <w:pPr>
              <w:pStyle w:val="Compact"/>
              <w:jc w:val="left"/>
            </w:pPr>
            <w:r>
              <w:t xml:space="preserve">Mean vaccine-preventable cases per thousand</w:t>
            </w:r>
          </w:p>
        </w:tc>
      </w:tr>
      <w:tr>
        <w:tc>
          <w:tcPr/>
          <w:p>
            <w:pPr>
              <w:pStyle w:val="Compact"/>
              <w:jc w:val="left"/>
            </w:pPr>
            <w:r>
              <w:t xml:space="preserve">Control</w:t>
            </w:r>
          </w:p>
        </w:tc>
        <w:tc>
          <w:tcPr/>
          <w:p>
            <w:pPr>
              <w:pStyle w:val="Compact"/>
              <w:jc w:val="left"/>
            </w:pPr>
            <w:r>
              <w:t xml:space="preserve">6102,00</w:t>
            </w:r>
          </w:p>
        </w:tc>
        <w:tc>
          <w:tcPr/>
          <w:p>
            <w:pPr>
              <w:pStyle w:val="Compact"/>
              <w:jc w:val="left"/>
            </w:pPr>
            <w:r>
              <w:t xml:space="preserve">4745,00</w:t>
            </w:r>
          </w:p>
        </w:tc>
        <w:tc>
          <w:tcPr/>
          <w:p>
            <w:pPr>
              <w:pStyle w:val="Compact"/>
              <w:jc w:val="left"/>
            </w:pPr>
            <w:r>
              <w:t xml:space="preserve">39,99</w:t>
            </w:r>
          </w:p>
        </w:tc>
        <w:tc>
          <w:tcPr/>
          <w:p>
            <w:pPr>
              <w:pStyle w:val="Compact"/>
              <w:jc w:val="left"/>
            </w:pPr>
            <w:r>
              <w:t xml:space="preserve">1,28</w:t>
            </w:r>
          </w:p>
        </w:tc>
      </w:tr>
      <w:tr>
        <w:tc>
          <w:tcPr/>
          <w:p>
            <w:pPr>
              <w:pStyle w:val="Compact"/>
              <w:jc w:val="left"/>
            </w:pPr>
            <w:r>
              <w:t xml:space="preserve">Treatment</w:t>
            </w:r>
          </w:p>
        </w:tc>
        <w:tc>
          <w:tcPr/>
          <w:p>
            <w:pPr>
              <w:pStyle w:val="Compact"/>
              <w:jc w:val="left"/>
            </w:pPr>
            <w:r>
              <w:t xml:space="preserve">622,00</w:t>
            </w:r>
          </w:p>
        </w:tc>
        <w:tc>
          <w:tcPr/>
          <w:p>
            <w:pPr>
              <w:pStyle w:val="Compact"/>
              <w:jc w:val="left"/>
            </w:pPr>
            <w:r>
              <w:t xml:space="preserve">472,00</w:t>
            </w:r>
          </w:p>
        </w:tc>
        <w:tc>
          <w:tcPr/>
          <w:p>
            <w:pPr>
              <w:pStyle w:val="Compact"/>
              <w:jc w:val="left"/>
            </w:pPr>
            <w:r>
              <w:t xml:space="preserve">32,82</w:t>
            </w:r>
          </w:p>
        </w:tc>
        <w:tc>
          <w:tcPr/>
          <w:p>
            <w:pPr>
              <w:pStyle w:val="Compact"/>
              <w:jc w:val="left"/>
            </w:pPr>
            <w:r>
              <w:t xml:space="preserve">1,95</w:t>
            </w:r>
          </w:p>
        </w:tc>
      </w:tr>
    </w:tbl>
    <w:p>
      <w:pPr>
        <w:pStyle w:val="BodyText"/>
      </w:pPr>
      <w:r>
        <w:t xml:space="preserve">Having defined treatment and control groups and the exogenous shock, the empirical models to be estimated will be based on the following general equation</w:t>
      </w:r>
    </w:p>
    <w:p>
      <w:pPr>
        <w:pStyle w:val="BodyText"/>
      </w:pPr>
      <m:oMathPara>
        <m:oMathParaPr>
          <m:jc m:val="center"/>
        </m:oMathParaPr>
        <m:oMath>
          <m:r>
            <m:rPr>
              <m:sty m:val="p"/>
            </m:rPr>
            <m:t>ln</m:t>
          </m:r>
          <m:d>
            <m:dPr>
              <m:begChr m:val="("/>
              <m:endChr m:val=")"/>
              <m:sepChr m:val=""/>
              <m:grow/>
            </m:dPr>
            <m:e>
              <m:r>
                <m:t>b</m:t>
              </m:r>
              <m:sSub>
                <m:e>
                  <m:r>
                    <m:t>c</m:t>
                  </m:r>
                </m:e>
                <m:sub>
                  <m:r>
                    <m:t>i</m:t>
                  </m:r>
                  <m:r>
                    <m:t>t</m:t>
                  </m:r>
                </m:sub>
              </m:sSub>
              <m:r>
                <m:rPr>
                  <m:sty m:val="p"/>
                </m:rPr>
                <m:t>+</m:t>
              </m:r>
              <m:r>
                <m:t>1</m:t>
              </m:r>
            </m:e>
          </m:d>
          <m:r>
            <m:rPr>
              <m:sty m:val="p"/>
            </m:rPr>
            <m:t>=</m:t>
          </m:r>
          <m:sSub>
            <m:e>
              <m:r>
                <m:t>α</m:t>
              </m:r>
            </m:e>
            <m:sub>
              <m:r>
                <m:t>i</m:t>
              </m:r>
            </m:sub>
          </m:sSub>
          <m:r>
            <m:rPr>
              <m:sty m:val="p"/>
            </m:rPr>
            <m:t>+</m:t>
          </m:r>
          <m:sSub>
            <m:e>
              <m:r>
                <m:t>α</m:t>
              </m:r>
            </m:e>
            <m:sub>
              <m:r>
                <m:t>t</m:t>
              </m:r>
            </m:sub>
          </m:sSub>
          <m:r>
            <m:rPr>
              <m:sty m:val="p"/>
            </m:rPr>
            <m:t>+</m:t>
          </m:r>
          <m:sSub>
            <m:e>
              <m:r>
                <m:t>β</m:t>
              </m:r>
            </m:e>
            <m:sub>
              <m:r>
                <m:t>1</m:t>
              </m:r>
            </m:sub>
          </m:sSub>
          <m:sSub>
            <m:e>
              <m:r>
                <m:t>T</m:t>
              </m:r>
            </m:e>
            <m:sub>
              <m:r>
                <m:t>i</m:t>
              </m:r>
            </m:sub>
          </m:sSub>
          <m:r>
            <m:rPr>
              <m:sty m:val="p"/>
            </m:rPr>
            <m:t>+</m:t>
          </m:r>
          <m:nary>
            <m:naryPr>
              <m:chr m:val="∑"/>
              <m:limLoc m:val="undOvr"/>
              <m:subHide m:val="0"/>
              <m:supHide m:val="0"/>
            </m:naryPr>
            <m:sub>
              <m:r>
                <m:t>j</m:t>
              </m:r>
              <m:r>
                <m:rPr>
                  <m:sty m:val="p"/>
                </m:rPr>
                <m:t>=</m:t>
              </m:r>
              <m:r>
                <m:t>2</m:t>
              </m:r>
            </m:sub>
            <m:sup>
              <m:r>
                <m:t>m</m:t>
              </m:r>
            </m:sup>
            <m:e>
              <m:d>
                <m:dPr>
                  <m:begChr m:val="("/>
                  <m:endChr m:val=")"/>
                  <m:sepChr m:val=""/>
                  <m:grow/>
                </m:dPr>
                <m:e>
                  <m:sSub>
                    <m:e>
                      <m:r>
                        <m:t>β</m:t>
                      </m:r>
                    </m:e>
                    <m:sub>
                      <m:r>
                        <m:t>j</m:t>
                      </m:r>
                    </m:sub>
                  </m:sSub>
                  <m:sSub>
                    <m:e>
                      <m:r>
                        <m:t>x</m:t>
                      </m:r>
                    </m:e>
                    <m:sub>
                      <m:r>
                        <m:t>j</m:t>
                      </m:r>
                    </m:sub>
                  </m:sSub>
                </m:e>
              </m:d>
            </m:e>
          </m:nary>
          <m:r>
            <m:rPr>
              <m:sty m:val="p"/>
            </m:rPr>
            <m:t>+</m:t>
          </m:r>
          <m:sSub>
            <m:e>
              <m:r>
                <m:t>u</m:t>
              </m:r>
            </m:e>
            <m:sub>
              <m:r>
                <m:t>i</m:t>
              </m:r>
              <m:r>
                <m:t>t</m:t>
              </m:r>
            </m:sub>
          </m:sSub>
        </m:oMath>
      </m:oMathPara>
    </w:p>
    <w:p>
      <w:pPr>
        <w:pStyle w:val="FirstParagraph"/>
      </w:pPr>
      <w:r>
        <w:t xml:space="preserve">where</w:t>
      </w:r>
      <w:r>
        <w:t xml:space="preserve"> </w:t>
      </w:r>
      <m:oMath>
        <m:sSub>
          <m:e>
            <m:r>
              <m:t>α</m:t>
            </m:r>
          </m:e>
          <m:sub>
            <m:r>
              <m:t>i</m:t>
            </m:r>
          </m:sub>
        </m:sSub>
      </m:oMath>
      <w:r>
        <w:t xml:space="preserve"> </w:t>
      </w:r>
      <w:r>
        <w:t xml:space="preserve">is a set of coefficients for province fixed effects and</w:t>
      </w:r>
      <w:r>
        <w:t xml:space="preserve"> </w:t>
      </w:r>
      <m:oMath>
        <m:sSub>
          <m:e>
            <m:r>
              <m:t>α</m:t>
            </m:r>
          </m:e>
          <m:sub>
            <m:r>
              <m:t>t</m:t>
            </m:r>
          </m:sub>
        </m:sSub>
      </m:oMath>
      <w:r>
        <w:t xml:space="preserve"> </w:t>
      </w:r>
      <w:r>
        <w:t xml:space="preserve">is a set of coefficients for period fixed effects (24 periods from January 2020 to December 2021).</w:t>
      </w:r>
      <w:r>
        <w:t xml:space="preserve"> </w:t>
      </w:r>
      <m:oMath>
        <m:acc>
          <m:accPr>
            <m:chr m:val="̂"/>
          </m:accPr>
          <m:e>
            <m:sSub>
              <m:e>
                <m:r>
                  <m:t>β</m:t>
                </m:r>
              </m:e>
              <m:sub>
                <m:r>
                  <m:t>1</m:t>
                </m:r>
              </m:sub>
            </m:sSub>
          </m:e>
        </m:acc>
      </m:oMath>
      <w:r>
        <w:t xml:space="preserve"> </w:t>
      </w:r>
      <w:r>
        <w:t xml:space="preserve">will be the point estimate for the two-way fixed effects (TWFE) difference-in-differences estimator, as the dummy variable</w:t>
      </w:r>
      <w:r>
        <w:t xml:space="preserve"> </w:t>
      </w:r>
      <m:oMath>
        <m:sSub>
          <m:e>
            <m:r>
              <m:t>T</m:t>
            </m:r>
          </m:e>
          <m:sub>
            <m:r>
              <m:t>i</m:t>
            </m:r>
          </m:sub>
        </m:sSub>
      </m:oMath>
      <w:r>
        <w:t xml:space="preserve"> </w:t>
      </w:r>
      <w:r>
        <w:t xml:space="preserve">will equal unity for provinces in the treatment group and period (treatment periods are from September to December 2021). Note that</w:t>
      </w:r>
      <w:r>
        <w:t xml:space="preserve"> </w:t>
      </w:r>
      <m:oMath>
        <m:sSub>
          <m:e>
            <m:r>
              <m:t>β</m:t>
            </m:r>
          </m:e>
          <m:sub>
            <m:r>
              <m:t>1</m:t>
            </m:r>
          </m:sub>
        </m:sSub>
      </m:oMath>
      <w:r>
        <w:t xml:space="preserve"> </w:t>
      </w:r>
      <w:r>
        <w:t xml:space="preserve">equals the coefficient of an interaction term between treatment period treatment group dummies, however, the interaction notation is not used here as introducing a treatment group dummy would induce perfect collinearity. In some of the models estimated, the period dummies are dropped and month fixed effects are included instead as a robustness check. Finally, the</w:t>
      </w:r>
      <w:r>
        <w:t xml:space="preserve"> </w:t>
      </w:r>
      <m:oMath>
        <m:sSub>
          <m:e>
            <m:r>
              <m:t>β</m:t>
            </m:r>
          </m:e>
          <m:sub>
            <m:r>
              <m:t>j</m:t>
            </m:r>
          </m:sub>
        </m:sSub>
      </m:oMath>
      <w:r>
        <w:t xml:space="preserve"> </w:t>
      </w:r>
      <w:r>
        <w:t xml:space="preserve">will be the coefficients on time-varying variables which may affect business creation across the groups. All models estimated will be reported with two-way clustering at the province and month level. Wild bootstrap tests</w:t>
      </w:r>
      <w:r>
        <w:t xml:space="preserve"> </w:t>
      </w:r>
      <w:r>
        <w:t xml:space="preserve">(</w:t>
      </w:r>
      <w:hyperlink w:anchor="ref-Roodman.2019">
        <w:r>
          <w:rPr>
            <w:rStyle w:val="Hyperlink"/>
          </w:rPr>
          <w:t xml:space="preserve">Roodman et al., 2019</w:t>
        </w:r>
      </w:hyperlink>
      <w:r>
        <w:t xml:space="preserve">)</w:t>
      </w:r>
      <w:r>
        <w:t xml:space="preserve"> </w:t>
      </w:r>
      <w:r>
        <w:t xml:space="preserve">are done on the DiD estimates to verify their significance.</w:t>
      </w:r>
    </w:p>
    <w:p>
      <w:pPr>
        <w:pStyle w:val="BodyText"/>
      </w:pPr>
      <w:r>
        <w:t xml:space="preserve">Two dependent variables are considered. The first one is total business creation, which is equal to the number of businesses created in the SCVS system in any given month and province. The second is non-SAS business creation. This difference is considered because in February 28th, 2020 a new kind of company</w:t>
      </w:r>
      <w:r>
        <w:t xml:space="preserve"> </w:t>
      </w:r>
      <w:r>
        <w:rPr>
          <w:iCs/>
          <w:i/>
        </w:rPr>
        <w:t xml:space="preserve">Sociedad de Acciones Simplificada</w:t>
      </w:r>
      <w:r>
        <w:t xml:space="preserve"> </w:t>
      </w:r>
      <w:r>
        <w:t xml:space="preserve">(SAS) was introduced to the Ecuadorian legislation, and as of May of that year it was possible to create this kind of company. This chance in legislation prompted the swift creation of SAS businesses as the process of creation was considerably easier, faster and chepaer than creating the usual PLC and LLC companies</w:t>
      </w:r>
      <w:r>
        <w:t xml:space="preserve"> </w:t>
      </w:r>
      <w:r>
        <w:t xml:space="preserve">Hanze (</w:t>
      </w:r>
      <w:hyperlink w:anchor="ref-Hanze.2020">
        <w:r>
          <w:rPr>
            <w:rStyle w:val="Hyperlink"/>
          </w:rPr>
          <w:t xml:space="preserve">2020</w:t>
        </w:r>
      </w:hyperlink>
      <w:r>
        <w:t xml:space="preserve">)</w:t>
      </w:r>
      <w:r>
        <w:t xml:space="preserve">. It is adequate to believe that this shock may become a confounder in the identification strategy since Ecuador has been determined to be an entrepreneur-propense country in the region but with a considerable number of informal companies and entry costs</w:t>
      </w:r>
      <w:r>
        <w:t xml:space="preserve"> </w:t>
      </w:r>
      <w:r>
        <w:t xml:space="preserve">(</w:t>
      </w:r>
      <w:hyperlink w:anchor="ref-Hora.2021">
        <w:r>
          <w:rPr>
            <w:rStyle w:val="Hyperlink"/>
          </w:rPr>
          <w:t xml:space="preserve">La Hora, 2021</w:t>
        </w:r>
      </w:hyperlink>
      <w:r>
        <w:t xml:space="preserve">)</w:t>
      </w:r>
      <w:r>
        <w:t xml:space="preserve">. Additionally, it has been already determined through the SCVS data that after a year of the introduction of the SAS, there was a considerable increase in business creation, especially in Quito and Guayaquil</w:t>
      </w:r>
      <w:r>
        <w:t xml:space="preserve"> </w:t>
      </w:r>
      <w:r>
        <w:t xml:space="preserve">(</w:t>
      </w:r>
      <w:hyperlink w:anchor="ref-Franco.2021">
        <w:r>
          <w:rPr>
            <w:rStyle w:val="Hyperlink"/>
          </w:rPr>
          <w:t xml:space="preserve">Franco, 2021</w:t>
        </w:r>
      </w:hyperlink>
      <w:r>
        <w:t xml:space="preserve">)</w:t>
      </w:r>
      <w:r>
        <w:t xml:space="preserve">.</w:t>
      </w:r>
    </w:p>
    <w:p>
      <w:pPr>
        <w:pStyle w:val="BodyText"/>
      </w:pPr>
      <w:r>
        <w:t xml:space="preserve">Given that the treatment variable implies some sort of vaccine hesitancy among the population of the treated provinces, it would be expected that the TWFE DiD estimator is statistically significant and negative if the hypothesis from the Introduction section holds. This is because after a shock in which the pandemic worsens which induces health concerns among consumers, provinces with more vaccine-hesitant populations see less business creation than provinces with less vaccine hesitant populations. The following section reviews the results of the regressions run to estimate the explained models.</w:t>
      </w:r>
    </w:p>
    <w:bookmarkEnd w:id="27"/>
    <w:bookmarkEnd w:id="28"/>
    <w:bookmarkStart w:id="37" w:name="results"/>
    <w:p>
      <w:pPr>
        <w:pStyle w:val="Heading1"/>
      </w:pPr>
      <w:r>
        <w:rPr>
          <w:rStyle w:val="SectionNumber"/>
        </w:rPr>
        <w:t xml:space="preserve">6</w:t>
      </w:r>
      <w:r>
        <w:tab/>
      </w:r>
      <w:r>
        <w:t xml:space="preserve">Results</w:t>
      </w:r>
    </w:p>
    <w:bookmarkStart w:id="29" w:name="model-results"/>
    <w:p>
      <w:pPr>
        <w:pStyle w:val="Heading2"/>
      </w:pPr>
      <w:r>
        <w:rPr>
          <w:rStyle w:val="SectionNumber"/>
        </w:rPr>
        <w:t xml:space="preserve">6.1</w:t>
      </w:r>
      <w:r>
        <w:tab/>
      </w:r>
      <w:r>
        <w:t xml:space="preserve">Model Results</w:t>
      </w:r>
    </w:p>
    <w:p>
      <w:pPr>
        <w:pStyle w:val="FirstParagraph"/>
      </w:pPr>
      <w:r>
        <w:t xml:space="preserve">The table above summarizes the estimation results. The Appendix shows results on wild bootstrap tests for the time trend controlled regressions and other models estimated later in the paper.</w:t>
      </w:r>
    </w:p>
    <w:p>
      <w:pPr>
        <w:pStyle w:val="BodyText"/>
      </w:pPr>
      <w:r>
        <w:t xml:space="preserve">Considering total business creation, it is found that the DiD estimate is negative and significant. In all models a smaller amount of total business creation is found in the treatment provinces in the treatment period. Model 2 considers interaction fixed-effects between month and province. With this control it is hoped that both time variant and invariant characteristics within a province are partialled-out from the DiD estimate. Models 3 and 4 consider some time-varying variables which do not affect the direction and statistical significance of the key parameter. It is determined that a one percentage point increase in the excess death rate is associated with an about 13% decrease in business creation. Other variables do not maintain a statistically significant relationship with total business creation. Model 5 accounts for a time trend to control for the possibility of divergent prior trends between treatment and control groups. The DiD estimate significantly increases its magnitude in absolute terms: a 49.5% decrease in business creation is associated with vaccine-hesitant provinces. The time trend is positive and significant. It is also found that an extra one robbery case is</w:t>
      </w:r>
      <w:r>
        <w:t xml:space="preserve"> </w:t>
      </w:r>
      <w:r>
        <w:t xml:space="preserve">associated with a 0.01% increase in business creation; this may demonstrate the possibility that provinces with higher economic activity are also more unsafe. Results of the DiD estimate on Models 3 and 5 are robust to the wild bootstrap test as seen in the Appendix.</w:t>
      </w:r>
    </w:p>
    <w:p>
      <w:pPr>
        <w:pStyle w:val="BodyText"/>
      </w:pPr>
      <w:r>
        <w:t xml:space="preserve">Models 6-10 follow the same progression as Models 1-5 but considering creation of non-SAS businesses. With this change, the DiD estimate is only statistically significant when controlling for province and month interaction terms and when controlling for time trend. However, the wild bootstrap test carried out on Model 8’s DiD estimate shows that the negative average treatment effect is indeed significant at the 95% confidence level. The wild bootstrap test also allow to say that the DiD estimate on Model 8 is statistically significant at the 90% confidence level. The excess death rate coefficient keeps its significance and magnitude except in the case of time-trend model, when a one percentage point increase in the rate is associated with a 22.2% decrease in business creation (non-SAS). The excess rate potentially illustrates two channels of causation between COVID-19 and deaths. The first one is actual COVID-19 deaths, whose official metric may be significantly misrreported, at least during the beginning of the pandemic</w:t>
      </w:r>
      <w:r>
        <w:t xml:space="preserve"> </w:t>
      </w:r>
      <w:r>
        <w:t xml:space="preserve">(</w:t>
      </w:r>
      <w:hyperlink w:anchor="ref-OrtizPrado.2020">
        <w:r>
          <w:rPr>
            <w:rStyle w:val="Hyperlink"/>
          </w:rPr>
          <w:t xml:space="preserve">Ortiz-Prado &amp; Fernández-Naranjo, 2020</w:t>
        </w:r>
      </w:hyperlink>
      <w:r>
        <w:t xml:space="preserve">)</w:t>
      </w:r>
      <w:r>
        <w:t xml:space="preserve">. The second one might be the deaths caused by the inability of health systems to cope with all health emergencies during the pandemic as they were saturated from COVID-19 cases. The health system in Ecuador had already been impacted from low government budget</w:t>
      </w:r>
      <w:r>
        <w:t xml:space="preserve"> </w:t>
      </w:r>
      <w:r>
        <w:t xml:space="preserve">(</w:t>
      </w:r>
      <w:hyperlink w:anchor="ref-Mena.nd">
        <w:r>
          <w:rPr>
            <w:rStyle w:val="Hyperlink"/>
          </w:rPr>
          <w:t xml:space="preserve">Mena, n.d.</w:t>
        </w:r>
      </w:hyperlink>
      <w:r>
        <w:t xml:space="preserve">)</w:t>
      </w:r>
      <w:r>
        <w:t xml:space="preserve">, which is why this channel of causation would be very significant. Whatever the relative importance these two channels may have on the excess death rate, the fact that the direction of the effect is consistently negative may mean that the partial effect of COVID-19 health impact is consistently detrimental for business creation in Ecuador.</w:t>
      </w:r>
    </w:p>
    <w:p>
      <w:pPr>
        <w:pStyle w:val="BodyText"/>
      </w:pPr>
      <w:r>
        <w:t xml:space="preserve">Additionally, the fact that in models which consider both total and non-SAS business creation the coefficient on vaccination rate is not statistically different from zero supports the idea that the treatment and control groups are well defined as they already capture the differences between real vaccine-hesitancy.</w:t>
      </w:r>
    </w:p>
    <w:p>
      <w:pPr>
        <w:pStyle w:val="BodyText"/>
      </w:pPr>
      <w:r>
        <w:t xml:space="preserve">The table above considers two robustness checks run on the models which account for time-trends in the previous table, for all two dependent variables used. Models 1-2 confirm that the results of Models 1-2 are robust to dropping the biggest two provinces: Pichincha and Guayas. Changes are seen in the coefficients of the regressors. The excess death rate effect is lost, most likely due to the fact that excess deaths have concentrated on those two provinces throughout the pandemic. Models 4-5 focus on an</w:t>
      </w:r>
      <w:r>
        <w:t xml:space="preserve"> </w:t>
      </w:r>
      <w:r>
        <w:t xml:space="preserve">“</w:t>
      </w:r>
      <w:r>
        <w:t xml:space="preserve">alternate</w:t>
      </w:r>
      <w:r>
        <w:t xml:space="preserve">”</w:t>
      </w:r>
      <w:r>
        <w:t xml:space="preserve"> </w:t>
      </w:r>
      <w:r>
        <w:t xml:space="preserve">treatment variable which equals 1 for treatment periods and only for province Pichincha. It would be expected that no effect is found with this artificial treatment, as confirmed by the results in the table. All results are also robust to the wild bootstrap test, as seen in the Appendix.</w:t>
      </w:r>
    </w:p>
    <w:bookmarkEnd w:id="29"/>
    <w:bookmarkStart w:id="36" w:name="justifying-parallel-trends"/>
    <w:p>
      <w:pPr>
        <w:pStyle w:val="Heading2"/>
      </w:pPr>
      <w:r>
        <w:rPr>
          <w:rStyle w:val="SectionNumber"/>
        </w:rPr>
        <w:t xml:space="preserve">6.2</w:t>
      </w:r>
      <w:r>
        <w:tab/>
      </w:r>
      <w:r>
        <w:t xml:space="preserve">Justifying Parallel Trends</w:t>
      </w:r>
    </w:p>
    <w:p>
      <w:pPr>
        <w:pStyle w:val="FirstParagraph"/>
      </w:pPr>
      <w:r>
        <w:drawing>
          <wp:inline>
            <wp:extent cx="5943600" cy="2971800"/>
            <wp:effectExtent b="0" l="0" r="0" t="0"/>
            <wp:docPr descr="Prior trends for the natural logarithm of total and non-SAS business creation" title="" id="31" name="Picture"/>
            <a:graphic>
              <a:graphicData uri="http://schemas.openxmlformats.org/drawingml/2006/picture">
                <pic:pic>
                  <pic:nvPicPr>
                    <pic:cNvPr descr="scvs_letter_files/figure-docx/graph-1.png" id="32"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The figure shows both the trends of the natural logarithm + 1 of total business creation and also of non-SAS business creation. Both graphs show business creation seems to move together between groups, specially in the case of total business creation, although for non-SAS business creation a three period lag can be determined in the spike which begins in late 2020.</w:t>
      </w:r>
    </w:p>
    <w:p>
      <w:pPr>
        <w:pStyle w:val="BodyText"/>
      </w:pPr>
      <w:r>
        <w:t xml:space="preserve">To further investigate the possibility of differential prior trends, the following regression is estimated, with pre-treatment data (periods 1-20)</w:t>
      </w:r>
    </w:p>
    <w:p>
      <w:pPr>
        <w:pStyle w:val="BodyText"/>
      </w:pPr>
      <m:oMathPara>
        <m:oMathParaPr>
          <m:jc m:val="center"/>
        </m:oMathParaPr>
        <m:oMath>
          <m:r>
            <m:t>l</m:t>
          </m:r>
          <m:r>
            <m:t>n</m:t>
          </m:r>
          <m:d>
            <m:dPr>
              <m:begChr m:val="("/>
              <m:endChr m:val=")"/>
              <m:sepChr m:val=""/>
              <m:grow/>
            </m:dPr>
            <m:e>
              <m:r>
                <m:t>b</m:t>
              </m:r>
              <m:sSub>
                <m:e>
                  <m:r>
                    <m:t>c</m:t>
                  </m:r>
                </m:e>
                <m:sub>
                  <m:r>
                    <m:t>i</m:t>
                  </m:r>
                  <m:r>
                    <m:t>t</m:t>
                  </m:r>
                </m:sub>
              </m:sSub>
            </m:e>
          </m:d>
          <m:r>
            <m:rPr>
              <m:sty m:val="p"/>
            </m:rPr>
            <m:t>=</m:t>
          </m:r>
          <m:sSub>
            <m:e>
              <m:r>
                <m:t>θ</m:t>
              </m:r>
            </m:e>
            <m:sub>
              <m:r>
                <m:t>i</m:t>
              </m:r>
            </m:sub>
          </m:sSub>
          <m:r>
            <m:rPr>
              <m:sty m:val="p"/>
            </m:rPr>
            <m:t>+</m:t>
          </m:r>
          <m:sSub>
            <m:e>
              <m:r>
                <m:t>θ</m:t>
              </m:r>
            </m:e>
            <m:sub>
              <m:r>
                <m:t>t</m:t>
              </m:r>
            </m:sub>
          </m:sSub>
          <m:r>
            <m:rPr>
              <m:sty m:val="p"/>
            </m:rPr>
            <m:t>+</m:t>
          </m:r>
          <m:sSub>
            <m:e>
              <m:r>
                <m:t>θ</m:t>
              </m:r>
            </m:e>
            <m:sub>
              <m:r>
                <m:t>k</m:t>
              </m:r>
            </m:sub>
          </m:sSub>
          <m:d>
            <m:dPr>
              <m:begChr m:val="("/>
              <m:endChr m:val=")"/>
              <m:sepChr m:val=""/>
              <m:grow/>
            </m:dPr>
            <m:e>
              <m:sSup>
                <m:e>
                  <m:r>
                    <m:t>t</m:t>
                  </m:r>
                </m:e>
                <m:sup>
                  <m:r>
                    <m:rPr>
                      <m:sty m:val="p"/>
                    </m:rPr>
                    <m:t>*</m:t>
                  </m:r>
                </m:sup>
              </m:sSup>
              <m:r>
                <m:rPr>
                  <m:sty m:val="p"/>
                </m:rPr>
                <m:t>⋅</m:t>
              </m:r>
              <m:sSub>
                <m:e>
                  <m:r>
                    <m:t>G</m:t>
                  </m:r>
                </m:e>
                <m:sub>
                  <m:r>
                    <m:t>i</m:t>
                  </m:r>
                </m:sub>
              </m:sSub>
            </m:e>
          </m:d>
          <m:r>
            <m:rPr>
              <m:sty m:val="p"/>
            </m:rPr>
            <m:t>+</m:t>
          </m:r>
          <m:nary>
            <m:naryPr>
              <m:chr m:val="∑"/>
              <m:limLoc m:val="undOvr"/>
              <m:subHide m:val="0"/>
              <m:supHide m:val="0"/>
            </m:naryPr>
            <m:sub>
              <m:r>
                <m:t>j</m:t>
              </m:r>
            </m:sub>
            <m:sup>
              <m:r>
                <m:t>m</m:t>
              </m:r>
            </m:sup>
            <m:e>
              <m:sSub>
                <m:e>
                  <m:r>
                    <m:t>β</m:t>
                  </m:r>
                </m:e>
                <m:sub>
                  <m:r>
                    <m:t>j</m:t>
                  </m:r>
                </m:sub>
              </m:sSub>
            </m:e>
          </m:nary>
          <m:r>
            <m:t>x</m:t>
          </m:r>
          <m:r>
            <m:rPr>
              <m:sty m:val="p"/>
            </m:rPr>
            <m:t>+</m:t>
          </m:r>
          <m:sSub>
            <m:e>
              <m:r>
                <m:t>ϵ</m:t>
              </m:r>
            </m:e>
            <m:sub>
              <m:r>
                <m:t>i</m:t>
              </m:r>
              <m:r>
                <m:t>t</m:t>
              </m:r>
            </m:sub>
          </m:sSub>
        </m:oMath>
      </m:oMathPara>
    </w:p>
    <w:p>
      <w:pPr>
        <w:pStyle w:val="FirstParagraph"/>
      </w:pPr>
      <w:r>
        <w:t xml:space="preserve">which considers province and period fixed effects, as well as coefficients</w:t>
      </w:r>
      <w:r>
        <w:t xml:space="preserve"> </w:t>
      </w:r>
      <m:oMath>
        <m:sSub>
          <m:e>
            <m:r>
              <m:t>β</m:t>
            </m:r>
          </m:e>
          <m:sub>
            <m:r>
              <m:t>j</m:t>
            </m:r>
          </m:sub>
        </m:sSub>
      </m:oMath>
      <w:r>
        <w:t xml:space="preserve"> </w:t>
      </w:r>
      <w:r>
        <w:t xml:space="preserve">for all time-varying controls as seen in previous models.</w:t>
      </w:r>
      <w:r>
        <w:t xml:space="preserve"> </w:t>
      </w:r>
      <m:oMath>
        <m:sSub>
          <m:e>
            <m:r>
              <m:t>G</m:t>
            </m:r>
          </m:e>
          <m:sub>
            <m:r>
              <m:t>i</m:t>
            </m:r>
          </m:sub>
        </m:sSub>
      </m:oMath>
      <w:r>
        <w:t xml:space="preserve"> </w:t>
      </w:r>
      <w:r>
        <w:t xml:space="preserve">is a dummy equal to unity when the observation belongs to a treatment group province. The key parameters for this test regressions are the</w:t>
      </w:r>
      <w:r>
        <w:t xml:space="preserve"> </w:t>
      </w:r>
      <m:oMath>
        <m:sSub>
          <m:e>
            <m:r>
              <m:t>θ</m:t>
            </m:r>
          </m:e>
          <m:sub>
            <m:r>
              <m:t>k</m:t>
            </m:r>
          </m:sub>
        </m:sSub>
      </m:oMath>
      <w:r>
        <w:t xml:space="preserve">, which should not be statistically significant if the prior trends are similar. The reference period for this regressions is set to one period before the shock, meaning the August 2021 period dummy and interaction with treatment group are not estimated. The coefficients on the treatment-period interactions are plotted in the graph below.</w:t>
      </w:r>
    </w:p>
    <w:p>
      <w:pPr>
        <w:pStyle w:val="BodyText"/>
      </w:pPr>
      <w:r>
        <w:drawing>
          <wp:inline>
            <wp:extent cx="5943600" cy="2971800"/>
            <wp:effectExtent b="0" l="0" r="0" t="0"/>
            <wp:docPr descr="Prior trends for the natural logarithm of total and non-SAS business creation" title="" id="34" name="Picture"/>
            <a:graphic>
              <a:graphicData uri="http://schemas.openxmlformats.org/drawingml/2006/picture">
                <pic:pic>
                  <pic:nvPicPr>
                    <pic:cNvPr descr="scvs_letter_files/figure-docx/graphs_test-1.png" id="35"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Results show that for total business creation there is a possibility for differential prior trends because of the earliest periods. The difference could be born from the changes caused by the pandemic onset in Ecuador in mid-March, but these results suggest the need to correct for differential prior trends by including a continuous time variable in the regressions, as it was done on some of the models that were shown in the previous section. For non-SAS business creation, two period-treatment interactions are marginally significant, November and June 2021. This makes the case for a better compliance of the parallel trends assumption in DiD models for the non-SAS business creation dependent variable. This further supports the idea that SAS company creation may be a significant confounder in causal inference for the effect of vaccination on economic recovery. With this information, it is sensible to believe that a better estimate of the average treatment effect can be found in the models that leave out SAS company creation.</w:t>
      </w:r>
    </w:p>
    <w:bookmarkEnd w:id="36"/>
    <w:bookmarkEnd w:id="37"/>
    <w:bookmarkStart w:id="38" w:name="conclusions"/>
    <w:p>
      <w:pPr>
        <w:pStyle w:val="Heading1"/>
      </w:pPr>
      <w:r>
        <w:rPr>
          <w:rStyle w:val="SectionNumber"/>
        </w:rPr>
        <w:t xml:space="preserve">7</w:t>
      </w:r>
      <w:r>
        <w:tab/>
      </w:r>
      <w:r>
        <w:t xml:space="preserve">Conclusions</w:t>
      </w:r>
    </w:p>
    <w:p>
      <w:pPr>
        <w:pStyle w:val="FirstParagraph"/>
      </w:pPr>
      <w:r>
        <w:t xml:space="preserve">This paper prompts a discussion focused on causality about the effect of vaccination on economic recovery. The COVID-19 pandemic significantly disrupted business activity, but hope for return to normality existed when several vaccines were approved for mass distribution. It would be thought that vaccines may reduce the aversion to health issues from consumers, considering that a full dose has been proven to be effective in significantly reducing chances of infection. However, the evidence found from empirical modelling in Ecuador between 2020-2021 does not allow to definitely accept a causal effect of vaccines in economic recovery existed in the country.</w:t>
      </w:r>
    </w:p>
    <w:p>
      <w:pPr>
        <w:pStyle w:val="BodyText"/>
      </w:pPr>
      <w:r>
        <w:t xml:space="preserve">Using total business creation data from the Ecuadorian Companies, Securities and Insurance Superintendency and a two-way fixed effects difference-in-differences estimator, some models found that provinces with populations that appear to be vaccine-hesitant saw less business creation after the Delta Variant shock in September 2021. Namely, an average treatment effect (ATE) of about -21.5% is estimated with a regression-based DiD design with time-varying controls. This result is significant at the 99% confidence level after a wild bootstrap test on the DiD coefficient. However, statistical testing suggest a possibility of differential prior-trends. To control this, a continuous time variable (trend) is added to the model. In this case, a -49.5% ATE is estimated. This result is statistically significant at the 95% level. However, this estimate must not be considered without reservation, as</w:t>
      </w:r>
      <w:r>
        <w:t xml:space="preserve"> </w:t>
      </w:r>
      <w:r>
        <w:t xml:space="preserve">Huntington-Klein (</w:t>
      </w:r>
      <w:hyperlink w:anchor="ref-HuntingtonKlein.2021">
        <w:r>
          <w:rPr>
            <w:rStyle w:val="Hyperlink"/>
          </w:rPr>
          <w:t xml:space="preserve">2021</w:t>
        </w:r>
      </w:hyperlink>
      <w:r>
        <w:t xml:space="preserve">)</w:t>
      </w:r>
      <w:r>
        <w:t xml:space="preserve"> </w:t>
      </w:r>
      <w:r>
        <w:t xml:space="preserve">suggests that controlling for time trend may bias the estimation.</w:t>
      </w:r>
    </w:p>
    <w:p>
      <w:pPr>
        <w:pStyle w:val="BodyText"/>
      </w:pPr>
      <w:r>
        <w:t xml:space="preserve">Lesser evidence of differential prior-trends is found with non-SAS business creation. The Simplified Shares Society (SAS) was introduced in Ecuador in mid 2020, so it is possible that total business creation is affected by noise caused by the spark in creation of SAS companies, which offered a less difficult legal constitution process. Using this variable in the modelling allows to determine a -25.8% ATE after controlling for time-varying factors. After controlling for time trends, the DiD estimate is -45.8%, significant at the 90% confidence level. All of these results are robust to dropping the two biggest provinces Pichincha and Guayaquil and switching Pichincha to the sole treatment variable.</w:t>
      </w:r>
    </w:p>
    <w:p>
      <w:pPr>
        <w:pStyle w:val="BodyText"/>
      </w:pPr>
      <w:r>
        <w:t xml:space="preserve">The most statistically reliable estimate is the one obtained from the regression of the natural log of non-SAS business creation. This means that for provinces which appear to be more vaccine-hesitant 25.8% less non-SAS business are created relative to provinces which are more open to be vaccinated. This finding stresses the importance of adequate mechanisms of vaccine distribution, given that speedy vaccination proccesses as the one implemented by the Lasso Administration seem to be positive for the economy. However, there might still be reason to believe the coefficient is biased upward. In principle, the fact that vaccine-hesitant provinces see less business creation might be due to the fact that they also see higher amounts of COVID-19 cases, and thus have stricter pandemic restrictions. There is no clear way of how to quantify the degree of restrictions in Ecuador at the province-level. Using Google Mobility Reports is not useful as it might purposely partial-out economic activity effects from the DiD coefficients. Additionally, it has been mentioned that it is not recommended to use this data for over six month analyses, as mobility trends might change and the January-February 2020 baselines are not useful for making comparisons</w:t>
      </w:r>
      <w:r>
        <w:t xml:space="preserve"> </w:t>
      </w:r>
      <w:r>
        <w:t xml:space="preserve">(</w:t>
      </w:r>
      <w:hyperlink w:anchor="ref-Google.nd">
        <w:r>
          <w:rPr>
            <w:rStyle w:val="Hyperlink"/>
          </w:rPr>
          <w:t xml:space="preserve">Google, n.d.</w:t>
        </w:r>
      </w:hyperlink>
      <w:r>
        <w:t xml:space="preserve">)</w:t>
      </w:r>
      <w:r>
        <w:t xml:space="preserve">. No other data which might measure mobility has been prepared for Ecuador, and even so it might still be difficult to believe the data is representative, as often pandemic measures might not be obeyed by all the population, with specific provinces behaving more recklessly than others [</w:t>
      </w:r>
      <w:r>
        <w:t xml:space="preserve">Salazar (</w:t>
      </w:r>
      <w:hyperlink w:anchor="ref-Salazar.2022">
        <w:r>
          <w:rPr>
            <w:rStyle w:val="Hyperlink"/>
          </w:rPr>
          <w:t xml:space="preserve">2022</w:t>
        </w:r>
      </w:hyperlink>
      <w:r>
        <w:t xml:space="preserve">)</w:t>
      </w:r>
      <w:r>
        <w:t xml:space="preserve">;</w:t>
      </w:r>
      <w:r>
        <w:t xml:space="preserve"> </w:t>
      </w:r>
      <w:r>
        <w:t xml:space="preserve">González (</w:t>
      </w:r>
      <w:hyperlink w:anchor="ref-Gonzalez.2021">
        <w:r>
          <w:rPr>
            <w:rStyle w:val="Hyperlink"/>
          </w:rPr>
          <w:t xml:space="preserve">2021</w:t>
        </w:r>
      </w:hyperlink>
      <w:r>
        <w:t xml:space="preserve">)</w:t>
      </w:r>
      <w:r>
        <w:t xml:space="preserve">).</w:t>
      </w:r>
    </w:p>
    <w:p>
      <w:pPr>
        <w:pStyle w:val="BodyText"/>
      </w:pPr>
      <w:r>
        <w:t xml:space="preserve">Further, given the possibility that there are differential prior trends (although small) and that time trend controls may not be useful for eliciting true causal effects, there would be a need to redesign the causal research framework, perhaps by selecting other kinds of treatment groups and/or shocks. The Omicron variant may pose as a stronger exogenous shock that can be investigated as a natural experiment, although the relatively mild symptoms it causes might not allow to see true diverging trends between treatment groups. As an alternative, analyzing greater time horizons and using multiple timing of treatments in the DiD design, depending on the availability of data. Using greater amounts of data and perhaps studying multiple countries in a same continent might be a good way to average out confounding effects such as the reduction of entry costs, such as the establishment of the SAS. The fact that removing SAS companies might also be evidence for the idea that in Ecuador formal business creation is driven by entry costs, which means that business creation may not accurately represent economic recovery. However, no other variables exist at the frequency and regional hierarchy that can proxy economic activity as well as business creation. While variations in job contract amounts and number of taxpayers in the IRS system might be used, these might pose problems of their own as measurement error or simultaneity with the explanatory variables. All in all, this paper makes an initial attempt at inferring causality using empirical research, and the findings seem to be in line with what is expected of the vaccination process in the health community as well as the findings by</w:t>
      </w:r>
      <w:r>
        <w:t xml:space="preserve"> </w:t>
      </w:r>
      <w:r>
        <w:t xml:space="preserve">Furceri et al. (</w:t>
      </w:r>
      <w:hyperlink w:anchor="ref-Furceri.2021">
        <w:r>
          <w:rPr>
            <w:rStyle w:val="Hyperlink"/>
          </w:rPr>
          <w:t xml:space="preserve">2021</w:t>
        </w:r>
      </w:hyperlink>
      <w:r>
        <w:t xml:space="preserve">)</w:t>
      </w:r>
      <w:r>
        <w:t xml:space="preserve">.</w:t>
      </w:r>
    </w:p>
    <w:bookmarkEnd w:id="38"/>
    <w:bookmarkStart w:id="39" w:name="appendix"/>
    <w:p>
      <w:pPr>
        <w:pStyle w:val="Heading1"/>
      </w:pPr>
      <w:r>
        <w:rPr>
          <w:rStyle w:val="SectionNumber"/>
        </w:rPr>
        <w:t xml:space="preserve">8</w:t>
      </w:r>
      <w:r>
        <w:tab/>
      </w:r>
      <w:r>
        <w:t xml:space="preserve">Appendix</w:t>
      </w:r>
    </w:p>
    <w:bookmarkEnd w:id="39"/>
    <w:bookmarkStart w:id="131" w:name="references"/>
    <w:p>
      <w:pPr>
        <w:pStyle w:val="Heading1"/>
      </w:pPr>
      <w:r>
        <w:t xml:space="preserve">References</w:t>
      </w:r>
    </w:p>
    <w:bookmarkStart w:id="130" w:name="refs"/>
    <w:bookmarkStart w:id="41" w:name="ref-BCE.2022"/>
    <w:p>
      <w:pPr>
        <w:pStyle w:val="Bibliography"/>
      </w:pPr>
      <w:r>
        <w:t xml:space="preserve">Banco Central del Ecuador. (2022).</w:t>
      </w:r>
      <w:r>
        <w:t xml:space="preserve"> </w:t>
      </w:r>
      <w:r>
        <w:rPr>
          <w:iCs/>
          <w:i/>
        </w:rPr>
        <w:t xml:space="preserve">La econom</w:t>
      </w:r>
      <w:r>
        <w:rPr>
          <w:iCs/>
          <w:i/>
        </w:rPr>
        <w:t xml:space="preserve">í</w:t>
      </w:r>
      <w:r>
        <w:rPr>
          <w:iCs/>
          <w:i/>
        </w:rPr>
        <w:t xml:space="preserve">a ecuatoriana creci</w:t>
      </w:r>
      <w:r>
        <w:rPr>
          <w:iCs/>
          <w:i/>
        </w:rPr>
        <w:t xml:space="preserve">ó</w:t>
      </w:r>
      <w:r>
        <w:rPr>
          <w:iCs/>
          <w:i/>
        </w:rPr>
        <w:t xml:space="preserve"> </w:t>
      </w:r>
      <w:r>
        <w:rPr>
          <w:iCs/>
          <w:i/>
        </w:rPr>
        <w:t xml:space="preserve">4,2</w:t>
      </w:r>
      <w:r>
        <w:rPr>
          <w:iCs/>
          <w:i/>
        </w:rPr>
        <w:t xml:space="preserve">%</w:t>
      </w:r>
      <w:r>
        <w:rPr>
          <w:iCs/>
          <w:i/>
        </w:rPr>
        <w:t xml:space="preserve"> </w:t>
      </w:r>
      <w:r>
        <w:rPr>
          <w:iCs/>
          <w:i/>
        </w:rPr>
        <w:t xml:space="preserve">en 2021, superando las previsiones de crecimiento m</w:t>
      </w:r>
      <w:r>
        <w:rPr>
          <w:iCs/>
          <w:i/>
        </w:rPr>
        <w:t xml:space="preserve">á</w:t>
      </w:r>
      <w:r>
        <w:rPr>
          <w:iCs/>
          <w:i/>
        </w:rPr>
        <w:t xml:space="preserve">s recientes</w:t>
      </w:r>
      <w:r>
        <w:t xml:space="preserve">.</w:t>
      </w:r>
      <w:r>
        <w:t xml:space="preserve"> </w:t>
      </w:r>
      <w:hyperlink r:id="rId40">
        <w:r>
          <w:rPr>
            <w:rStyle w:val="Hyperlink"/>
          </w:rPr>
          <w:t xml:space="preserve">https://www.bce.fin.ec/index.php/boletines-de-prensa-archivo/item/1482-la-economia-ecuatoriana-crecio-4-2-en-2021-superando-las-previsiones-de-crecimiento-mas-recientes</w:t>
        </w:r>
      </w:hyperlink>
    </w:p>
    <w:bookmarkEnd w:id="41"/>
    <w:bookmarkStart w:id="43" w:name="ref-Banerjee.2020"/>
    <w:p>
      <w:pPr>
        <w:pStyle w:val="Bibliography"/>
      </w:pPr>
      <w:r>
        <w:t xml:space="preserve">Banerjee, T., &amp; Nayak, A. (2020).</w:t>
      </w:r>
      <w:r>
        <w:t xml:space="preserve"> </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w:t>
      </w:r>
      <w:r>
        <w:t xml:space="preserve"> </w:t>
      </w:r>
      <w:r>
        <w:rPr>
          <w:iCs/>
          <w:i/>
        </w:rPr>
        <w:t xml:space="preserve">44</w:t>
      </w:r>
      <w:r>
        <w:t xml:space="preserve">, e90.</w:t>
      </w:r>
      <w:r>
        <w:t xml:space="preserve"> </w:t>
      </w:r>
      <w:hyperlink r:id="rId42">
        <w:r>
          <w:rPr>
            <w:rStyle w:val="Hyperlink"/>
          </w:rPr>
          <w:t xml:space="preserve">https://doi.org/10.26633/RPSP.2020.90</w:t>
        </w:r>
      </w:hyperlink>
    </w:p>
    <w:bookmarkEnd w:id="43"/>
    <w:bookmarkStart w:id="45" w:name="ref-Brik.2021"/>
    <w:p>
      <w:pPr>
        <w:pStyle w:val="Bibliography"/>
      </w:pPr>
      <w:r>
        <w:t xml:space="preserve">Brik, D. (2021).</w:t>
      </w:r>
      <w:r>
        <w:t xml:space="preserve"> </w:t>
      </w:r>
      <w:r>
        <w:rPr>
          <w:iCs/>
          <w:i/>
        </w:rPr>
        <w:t xml:space="preserve">Lasso ante el reto de impulsar las vacunas y reactivar la econom</w:t>
      </w:r>
      <w:r>
        <w:rPr>
          <w:iCs/>
          <w:i/>
        </w:rPr>
        <w:t xml:space="preserve">í</w:t>
      </w:r>
      <w:r>
        <w:rPr>
          <w:iCs/>
          <w:i/>
        </w:rPr>
        <w:t xml:space="preserve">a en Ecuador</w:t>
      </w:r>
      <w:r>
        <w:t xml:space="preserve">.</w:t>
      </w:r>
      <w:r>
        <w:t xml:space="preserve"> </w:t>
      </w:r>
      <w:hyperlink r:id="rId44">
        <w:r>
          <w:rPr>
            <w:rStyle w:val="Hyperlink"/>
          </w:rPr>
          <w:t xml:space="preserve">https://www.swissinfo.ch/spa/ecuador-investidura--an%C3%A1lisis-_lasso-ante-el-reto-de-impulsar-las-vacunas-y-reactivar-la-econom%C3%ADa-en-ecuador/46641098</w:t>
        </w:r>
      </w:hyperlink>
    </w:p>
    <w:bookmarkEnd w:id="45"/>
    <w:bookmarkStart w:id="47" w:name="ref-Brodeur.2021"/>
    <w:p>
      <w:pPr>
        <w:pStyle w:val="Bibliography"/>
      </w:pPr>
      <w:r>
        <w:t xml:space="preserve">Brodeur, A., Gray, D., Islam, A., &amp; Bhuiyan, S. (2021).</w:t>
      </w:r>
      <w:r>
        <w:t xml:space="preserve"> </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46">
        <w:r>
          <w:rPr>
            <w:rStyle w:val="Hyperlink"/>
          </w:rPr>
          <w:t xml:space="preserve">https://doi.org/10.1111/joes.12423</w:t>
        </w:r>
      </w:hyperlink>
    </w:p>
    <w:bookmarkEnd w:id="47"/>
    <w:bookmarkStart w:id="49" w:name="ref-Chen.2021"/>
    <w:p>
      <w:pPr>
        <w:pStyle w:val="Bibliography"/>
      </w:pPr>
      <w:r>
        <w:t xml:space="preserve">Chen, M., Yuan, Y., Zhou, Y., Deng, Z., Zhao, J., Feng, F., Zou, H., &amp; Sun, C. (2021).</w:t>
      </w:r>
      <w:r>
        <w:t xml:space="preserve"> </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w:t>
      </w:r>
      <w:r>
        <w:t xml:space="preserve"> </w:t>
      </w:r>
      <w:r>
        <w:rPr>
          <w:iCs/>
          <w:i/>
        </w:rPr>
        <w:t xml:space="preserve">10</w:t>
      </w:r>
      <w:r>
        <w:t xml:space="preserve">(1), 94.</w:t>
      </w:r>
      <w:r>
        <w:t xml:space="preserve"> </w:t>
      </w:r>
      <w:hyperlink r:id="rId48">
        <w:r>
          <w:rPr>
            <w:rStyle w:val="Hyperlink"/>
          </w:rPr>
          <w:t xml:space="preserve">https://doi.org/10.1186/s40249-021-00878-5</w:t>
        </w:r>
      </w:hyperlink>
    </w:p>
    <w:bookmarkEnd w:id="49"/>
    <w:bookmarkStart w:id="50" w:name="ref-MarketWatch.2022"/>
    <w:p>
      <w:pPr>
        <w:pStyle w:val="Bibliography"/>
      </w:pPr>
      <w:r>
        <w:rPr>
          <w:iCs/>
          <w:i/>
        </w:rPr>
        <w:t xml:space="preserve">Crude Oil WTI Price</w:t>
      </w:r>
      <w:r>
        <w:t xml:space="preserve">. (2022).</w:t>
      </w:r>
    </w:p>
    <w:bookmarkEnd w:id="50"/>
    <w:bookmarkStart w:id="52" w:name="ref-Deb.2021"/>
    <w:p>
      <w:pPr>
        <w:pStyle w:val="Bibliography"/>
      </w:pPr>
      <w:r>
        <w:t xml:space="preserve">Deb, P., Furceri, D., Jimenez, D., Kothari, Siddhart, Ostry, J. D., &amp; Tawk, N. (2021).</w:t>
      </w:r>
      <w:r>
        <w:t xml:space="preserve"> </w:t>
      </w:r>
      <w:r>
        <w:rPr>
          <w:iCs/>
          <w:i/>
        </w:rPr>
        <w:t xml:space="preserve">Determinants of COVID-19 Vaccine Rollouts and Their Effects on Health Outcomes: WP/21/247: International Monetary Fund Working Papers</w:t>
      </w:r>
      <w:r>
        <w:t xml:space="preserve">.</w:t>
      </w:r>
      <w:r>
        <w:t xml:space="preserve"> </w:t>
      </w:r>
      <w:r>
        <w:t xml:space="preserve">International Monetary Fund</w:t>
      </w:r>
      <w:r>
        <w:t xml:space="preserve">.</w:t>
      </w:r>
      <w:r>
        <w:t xml:space="preserve"> </w:t>
      </w:r>
      <w:hyperlink r:id="rId51">
        <w:r>
          <w:rPr>
            <w:rStyle w:val="Hyperlink"/>
          </w:rPr>
          <w:t xml:space="preserve">https://www.imf.org/-/media/Files/Publications/WP/2021/English/wpiea2021247-print-pdf.ashx</w:t>
        </w:r>
      </w:hyperlink>
    </w:p>
    <w:bookmarkEnd w:id="52"/>
    <w:bookmarkStart w:id="54" w:name="ref-Deb.2022"/>
    <w:p>
      <w:pPr>
        <w:pStyle w:val="Bibliography"/>
      </w:pPr>
      <w:r>
        <w:t xml:space="preserve">Deb, P., Furceri, D., Ostry, J. D., &amp; Tawk, N. (2022).</w:t>
      </w:r>
      <w:r>
        <w:t xml:space="preserve"> </w:t>
      </w:r>
      <w:r>
        <w:t xml:space="preserve">The Economic Effects of COVID-19 Containment Measures</w:t>
      </w:r>
      <w:r>
        <w:t xml:space="preserve">.</w:t>
      </w:r>
      <w:r>
        <w:t xml:space="preserve"> </w:t>
      </w:r>
      <w:r>
        <w:rPr>
          <w:iCs/>
          <w:i/>
        </w:rPr>
        <w:t xml:space="preserve">Open Economies Review</w:t>
      </w:r>
      <w:r>
        <w:t xml:space="preserve">,</w:t>
      </w:r>
      <w:r>
        <w:t xml:space="preserve"> </w:t>
      </w:r>
      <w:r>
        <w:rPr>
          <w:iCs/>
          <w:i/>
        </w:rPr>
        <w:t xml:space="preserve">33</w:t>
      </w:r>
      <w:r>
        <w:t xml:space="preserve">(1), 1–32.</w:t>
      </w:r>
      <w:r>
        <w:t xml:space="preserve"> </w:t>
      </w:r>
      <w:hyperlink r:id="rId53">
        <w:r>
          <w:rPr>
            <w:rStyle w:val="Hyperlink"/>
          </w:rPr>
          <w:t xml:space="preserve">https://doi.org/10.1007/s11079-021-09638-2</w:t>
        </w:r>
      </w:hyperlink>
    </w:p>
    <w:bookmarkEnd w:id="54"/>
    <w:bookmarkStart w:id="56" w:name="ref-Franco.2021"/>
    <w:p>
      <w:pPr>
        <w:pStyle w:val="Bibliography"/>
      </w:pPr>
      <w:r>
        <w:t xml:space="preserve">Franco, P. T. (2021).</w:t>
      </w:r>
      <w:r>
        <w:t xml:space="preserve"> </w:t>
      </w:r>
      <w:r>
        <w:rPr>
          <w:iCs/>
          <w:i/>
        </w:rPr>
        <w:t xml:space="preserve">Compa</w:t>
      </w:r>
      <w:r>
        <w:rPr>
          <w:iCs/>
          <w:i/>
        </w:rPr>
        <w:t xml:space="preserve">ñ</w:t>
      </w:r>
      <w:r>
        <w:rPr>
          <w:iCs/>
          <w:i/>
        </w:rPr>
        <w:t xml:space="preserve">í</w:t>
      </w:r>
      <w:r>
        <w:rPr>
          <w:iCs/>
          <w:i/>
        </w:rPr>
        <w:t xml:space="preserve">as por Acciones Simplificadas (SAS) cumplen un a</w:t>
      </w:r>
      <w:r>
        <w:rPr>
          <w:iCs/>
          <w:i/>
        </w:rPr>
        <w:t xml:space="preserve">ñ</w:t>
      </w:r>
      <w:r>
        <w:rPr>
          <w:iCs/>
          <w:i/>
        </w:rPr>
        <w:t xml:space="preserve">o con 7.700 empresas creadas</w:t>
      </w:r>
      <w:r>
        <w:t xml:space="preserve">.</w:t>
      </w:r>
      <w:r>
        <w:t xml:space="preserve"> </w:t>
      </w:r>
      <w:hyperlink r:id="rId55">
        <w:r>
          <w:rPr>
            <w:rStyle w:val="Hyperlink"/>
          </w:rPr>
          <w:t xml:space="preserve">https://www.eluniverso.com/noticias/economia/companias-por-acciones-simplificadas-sas-cumplen-ano-con-7700-empresas-creadas-nota/</w:t>
        </w:r>
      </w:hyperlink>
    </w:p>
    <w:bookmarkEnd w:id="56"/>
    <w:bookmarkStart w:id="58" w:name="ref-Furceri.2021"/>
    <w:p>
      <w:pPr>
        <w:pStyle w:val="Bibliography"/>
      </w:pPr>
      <w:r>
        <w:t xml:space="preserve">Furceri, D., Deb, P., Kothari, S., Tawk, N., Jimenez, D., &amp; Ostry, J. D. (2021).</w:t>
      </w:r>
      <w:r>
        <w:t xml:space="preserve"> </w:t>
      </w:r>
      <w:r>
        <w:rPr>
          <w:iCs/>
          <w:i/>
        </w:rPr>
        <w:t xml:space="preserve">The Effects of COVID-19 Vaccines on Economic Activity: International Monetary Fund Working Paper Series</w:t>
      </w:r>
      <w:r>
        <w:t xml:space="preserve"> </w:t>
      </w:r>
      <w:r>
        <w:t xml:space="preserve">(Vols. WP/21, 248).</w:t>
      </w:r>
      <w:r>
        <w:t xml:space="preserve"> </w:t>
      </w:r>
      <w:r>
        <w:t xml:space="preserve">International Monetary Fund</w:t>
      </w:r>
      <w:r>
        <w:t xml:space="preserve">;</w:t>
      </w:r>
      <w:r>
        <w:t xml:space="preserve"> </w:t>
      </w:r>
      <w:r>
        <w:t xml:space="preserve">International Monetary Fund</w:t>
      </w:r>
      <w:r>
        <w:t xml:space="preserve">.</w:t>
      </w:r>
      <w:r>
        <w:t xml:space="preserve"> </w:t>
      </w:r>
      <w:hyperlink r:id="rId57">
        <w:r>
          <w:rPr>
            <w:rStyle w:val="Hyperlink"/>
          </w:rPr>
          <w:t xml:space="preserve">https://doi.org/10.5089/9781589063761.001</w:t>
        </w:r>
      </w:hyperlink>
    </w:p>
    <w:bookmarkEnd w:id="58"/>
    <w:bookmarkStart w:id="60" w:name="ref-Gonzalez.2021"/>
    <w:p>
      <w:pPr>
        <w:pStyle w:val="Bibliography"/>
      </w:pPr>
      <w:r>
        <w:t xml:space="preserve">González, J. (2021).</w:t>
      </w:r>
      <w:r>
        <w:t xml:space="preserve"> </w:t>
      </w:r>
      <w:r>
        <w:rPr>
          <w:iCs/>
          <w:i/>
        </w:rPr>
        <w:t xml:space="preserve">En Guayaquil y Quito hubo m</w:t>
      </w:r>
      <w:r>
        <w:rPr>
          <w:iCs/>
          <w:i/>
        </w:rPr>
        <w:t xml:space="preserve">á</w:t>
      </w:r>
      <w:r>
        <w:rPr>
          <w:iCs/>
          <w:i/>
        </w:rPr>
        <w:t xml:space="preserve">s aglomeraciones en feriado de Navidad, seg</w:t>
      </w:r>
      <w:r>
        <w:rPr>
          <w:iCs/>
          <w:i/>
        </w:rPr>
        <w:t xml:space="preserve">ú</w:t>
      </w:r>
      <w:r>
        <w:rPr>
          <w:iCs/>
          <w:i/>
        </w:rPr>
        <w:t xml:space="preserve">n balance gubernamental</w:t>
      </w:r>
      <w:r>
        <w:t xml:space="preserve">.</w:t>
      </w:r>
      <w:r>
        <w:t xml:space="preserve"> </w:t>
      </w:r>
      <w:hyperlink r:id="rId59">
        <w:r>
          <w:rPr>
            <w:rStyle w:val="Hyperlink"/>
          </w:rPr>
          <w:t xml:space="preserve">https://www.eluniverso.com/noticias/ecuador/en-las-dos-principales-ciudades-de-pais-quito-y-guayaquil-hubo-mas-aglomeraciones-en-el-feriado-de-navidad-nota/</w:t>
        </w:r>
      </w:hyperlink>
    </w:p>
    <w:bookmarkEnd w:id="60"/>
    <w:bookmarkStart w:id="62" w:name="ref-Google.nd"/>
    <w:p>
      <w:pPr>
        <w:pStyle w:val="Bibliography"/>
      </w:pPr>
      <w:r>
        <w:t xml:space="preserve">Google. (n.d.).</w:t>
      </w:r>
      <w:r>
        <w:t xml:space="preserve"> </w:t>
      </w:r>
      <w:r>
        <w:rPr>
          <w:iCs/>
          <w:i/>
        </w:rPr>
        <w:t xml:space="preserve">Community Mobility Reports Help</w:t>
      </w:r>
      <w:r>
        <w:t xml:space="preserve">.</w:t>
      </w:r>
      <w:r>
        <w:t xml:space="preserve"> </w:t>
      </w:r>
      <w:hyperlink r:id="rId61">
        <w:r>
          <w:rPr>
            <w:rStyle w:val="Hyperlink"/>
          </w:rPr>
          <w:t xml:space="preserve">https://support.google.com/covid19-mobility/answer/9825414?hl=en&amp;ref_topic=9822927</w:t>
        </w:r>
      </w:hyperlink>
    </w:p>
    <w:bookmarkEnd w:id="62"/>
    <w:bookmarkStart w:id="64" w:name="ref-Gortaire.2020"/>
    <w:p>
      <w:pPr>
        <w:pStyle w:val="Bibliography"/>
      </w:pPr>
      <w:r>
        <w:t xml:space="preserve">Gortaire, J. A. (2020).</w:t>
      </w:r>
      <w:r>
        <w:t xml:space="preserve"> </w:t>
      </w:r>
      <w:r>
        <w:rPr>
          <w:iCs/>
          <w:i/>
        </w:rPr>
        <w:t xml:space="preserve">Las</w:t>
      </w:r>
      <w:r>
        <w:rPr>
          <w:iCs/>
          <w:i/>
        </w:rPr>
        <w:t xml:space="preserve"> </w:t>
      </w:r>
      <w:r>
        <w:rPr>
          <w:iCs/>
          <w:i/>
        </w:rPr>
        <w:t xml:space="preserve">“Sociedades por Acciones Simplificadas”</w:t>
      </w:r>
      <w:r>
        <w:rPr>
          <w:iCs/>
          <w:i/>
        </w:rPr>
        <w:t xml:space="preserve"> </w:t>
      </w:r>
      <w:r>
        <w:rPr>
          <w:iCs/>
          <w:i/>
        </w:rPr>
        <w:t xml:space="preserve">en Ecuador</w:t>
      </w:r>
      <w:r>
        <w:t xml:space="preserve">.</w:t>
      </w:r>
      <w:r>
        <w:t xml:space="preserve"> </w:t>
      </w:r>
      <w:hyperlink r:id="rId63">
        <w:r>
          <w:rPr>
            <w:rStyle w:val="Hyperlink"/>
          </w:rPr>
          <w:t xml:space="preserve">https://www.ekosnegocios.com/articulo/las-sociedades-por-acciones-simplificadas-en-ecuador</w:t>
        </w:r>
      </w:hyperlink>
    </w:p>
    <w:bookmarkEnd w:id="64"/>
    <w:bookmarkStart w:id="66" w:name="ref-Hanze.2020"/>
    <w:p>
      <w:pPr>
        <w:pStyle w:val="Bibliography"/>
      </w:pPr>
      <w:r>
        <w:t xml:space="preserve">Hanze, A. &amp;. A. (2020).</w:t>
      </w:r>
      <w:r>
        <w:t xml:space="preserve"> </w:t>
      </w:r>
      <w:r>
        <w:rPr>
          <w:iCs/>
          <w:i/>
        </w:rPr>
        <w:t xml:space="preserve">La Sociedad por Acciones Simplificada (SAS): ?‘una herramienta efectiva? - Hanze | Alvear</w:t>
      </w:r>
      <w:r>
        <w:rPr>
          <w:iCs/>
          <w:i/>
        </w:rPr>
        <w:t xml:space="preserve"> </w:t>
      </w:r>
      <w:r>
        <w:rPr>
          <w:iCs/>
          <w:i/>
        </w:rPr>
        <w:t xml:space="preserve">&amp;</w:t>
      </w:r>
      <w:r>
        <w:rPr>
          <w:iCs/>
          <w:i/>
        </w:rPr>
        <w:t xml:space="preserve"> </w:t>
      </w:r>
      <w:r>
        <w:rPr>
          <w:iCs/>
          <w:i/>
        </w:rPr>
        <w:t xml:space="preserve">Asociados</w:t>
      </w:r>
      <w:r>
        <w:t xml:space="preserve">.</w:t>
      </w:r>
      <w:r>
        <w:t xml:space="preserve"> </w:t>
      </w:r>
      <w:hyperlink r:id="rId65">
        <w:r>
          <w:rPr>
            <w:rStyle w:val="Hyperlink"/>
          </w:rPr>
          <w:t xml:space="preserve">https://hanze-alvear.com/la-sociedad-por-acciones-simplificada-sas-una-herramienta-efectiva/</w:t>
        </w:r>
      </w:hyperlink>
    </w:p>
    <w:bookmarkEnd w:id="66"/>
    <w:bookmarkStart w:id="68" w:name="ref-Heredia.2021"/>
    <w:p>
      <w:pPr>
        <w:pStyle w:val="Bibliography"/>
      </w:pPr>
      <w:r>
        <w:t xml:space="preserve">Heredia, V. (2021).</w:t>
      </w:r>
      <w:r>
        <w:t xml:space="preserve"> </w:t>
      </w:r>
      <w:r>
        <w:rPr>
          <w:iCs/>
          <w:i/>
        </w:rPr>
        <w:t xml:space="preserve">Delta es la variante que predomina en Ecuador</w:t>
      </w:r>
      <w:r>
        <w:t xml:space="preserve">.</w:t>
      </w:r>
      <w:r>
        <w:t xml:space="preserve"> </w:t>
      </w:r>
      <w:hyperlink r:id="rId67">
        <w:r>
          <w:rPr>
            <w:rStyle w:val="Hyperlink"/>
          </w:rPr>
          <w:t xml:space="preserve">https://www.elcomercio.com/tendencias/sociedad/delta-variantes-ecuador-coronavirus-pandemia.html</w:t>
        </w:r>
      </w:hyperlink>
    </w:p>
    <w:bookmarkEnd w:id="68"/>
    <w:bookmarkStart w:id="70" w:name="ref-HuntingtonKlein.2021"/>
    <w:p>
      <w:pPr>
        <w:pStyle w:val="Bibliography"/>
      </w:pPr>
      <w:r>
        <w:t xml:space="preserve">Huntington-Klein, N. (2021).</w:t>
      </w:r>
      <w:r>
        <w:t xml:space="preserve"> </w:t>
      </w:r>
      <w:r>
        <w:rPr>
          <w:iCs/>
          <w:i/>
        </w:rPr>
        <w:t xml:space="preserve">The Effect: An Introduction to Research Design and Causality</w:t>
      </w:r>
      <w:r>
        <w:t xml:space="preserve"> </w:t>
      </w:r>
      <w:r>
        <w:t xml:space="preserve">(1st ed.).</w:t>
      </w:r>
      <w:r>
        <w:t xml:space="preserve"> </w:t>
      </w:r>
      <w:r>
        <w:t xml:space="preserve">Chapman</w:t>
      </w:r>
      <w:r>
        <w:t xml:space="preserve"> </w:t>
      </w:r>
      <w:r>
        <w:t xml:space="preserve">&amp;</w:t>
      </w:r>
      <w:r>
        <w:t xml:space="preserve"> </w:t>
      </w:r>
      <w:r>
        <w:t xml:space="preserve">Hall/CRC</w:t>
      </w:r>
      <w:r>
        <w:t xml:space="preserve">.</w:t>
      </w:r>
      <w:r>
        <w:t xml:space="preserve"> </w:t>
      </w:r>
      <w:hyperlink r:id="rId69">
        <w:r>
          <w:rPr>
            <w:rStyle w:val="Hyperlink"/>
          </w:rPr>
          <w:t xml:space="preserve">https://theeffectbook.net/</w:t>
        </w:r>
      </w:hyperlink>
    </w:p>
    <w:bookmarkEnd w:id="70"/>
    <w:bookmarkStart w:id="72" w:name="ref-Hurtado.2021"/>
    <w:p>
      <w:pPr>
        <w:pStyle w:val="Bibliography"/>
      </w:pPr>
      <w:r>
        <w:t xml:space="preserve">Hurtado, S. (2021).</w:t>
      </w:r>
      <w:r>
        <w:t xml:space="preserve"> </w:t>
      </w:r>
      <w:r>
        <w:rPr>
          <w:iCs/>
          <w:i/>
        </w:rPr>
        <w:t xml:space="preserve">The Ups and Downs of Guillermo Lasso</w:t>
      </w:r>
      <w:r>
        <w:t xml:space="preserve">.</w:t>
      </w:r>
      <w:r>
        <w:t xml:space="preserve"> </w:t>
      </w:r>
      <w:hyperlink r:id="rId71">
        <w:r>
          <w:rPr>
            <w:rStyle w:val="Hyperlink"/>
          </w:rPr>
          <w:t xml:space="preserve">https://americasquarterly.org/article/the-ups-and-downs-of-guillermo-lasso/</w:t>
        </w:r>
      </w:hyperlink>
    </w:p>
    <w:bookmarkEnd w:id="72"/>
    <w:bookmarkStart w:id="74" w:name="ref-IMF.Oct2020.Art"/>
    <w:p>
      <w:pPr>
        <w:pStyle w:val="Bibliography"/>
      </w:pPr>
      <w:r>
        <w:t xml:space="preserve">International Monetary Fund. (2020a).</w:t>
      </w:r>
      <w:r>
        <w:t xml:space="preserve"> </w:t>
      </w:r>
      <w:r>
        <w:rPr>
          <w:iCs/>
          <w:i/>
        </w:rPr>
        <w:t xml:space="preserve">Ayudar al Ecuador a enfrentar la pandemia</w:t>
      </w:r>
      <w:r>
        <w:t xml:space="preserve">.</w:t>
      </w:r>
      <w:r>
        <w:t xml:space="preserve"> </w:t>
      </w:r>
      <w:hyperlink r:id="rId73">
        <w:r>
          <w:rPr>
            <w:rStyle w:val="Hyperlink"/>
          </w:rPr>
          <w:t xml:space="preserve">https://www.imf.org/es/News/Articles/2020/10/05/na100520-helping-ecuador-confront-the-pandemic</w:t>
        </w:r>
      </w:hyperlink>
    </w:p>
    <w:bookmarkEnd w:id="74"/>
    <w:bookmarkStart w:id="76" w:name="ref-IMF.Oct2020"/>
    <w:p>
      <w:pPr>
        <w:pStyle w:val="Bibliography"/>
      </w:pPr>
      <w:r>
        <w:t xml:space="preserve">International Monetary Fund. (2020b).</w:t>
      </w:r>
      <w:r>
        <w:t xml:space="preserve"> </w:t>
      </w:r>
      <w:r>
        <w:rPr>
          <w:iCs/>
          <w:i/>
        </w:rPr>
        <w:t xml:space="preserve">World Economic Outlook (International Monetary Fund): A Long and Difficult Ascent</w:t>
      </w:r>
      <w:r>
        <w:t xml:space="preserve">.</w:t>
      </w:r>
      <w:r>
        <w:t xml:space="preserve"> </w:t>
      </w:r>
      <w:r>
        <w:t xml:space="preserve">International Monetary Fund</w:t>
      </w:r>
      <w:r>
        <w:t xml:space="preserve">;</w:t>
      </w:r>
      <w:r>
        <w:t xml:space="preserve"> </w:t>
      </w:r>
      <w:r>
        <w:t xml:space="preserve">International Monetary Fund</w:t>
      </w:r>
      <w:r>
        <w:t xml:space="preserve">.</w:t>
      </w:r>
      <w:r>
        <w:t xml:space="preserve"> </w:t>
      </w:r>
      <w:hyperlink r:id="rId75">
        <w:r>
          <w:rPr>
            <w:rStyle w:val="Hyperlink"/>
          </w:rPr>
          <w:t xml:space="preserve">https://www.imf.org/-/media/Files/Publications/WEO/2020/October/English/text.ashx</w:t>
        </w:r>
      </w:hyperlink>
    </w:p>
    <w:bookmarkEnd w:id="76"/>
    <w:bookmarkStart w:id="78" w:name="ref-IMF.April2020"/>
    <w:p>
      <w:pPr>
        <w:pStyle w:val="Bibliography"/>
      </w:pPr>
      <w:r>
        <w:t xml:space="preserve">International Monetary Fund. (2020c).</w:t>
      </w:r>
      <w:r>
        <w:t xml:space="preserve"> </w:t>
      </w:r>
      <w:r>
        <w:rPr>
          <w:iCs/>
          <w:i/>
        </w:rPr>
        <w:t xml:space="preserve">World Economic Outlook (International Monetary Fund): The Great Lockdown</w:t>
      </w:r>
      <w:r>
        <w:t xml:space="preserve"> </w:t>
      </w:r>
      <w:r>
        <w:t xml:space="preserve">(1st ed.).</w:t>
      </w:r>
      <w:r>
        <w:t xml:space="preserve"> </w:t>
      </w:r>
      <w:r>
        <w:t xml:space="preserve">International Monetary Fund</w:t>
      </w:r>
      <w:r>
        <w:t xml:space="preserve">.</w:t>
      </w:r>
      <w:r>
        <w:t xml:space="preserve"> </w:t>
      </w:r>
      <w:hyperlink r:id="rId77">
        <w:r>
          <w:rPr>
            <w:rStyle w:val="Hyperlink"/>
          </w:rPr>
          <w:t xml:space="preserve">https://www.imf.org/-/media/Files/Publications/WEO/2020/April/English/text.ashx</w:t>
        </w:r>
      </w:hyperlink>
    </w:p>
    <w:bookmarkEnd w:id="78"/>
    <w:bookmarkStart w:id="80" w:name="ref-IMF.April2021"/>
    <w:p>
      <w:pPr>
        <w:pStyle w:val="Bibliography"/>
      </w:pPr>
      <w:r>
        <w:t xml:space="preserve">International Monetary Fund. (2021).</w:t>
      </w:r>
      <w:r>
        <w:t xml:space="preserve"> </w:t>
      </w:r>
      <w:r>
        <w:rPr>
          <w:iCs/>
          <w:i/>
        </w:rPr>
        <w:t xml:space="preserve">World Economic Outlook (International Monetary Fund): Managing Divergent Recoveries</w:t>
      </w:r>
      <w:r>
        <w:t xml:space="preserve"> </w:t>
      </w:r>
      <w:r>
        <w:t xml:space="preserve">(No. 1; 1st ed.).</w:t>
      </w:r>
      <w:r>
        <w:t xml:space="preserve"> </w:t>
      </w:r>
      <w:r>
        <w:t xml:space="preserve">International Monetary Fund</w:t>
      </w:r>
      <w:r>
        <w:t xml:space="preserve">;</w:t>
      </w:r>
      <w:r>
        <w:t xml:space="preserve"> </w:t>
      </w:r>
      <w:r>
        <w:t xml:space="preserve">International Monetary Fund</w:t>
      </w:r>
      <w:r>
        <w:t xml:space="preserve">.</w:t>
      </w:r>
      <w:r>
        <w:t xml:space="preserve"> </w:t>
      </w:r>
      <w:hyperlink r:id="rId79">
        <w:r>
          <w:rPr>
            <w:rStyle w:val="Hyperlink"/>
          </w:rPr>
          <w:t xml:space="preserve">https://www.imf.org/-/media/Files/Publications/WEO/2021/April/English/text.ashx</w:t>
        </w:r>
      </w:hyperlink>
    </w:p>
    <w:bookmarkEnd w:id="80"/>
    <w:bookmarkStart w:id="81" w:name="ref-IMF.Oct2021"/>
    <w:p>
      <w:pPr>
        <w:pStyle w:val="Bibliography"/>
      </w:pPr>
      <w:r>
        <w:t xml:space="preserve">International Monetary Fund. (2021).</w:t>
      </w:r>
      <w:r>
        <w:t xml:space="preserve"> </w:t>
      </w:r>
      <w:r>
        <w:rPr>
          <w:iCs/>
          <w:i/>
        </w:rPr>
        <w:t xml:space="preserve">World Economic Outlook (International Monetary Fund): Recovery During a Pandemic: Health Concerns, Supply Disruptions, and Price Pressures</w:t>
      </w:r>
      <w:r>
        <w:t xml:space="preserve"> </w:t>
      </w:r>
      <w:r>
        <w:t xml:space="preserve">(1st ed.).</w:t>
      </w:r>
    </w:p>
    <w:bookmarkEnd w:id="81"/>
    <w:bookmarkStart w:id="83" w:name="ref-Katella.2022"/>
    <w:p>
      <w:pPr>
        <w:pStyle w:val="Bibliography"/>
      </w:pPr>
      <w:r>
        <w:t xml:space="preserve">Katella, K. (2022).</w:t>
      </w:r>
      <w:r>
        <w:t xml:space="preserve"> </w:t>
      </w:r>
      <w:r>
        <w:rPr>
          <w:iCs/>
          <w:i/>
        </w:rPr>
        <w:t xml:space="preserve">Comparing the COVID-19 Vaccines: How Are They Different?</w:t>
      </w:r>
      <w:r>
        <w:t xml:space="preserve"> </w:t>
      </w:r>
      <w:hyperlink r:id="rId82">
        <w:r>
          <w:rPr>
            <w:rStyle w:val="Hyperlink"/>
          </w:rPr>
          <w:t xml:space="preserve">https://www.yalemedicine.org/news/covid-19-vaccine-comparison</w:t>
        </w:r>
      </w:hyperlink>
    </w:p>
    <w:bookmarkEnd w:id="83"/>
    <w:bookmarkStart w:id="85" w:name="ref-Hora.2021"/>
    <w:p>
      <w:pPr>
        <w:pStyle w:val="Bibliography"/>
      </w:pPr>
      <w:r>
        <w:t xml:space="preserve">La Hora. (2021).</w:t>
      </w:r>
      <w:r>
        <w:t xml:space="preserve"> </w:t>
      </w:r>
      <w:r>
        <w:rPr>
          <w:iCs/>
          <w:i/>
        </w:rPr>
        <w:t xml:space="preserve">Iniciar un negocio en Ecuador cuesta m</w:t>
      </w:r>
      <w:r>
        <w:rPr>
          <w:iCs/>
          <w:i/>
        </w:rPr>
        <w:t xml:space="preserve">á</w:t>
      </w:r>
      <w:r>
        <w:rPr>
          <w:iCs/>
          <w:i/>
        </w:rPr>
        <w:t xml:space="preserve">s de</w:t>
      </w:r>
      <w:r>
        <w:rPr>
          <w:iCs/>
          <w:i/>
        </w:rPr>
        <w:t xml:space="preserve"> </w:t>
      </w:r>
      <w:r>
        <w:rPr>
          <w:iCs/>
          <w:i/>
        </w:rPr>
        <w:t xml:space="preserve">$</w:t>
      </w:r>
      <w:r>
        <w:rPr>
          <w:iCs/>
          <w:i/>
        </w:rPr>
        <w:t xml:space="preserve"> </w:t>
      </w:r>
      <w:r>
        <w:rPr>
          <w:iCs/>
          <w:i/>
        </w:rPr>
        <w:t xml:space="preserve">1.600 | Diario La Hora</w:t>
      </w:r>
      <w:r>
        <w:t xml:space="preserve">.</w:t>
      </w:r>
      <w:r>
        <w:t xml:space="preserve"> </w:t>
      </w:r>
      <w:hyperlink r:id="rId84">
        <w:r>
          <w:rPr>
            <w:rStyle w:val="Hyperlink"/>
          </w:rPr>
          <w:t xml:space="preserve">https://www.lahora.com.ec/pais/ecuador-emprender-alto-costo/</w:t>
        </w:r>
      </w:hyperlink>
    </w:p>
    <w:bookmarkEnd w:id="85"/>
    <w:bookmarkStart w:id="87" w:name="ref-Machado.2021"/>
    <w:p>
      <w:pPr>
        <w:pStyle w:val="Bibliography"/>
      </w:pPr>
      <w:r>
        <w:t xml:space="preserve">Machado, J. (2021).</w:t>
      </w:r>
      <w:r>
        <w:t xml:space="preserve"> </w:t>
      </w:r>
      <w:r>
        <w:rPr>
          <w:iCs/>
          <w:i/>
        </w:rPr>
        <w:t xml:space="preserve">Pol</w:t>
      </w:r>
      <w:r>
        <w:rPr>
          <w:iCs/>
          <w:i/>
        </w:rPr>
        <w:t xml:space="preserve">é</w:t>
      </w:r>
      <w:r>
        <w:rPr>
          <w:iCs/>
          <w:i/>
        </w:rPr>
        <w:t xml:space="preserve">mica por confidencialidad de la lista de vacunados VIP en Ecuador</w:t>
      </w:r>
      <w:r>
        <w:t xml:space="preserve">.</w:t>
      </w:r>
      <w:r>
        <w:t xml:space="preserve"> </w:t>
      </w:r>
      <w:hyperlink r:id="rId86">
        <w:r>
          <w:rPr>
            <w:rStyle w:val="Hyperlink"/>
          </w:rPr>
          <w:t xml:space="preserve">https://www.primicias.ec/noticias/sociedad/polemica-lista-vacunados-covid-ecuador/</w:t>
        </w:r>
      </w:hyperlink>
    </w:p>
    <w:bookmarkEnd w:id="87"/>
    <w:bookmarkStart w:id="89" w:name="ref-Madrid.2021"/>
    <w:p>
      <w:pPr>
        <w:pStyle w:val="Bibliography"/>
      </w:pPr>
      <w:r>
        <w:t xml:space="preserve">Madrid, R. (2021).</w:t>
      </w:r>
      <w:r>
        <w:t xml:space="preserve"> </w:t>
      </w:r>
      <w:r>
        <w:rPr>
          <w:iCs/>
          <w:i/>
        </w:rPr>
        <w:t xml:space="preserve">Lasso expone su propuesta de reactivaci</w:t>
      </w:r>
      <w:r>
        <w:rPr>
          <w:iCs/>
          <w:i/>
        </w:rPr>
        <w:t xml:space="preserve">ó</w:t>
      </w:r>
      <w:r>
        <w:rPr>
          <w:iCs/>
          <w:i/>
        </w:rPr>
        <w:t xml:space="preserve">n econ</w:t>
      </w:r>
      <w:r>
        <w:rPr>
          <w:iCs/>
          <w:i/>
        </w:rPr>
        <w:t xml:space="preserve">ó</w:t>
      </w:r>
      <w:r>
        <w:rPr>
          <w:iCs/>
          <w:i/>
        </w:rPr>
        <w:t xml:space="preserve">mica para el Ecuador en Foro de Davos</w:t>
      </w:r>
      <w:r>
        <w:t xml:space="preserve">.</w:t>
      </w:r>
      <w:r>
        <w:t xml:space="preserve"> </w:t>
      </w:r>
      <w:hyperlink r:id="rId88">
        <w:r>
          <w:rPr>
            <w:rStyle w:val="Hyperlink"/>
          </w:rPr>
          <w:t xml:space="preserve">https://www.elcomercio.com/actualidad/politica/presidente-lasso-exposicion-foro-davos-plan-reactivacion-economica-ecuador.html</w:t>
        </w:r>
      </w:hyperlink>
    </w:p>
    <w:bookmarkEnd w:id="89"/>
    <w:bookmarkStart w:id="91" w:name="ref-Mandavilli.2020"/>
    <w:p>
      <w:pPr>
        <w:pStyle w:val="Bibliography"/>
      </w:pPr>
      <w:r>
        <w:t xml:space="preserve">Mandavilli, A. (2020).</w:t>
      </w:r>
      <w:r>
        <w:t xml:space="preserve"> </w:t>
      </w:r>
      <w:r>
        <w:rPr>
          <w:iCs/>
          <w:i/>
        </w:rPr>
        <w:t xml:space="preserve">Wondering About Social Distancing?</w:t>
      </w:r>
      <w:r>
        <w:t xml:space="preserve"> </w:t>
      </w:r>
      <w:hyperlink r:id="rId90">
        <w:r>
          <w:rPr>
            <w:rStyle w:val="Hyperlink"/>
          </w:rPr>
          <w:t xml:space="preserve">https://www.nytimes.com/2020/03/16/smarter-living/coronavirus-social-distancing.html</w:t>
        </w:r>
      </w:hyperlink>
    </w:p>
    <w:bookmarkEnd w:id="91"/>
    <w:bookmarkStart w:id="93" w:name="ref-Mena.nd"/>
    <w:p>
      <w:pPr>
        <w:pStyle w:val="Bibliography"/>
      </w:pPr>
      <w:r>
        <w:t xml:space="preserve">Mena, A. C. (n.d.).</w:t>
      </w:r>
      <w:r>
        <w:t xml:space="preserve"> </w:t>
      </w:r>
      <w:r>
        <w:rPr>
          <w:iCs/>
          <w:i/>
        </w:rPr>
        <w:t xml:space="preserve">El sistema de salud ecuatoriano y la COVID-19</w:t>
      </w:r>
      <w:r>
        <w:t xml:space="preserve">.</w:t>
      </w:r>
      <w:r>
        <w:t xml:space="preserve"> </w:t>
      </w:r>
      <w:r>
        <w:t xml:space="preserve">Organizaci</w:t>
      </w:r>
      <w:r>
        <w:t xml:space="preserve">ó</w:t>
      </w:r>
      <w:r>
        <w:t xml:space="preserve">n Mundial del Trabajo: OIT Pa</w:t>
      </w:r>
      <w:r>
        <w:t xml:space="preserve">í</w:t>
      </w:r>
      <w:r>
        <w:t xml:space="preserve">ses Andinos</w:t>
      </w:r>
      <w:r>
        <w:t xml:space="preserve">.</w:t>
      </w:r>
      <w:r>
        <w:t xml:space="preserve"> </w:t>
      </w:r>
      <w:hyperlink r:id="rId92">
        <w:r>
          <w:rPr>
            <w:rStyle w:val="Hyperlink"/>
          </w:rPr>
          <w:t xml:space="preserve">https://www.ilo.org/wcmsp5/groups/public/---americas/---ro-lima/---sro-lima/documents/publication/wcms_799790.pdf</w:t>
        </w:r>
      </w:hyperlink>
    </w:p>
    <w:bookmarkEnd w:id="93"/>
    <w:bookmarkStart w:id="95" w:name="ref-Mendoza.2021"/>
    <w:p>
      <w:pPr>
        <w:pStyle w:val="Bibliography"/>
      </w:pPr>
      <w:r>
        <w:t xml:space="preserve">Mendoza, D. (2021).</w:t>
      </w:r>
      <w:r>
        <w:t xml:space="preserve"> </w:t>
      </w:r>
      <w:r>
        <w:rPr>
          <w:iCs/>
          <w:i/>
        </w:rPr>
        <w:t xml:space="preserve">Ecuador ha detectado 85 casos de la variante delta en su pa</w:t>
      </w:r>
      <w:r>
        <w:rPr>
          <w:iCs/>
          <w:i/>
        </w:rPr>
        <w:t xml:space="preserve">í</w:t>
      </w:r>
      <w:r>
        <w:rPr>
          <w:iCs/>
          <w:i/>
        </w:rPr>
        <w:t xml:space="preserve">s</w:t>
      </w:r>
      <w:r>
        <w:t xml:space="preserve">.</w:t>
      </w:r>
      <w:r>
        <w:t xml:space="preserve"> </w:t>
      </w:r>
      <w:hyperlink r:id="rId94">
        <w:r>
          <w:rPr>
            <w:rStyle w:val="Hyperlink"/>
          </w:rPr>
          <w:t xml:space="preserve">https://www.aa.com.tr/es/mundo/ecuador-ha-detectado-85-casos-de-la-variante-delta-en-su-pa%C3%ADs/2316134</w:t>
        </w:r>
      </w:hyperlink>
    </w:p>
    <w:bookmarkEnd w:id="95"/>
    <w:bookmarkStart w:id="97" w:name="ref-Meunier.2022"/>
    <w:p>
      <w:pPr>
        <w:pStyle w:val="Bibliography"/>
      </w:pPr>
      <w:r>
        <w:t xml:space="preserve">Meunier, F., Coste, C., &amp; Maia, R. (2022).</w:t>
      </w:r>
      <w:r>
        <w:t xml:space="preserve"> </w:t>
      </w:r>
      <w:r>
        <w:rPr>
          <w:iCs/>
          <w:i/>
        </w:rPr>
        <w:t xml:space="preserve">How did the COVID-19 pandemic influence the pace of new business formation?</w:t>
      </w:r>
      <w:r>
        <w:t xml:space="preserve"> </w:t>
      </w:r>
      <w:r>
        <w:t xml:space="preserve">(World Bank, Ed.).</w:t>
      </w:r>
      <w:r>
        <w:t xml:space="preserve"> </w:t>
      </w:r>
      <w:hyperlink r:id="rId96">
        <w:r>
          <w:rPr>
            <w:rStyle w:val="Hyperlink"/>
          </w:rPr>
          <w:t xml:space="preserve">https://blogs.worldbank.org/developmenttalk/how-did-covid-19-pandemic-influence-pace-new-business-formation</w:t>
        </w:r>
      </w:hyperlink>
    </w:p>
    <w:bookmarkEnd w:id="97"/>
    <w:bookmarkStart w:id="99" w:name="ref-Mulligan.2021"/>
    <w:p>
      <w:pPr>
        <w:pStyle w:val="Bibliography"/>
      </w:pPr>
      <w:r>
        <w:t xml:space="preserve">Mulligan, C. B. (2021).</w:t>
      </w:r>
      <w:r>
        <w:t xml:space="preserve"> </w:t>
      </w:r>
      <w:r>
        <w:t xml:space="preserve">Economic Activity and the Value of Medical Innovation during a Pandemic</w:t>
      </w:r>
      <w:r>
        <w:t xml:space="preserve">.</w:t>
      </w:r>
      <w:r>
        <w:t xml:space="preserve"> </w:t>
      </w:r>
      <w:r>
        <w:rPr>
          <w:iCs/>
          <w:i/>
        </w:rPr>
        <w:t xml:space="preserve">Journal of Benefit-Cost Analysis</w:t>
      </w:r>
      <w:r>
        <w:t xml:space="preserve">,</w:t>
      </w:r>
      <w:r>
        <w:t xml:space="preserve"> </w:t>
      </w:r>
      <w:r>
        <w:rPr>
          <w:iCs/>
          <w:i/>
        </w:rPr>
        <w:t xml:space="preserve">12</w:t>
      </w:r>
      <w:r>
        <w:t xml:space="preserve">(3), 420–440.</w:t>
      </w:r>
      <w:r>
        <w:t xml:space="preserve"> </w:t>
      </w:r>
      <w:hyperlink r:id="rId98">
        <w:r>
          <w:rPr>
            <w:rStyle w:val="Hyperlink"/>
          </w:rPr>
          <w:t xml:space="preserve">https://doi.org/10.1017/bca.2021.5</w:t>
        </w:r>
      </w:hyperlink>
    </w:p>
    <w:bookmarkEnd w:id="99"/>
    <w:bookmarkStart w:id="101" w:name="ref-Naranjo.2020"/>
    <w:p>
      <w:pPr>
        <w:pStyle w:val="Bibliography"/>
      </w:pPr>
      <w:r>
        <w:t xml:space="preserve">Naranjo, S. (2020).</w:t>
      </w:r>
      <w:r>
        <w:t xml:space="preserve"> </w:t>
      </w:r>
      <w:r>
        <w:rPr>
          <w:iCs/>
          <w:i/>
        </w:rPr>
        <w:t xml:space="preserve">Ecuador registr</w:t>
      </w:r>
      <w:r>
        <w:rPr>
          <w:iCs/>
          <w:i/>
        </w:rPr>
        <w:t xml:space="preserve">ó</w:t>
      </w:r>
      <w:r>
        <w:rPr>
          <w:iCs/>
          <w:i/>
        </w:rPr>
        <w:t xml:space="preserve"> </w:t>
      </w:r>
      <w:r>
        <w:rPr>
          <w:iCs/>
          <w:i/>
        </w:rPr>
        <w:t xml:space="preserve">hasta julio un exceso de mortalidad de 80,2</w:t>
      </w:r>
      <w:r>
        <w:rPr>
          <w:iCs/>
          <w:i/>
        </w:rPr>
        <w:t xml:space="preserve">%</w:t>
      </w:r>
      <w:r>
        <w:t xml:space="preserve">.</w:t>
      </w:r>
      <w:r>
        <w:t xml:space="preserve"> </w:t>
      </w:r>
      <w:hyperlink r:id="rId100">
        <w:r>
          <w:rPr>
            <w:rStyle w:val="Hyperlink"/>
          </w:rPr>
          <w:t xml:space="preserve">https://www.revistagestion.ec/sociedad-analisis/ecuador-registro-hasta-julio-un-exceso-de-mortalidad-de-802</w:t>
        </w:r>
      </w:hyperlink>
    </w:p>
    <w:bookmarkEnd w:id="101"/>
    <w:bookmarkStart w:id="103" w:name="ref-OrtizPrado.2020"/>
    <w:p>
      <w:pPr>
        <w:pStyle w:val="Bibliography"/>
      </w:pPr>
      <w:r>
        <w:t xml:space="preserve">Ortiz-Prado, E., &amp; Fernández-Naranjo, R. (2020).</w:t>
      </w:r>
      <w:r>
        <w:t xml:space="preserve"> </w:t>
      </w:r>
      <w:r>
        <w:t xml:space="preserve">Impacto de la COVID-19 en el Ecuador: De los datos inexactos a las muertes en exceso</w:t>
      </w:r>
      <w:r>
        <w:t xml:space="preserve">.</w:t>
      </w:r>
      <w:r>
        <w:t xml:space="preserve"> </w:t>
      </w:r>
      <w:r>
        <w:rPr>
          <w:iCs/>
          <w:i/>
        </w:rPr>
        <w:t xml:space="preserve">Revista Ecuatoriana de Neurologia</w:t>
      </w:r>
      <w:r>
        <w:t xml:space="preserve">,</w:t>
      </w:r>
      <w:r>
        <w:t xml:space="preserve"> </w:t>
      </w:r>
      <w:r>
        <w:rPr>
          <w:iCs/>
          <w:i/>
        </w:rPr>
        <w:t xml:space="preserve">29</w:t>
      </w:r>
      <w:r>
        <w:t xml:space="preserve">(2), 8–11.</w:t>
      </w:r>
      <w:r>
        <w:t xml:space="preserve"> </w:t>
      </w:r>
      <w:hyperlink r:id="rId102">
        <w:r>
          <w:rPr>
            <w:rStyle w:val="Hyperlink"/>
          </w:rPr>
          <w:t xml:space="preserve">https://doi.org/10.46997/revecuatneurol29200008</w:t>
        </w:r>
      </w:hyperlink>
    </w:p>
    <w:bookmarkEnd w:id="103"/>
    <w:bookmarkStart w:id="105" w:name="ref-Polack.2020"/>
    <w:p>
      <w:pPr>
        <w:pStyle w:val="Bibliography"/>
      </w:pPr>
      <w:r>
        <w:t xml:space="preserve">Polack, F. P., Thomas, S. J., Kitchin, N., Absalon, J., Gurtman, A., Lockhart, S., Perez, J. L., Pérez Marc, G., Moreira, E. D., Zerbini, C., Bailey, R., Swanson, K. A., Roychoudhury, S., Koury, K., Li, P., Kalina, W. V., Cooper, D., Frenck, R. W., Hammitt, L. L., … Gruber, W. C. (2020).</w:t>
      </w:r>
      <w:r>
        <w:t xml:space="preserve"> </w:t>
      </w:r>
      <w:r>
        <w:t xml:space="preserve">Safety and Efficacy of the BNT162b2 mRNA Covid-19 Vaccine</w:t>
      </w:r>
      <w:r>
        <w:t xml:space="preserve">.</w:t>
      </w:r>
      <w:r>
        <w:t xml:space="preserve"> </w:t>
      </w:r>
      <w:r>
        <w:rPr>
          <w:iCs/>
          <w:i/>
        </w:rPr>
        <w:t xml:space="preserve">The New England Journal of Medicine</w:t>
      </w:r>
      <w:r>
        <w:t xml:space="preserve">,</w:t>
      </w:r>
      <w:r>
        <w:t xml:space="preserve"> </w:t>
      </w:r>
      <w:r>
        <w:rPr>
          <w:iCs/>
          <w:i/>
        </w:rPr>
        <w:t xml:space="preserve">383</w:t>
      </w:r>
      <w:r>
        <w:t xml:space="preserve">(27), 2603–2615.</w:t>
      </w:r>
      <w:r>
        <w:t xml:space="preserve"> </w:t>
      </w:r>
      <w:hyperlink r:id="rId104">
        <w:r>
          <w:rPr>
            <w:rStyle w:val="Hyperlink"/>
          </w:rPr>
          <w:t xml:space="preserve">https://doi.org/10.1056/NEJMoa2034577</w:t>
        </w:r>
      </w:hyperlink>
    </w:p>
    <w:bookmarkEnd w:id="105"/>
    <w:bookmarkStart w:id="107" w:name="ref-Roodman.2019"/>
    <w:p>
      <w:pPr>
        <w:pStyle w:val="Bibliography"/>
      </w:pPr>
      <w:r>
        <w:t xml:space="preserve">Roodman, D., Nielsen, M. Ø., MacKinnon, J. G., &amp; Webb, M. D. (2019).</w:t>
      </w:r>
      <w:r>
        <w:t xml:space="preserve"> </w:t>
      </w:r>
      <w:r>
        <w:t xml:space="preserve">Fast and wild: Bootstrap inference in Stata using boottest</w:t>
      </w:r>
      <w:r>
        <w:t xml:space="preserve">.</w:t>
      </w:r>
      <w:r>
        <w:t xml:space="preserve"> </w:t>
      </w:r>
      <w:r>
        <w:rPr>
          <w:iCs/>
          <w:i/>
        </w:rPr>
        <w:t xml:space="preserve">The Stata Journal: Promoting Communications on Statistics and Stata</w:t>
      </w:r>
      <w:r>
        <w:t xml:space="preserve">,</w:t>
      </w:r>
      <w:r>
        <w:t xml:space="preserve"> </w:t>
      </w:r>
      <w:r>
        <w:rPr>
          <w:iCs/>
          <w:i/>
        </w:rPr>
        <w:t xml:space="preserve">19</w:t>
      </w:r>
      <w:r>
        <w:t xml:space="preserve">(1), 4–60.</w:t>
      </w:r>
      <w:r>
        <w:t xml:space="preserve"> </w:t>
      </w:r>
      <w:hyperlink r:id="rId106">
        <w:r>
          <w:rPr>
            <w:rStyle w:val="Hyperlink"/>
          </w:rPr>
          <w:t xml:space="preserve">https://doi.org/10.1177/1536867X19830877</w:t>
        </w:r>
      </w:hyperlink>
    </w:p>
    <w:bookmarkEnd w:id="107"/>
    <w:bookmarkStart w:id="109" w:name="ref-Salazar.2022"/>
    <w:p>
      <w:pPr>
        <w:pStyle w:val="Bibliography"/>
      </w:pPr>
      <w:r>
        <w:t xml:space="preserve">Salazar, A. (2022).</w:t>
      </w:r>
      <w:r>
        <w:t xml:space="preserve"> </w:t>
      </w:r>
      <w:r>
        <w:rPr>
          <w:iCs/>
          <w:i/>
        </w:rPr>
        <w:t xml:space="preserve">Menos aglomeraciones y m</w:t>
      </w:r>
      <w:r>
        <w:rPr>
          <w:iCs/>
          <w:i/>
        </w:rPr>
        <w:t xml:space="preserve">á</w:t>
      </w:r>
      <w:r>
        <w:rPr>
          <w:iCs/>
          <w:i/>
        </w:rPr>
        <w:t xml:space="preserve">s libadores se registraron en el feriado de A</w:t>
      </w:r>
      <w:r>
        <w:rPr>
          <w:iCs/>
          <w:i/>
        </w:rPr>
        <w:t xml:space="preserve">ñ</w:t>
      </w:r>
      <w:r>
        <w:rPr>
          <w:iCs/>
          <w:i/>
        </w:rPr>
        <w:t xml:space="preserve">o Nuevo, seg</w:t>
      </w:r>
      <w:r>
        <w:rPr>
          <w:iCs/>
          <w:i/>
        </w:rPr>
        <w:t xml:space="preserve">ú</w:t>
      </w:r>
      <w:r>
        <w:rPr>
          <w:iCs/>
          <w:i/>
        </w:rPr>
        <w:t xml:space="preserve">n reporte del ECU911; 1</w:t>
      </w:r>
      <m:oMath>
        <m:r>
          <m:rPr>
            <m:sty m:val="p"/>
          </m:rPr>
          <m:t>′</m:t>
        </m:r>
      </m:oMath>
      <w:r>
        <w:rPr>
          <w:iCs/>
          <w:i/>
        </w:rPr>
        <w:t xml:space="preserve">233.253 personas se movilizaron durante d</w:t>
      </w:r>
      <w:r>
        <w:rPr>
          <w:iCs/>
          <w:i/>
        </w:rPr>
        <w:t xml:space="preserve">í</w:t>
      </w:r>
      <w:r>
        <w:rPr>
          <w:iCs/>
          <w:i/>
        </w:rPr>
        <w:t xml:space="preserve">as de asueto</w:t>
      </w:r>
      <w:r>
        <w:t xml:space="preserve">.</w:t>
      </w:r>
      <w:r>
        <w:t xml:space="preserve"> </w:t>
      </w:r>
      <w:hyperlink r:id="rId108">
        <w:r>
          <w:rPr>
            <w:rStyle w:val="Hyperlink"/>
          </w:rPr>
          <w:t xml:space="preserve">https://www.eluniverso.com/noticias/ecuador/menos-aglomeraciones-y-mas-libadores-se-registraron-en-el-feriado-de-ano-nuevo-segun-reporte-suicidios-turistas-viajeros-nota/</w:t>
        </w:r>
      </w:hyperlink>
    </w:p>
    <w:bookmarkEnd w:id="109"/>
    <w:bookmarkStart w:id="111" w:name="ref-Sandoval.2021"/>
    <w:p>
      <w:pPr>
        <w:pStyle w:val="Bibliography"/>
      </w:pPr>
      <w:r>
        <w:t xml:space="preserve">Sandoval, C. (2021).</w:t>
      </w:r>
      <w:r>
        <w:t xml:space="preserve"> </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110">
        <w:r>
          <w:rPr>
            <w:rStyle w:val="Hyperlink"/>
          </w:rPr>
          <w:t xml:space="preserve">https://www.elcomercio.com/tendencias/sociedad/salud-investigacion-tiktokers-vacunados-covid19.html</w:t>
        </w:r>
      </w:hyperlink>
    </w:p>
    <w:bookmarkEnd w:id="111"/>
    <w:bookmarkStart w:id="113" w:name="ref-Sharkey.2020"/>
    <w:p>
      <w:pPr>
        <w:pStyle w:val="Bibliography"/>
      </w:pPr>
      <w:r>
        <w:t xml:space="preserve">Sharkey, P., &amp; Wood, G. (2020).</w:t>
      </w:r>
      <w:r>
        <w:t xml:space="preserve"> </w:t>
      </w:r>
      <w:r>
        <w:rPr>
          <w:iCs/>
          <w:i/>
        </w:rPr>
        <w:t xml:space="preserve">The Causal Effect of Social Distancing on the Spread of SARS-CoV-2</w:t>
      </w:r>
      <w:r>
        <w:t xml:space="preserve">.</w:t>
      </w:r>
      <w:r>
        <w:t xml:space="preserve"> </w:t>
      </w:r>
      <w:hyperlink r:id="rId112">
        <w:r>
          <w:rPr>
            <w:rStyle w:val="Hyperlink"/>
          </w:rPr>
          <w:t xml:space="preserve">https://osf.io/preprints/socarxiv/hzj7a/</w:t>
        </w:r>
      </w:hyperlink>
    </w:p>
    <w:bookmarkEnd w:id="113"/>
    <w:bookmarkStart w:id="115" w:name="ref-Stern.2009"/>
    <w:p>
      <w:pPr>
        <w:pStyle w:val="Bibliography"/>
      </w:pPr>
      <w:r>
        <w:t xml:space="preserve">Stern, A. M., Cetron, M. S., &amp; Markel, H. (2009).</w:t>
      </w:r>
      <w:r>
        <w:t xml:space="preserve"> </w:t>
      </w:r>
      <w:r>
        <w:t xml:space="preserve">Closing the schools: lessons from the 1918-19 U.S. influenza pandemic</w:t>
      </w:r>
      <w:r>
        <w:t xml:space="preserve">.</w:t>
      </w:r>
      <w:r>
        <w:t xml:space="preserve"> </w:t>
      </w:r>
      <w:r>
        <w:rPr>
          <w:iCs/>
          <w:i/>
        </w:rPr>
        <w:t xml:space="preserve">Health Affairs (Project Hope)</w:t>
      </w:r>
      <w:r>
        <w:t xml:space="preserve">,</w:t>
      </w:r>
      <w:r>
        <w:t xml:space="preserve"> </w:t>
      </w:r>
      <w:r>
        <w:rPr>
          <w:iCs/>
          <w:i/>
        </w:rPr>
        <w:t xml:space="preserve">28</w:t>
      </w:r>
      <w:r>
        <w:t xml:space="preserve">(6), w1066–78.</w:t>
      </w:r>
      <w:r>
        <w:t xml:space="preserve"> </w:t>
      </w:r>
      <w:hyperlink r:id="rId114">
        <w:r>
          <w:rPr>
            <w:rStyle w:val="Hyperlink"/>
          </w:rPr>
          <w:t xml:space="preserve">https://doi.org/10.1377/hlthaff.28.6.w1066</w:t>
        </w:r>
      </w:hyperlink>
    </w:p>
    <w:bookmarkEnd w:id="115"/>
    <w:bookmarkStart w:id="117" w:name="ref-Taj.2021"/>
    <w:p>
      <w:pPr>
        <w:pStyle w:val="Bibliography"/>
      </w:pPr>
      <w:r>
        <w:t xml:space="preserve">Taj, M., &amp; Politi, D. (2021).</w:t>
      </w:r>
      <w:r>
        <w:t xml:space="preserve"> </w:t>
      </w:r>
      <w:r>
        <w:rPr>
          <w:iCs/>
          <w:i/>
        </w:rPr>
        <w:t xml:space="preserve">“V.I.P. Immunization”</w:t>
      </w:r>
      <w:r>
        <w:rPr>
          <w:iCs/>
          <w:i/>
        </w:rPr>
        <w:t xml:space="preserve"> </w:t>
      </w:r>
      <w:r>
        <w:rPr>
          <w:iCs/>
          <w:i/>
        </w:rPr>
        <w:t xml:space="preserve">for the Powerful Rattles South America</w:t>
      </w:r>
      <w:r>
        <w:t xml:space="preserve">.</w:t>
      </w:r>
      <w:r>
        <w:t xml:space="preserve"> </w:t>
      </w:r>
      <w:hyperlink r:id="rId116">
        <w:r>
          <w:rPr>
            <w:rStyle w:val="Hyperlink"/>
          </w:rPr>
          <w:t xml:space="preserve">https://www.nytimes.com/2021/02/25/world/americas/covid-south-america-vaccine-corruption.html</w:t>
        </w:r>
      </w:hyperlink>
    </w:p>
    <w:bookmarkEnd w:id="117"/>
    <w:bookmarkStart w:id="119" w:name="ref-UCD.2022"/>
    <w:p>
      <w:pPr>
        <w:pStyle w:val="Bibliography"/>
      </w:pPr>
      <w:r>
        <w:t xml:space="preserve">UCDavis Health. (2022).</w:t>
      </w:r>
      <w:r>
        <w:t xml:space="preserve"> </w:t>
      </w:r>
      <w:r>
        <w:rPr>
          <w:iCs/>
          <w:i/>
        </w:rPr>
        <w:t xml:space="preserve">Delta variant: 8 things you should know about this COVID-19 strain | UC Davis Health</w:t>
      </w:r>
      <w:r>
        <w:t xml:space="preserve">.</w:t>
      </w:r>
      <w:r>
        <w:t xml:space="preserve"> </w:t>
      </w:r>
      <w:hyperlink r:id="rId118">
        <w:r>
          <w:rPr>
            <w:rStyle w:val="Hyperlink"/>
          </w:rPr>
          <w:t xml:space="preserve">https://health.ucdavis.edu/coronavirus/covid-19-information/delta-variant</w:t>
        </w:r>
      </w:hyperlink>
    </w:p>
    <w:bookmarkEnd w:id="119"/>
    <w:bookmarkStart w:id="121" w:name="ref-UNDP.2022"/>
    <w:p>
      <w:pPr>
        <w:pStyle w:val="Bibliography"/>
      </w:pPr>
      <w:r>
        <w:t xml:space="preserve">United Nations Development Programme. (2022).</w:t>
      </w:r>
      <w:r>
        <w:t xml:space="preserve"> </w:t>
      </w:r>
      <w:r>
        <w:rPr>
          <w:iCs/>
          <w:i/>
        </w:rPr>
        <w:t xml:space="preserve">Impact of vaccine inequity on economic recovery 2022 - UNDP Data Futures Platform</w:t>
      </w:r>
      <w:r>
        <w:t xml:space="preserve"> </w:t>
      </w:r>
      <w:r>
        <w:t xml:space="preserve">(Data Futures Platform UNDP, Ed.).</w:t>
      </w:r>
      <w:r>
        <w:t xml:space="preserve"> </w:t>
      </w:r>
      <w:hyperlink r:id="rId120">
        <w:r>
          <w:rPr>
            <w:rStyle w:val="Hyperlink"/>
          </w:rPr>
          <w:t xml:space="preserve">https://data.undp.org/vaccine-equity-archive/impact-of-vaccine-inequity-on-economic-recovery-2022/</w:t>
        </w:r>
      </w:hyperlink>
    </w:p>
    <w:bookmarkEnd w:id="121"/>
    <w:bookmarkStart w:id="123" w:name="ref-Vizcaino.2021"/>
    <w:p>
      <w:pPr>
        <w:pStyle w:val="Bibliography"/>
      </w:pPr>
      <w:r>
        <w:t xml:space="preserve">Vizcaino, M. E., &amp; Kueffner, S. (2021).</w:t>
      </w:r>
      <w:r>
        <w:t xml:space="preserve"> </w:t>
      </w:r>
      <w:r>
        <w:rPr>
          <w:iCs/>
          <w:i/>
        </w:rPr>
        <w:t xml:space="preserve">Ecuador Defaulted Last Year. Now Its Bonds Are World’s Best</w:t>
      </w:r>
      <w:r>
        <w:t xml:space="preserve">.</w:t>
      </w:r>
      <w:r>
        <w:t xml:space="preserve"> </w:t>
      </w:r>
      <w:hyperlink r:id="rId122">
        <w:r>
          <w:rPr>
            <w:rStyle w:val="Hyperlink"/>
          </w:rPr>
          <w:t xml:space="preserve">https://www.bloomberg.com/news/articles/2021-08-02/ecuador-defaulted-last-year-now-its-bonds-are-the-world-s-best</w:t>
        </w:r>
      </w:hyperlink>
    </w:p>
    <w:bookmarkEnd w:id="123"/>
    <w:bookmarkStart w:id="125" w:name="ref-Yap.2021"/>
    <w:p>
      <w:pPr>
        <w:pStyle w:val="Bibliography"/>
      </w:pPr>
      <w:r>
        <w:t xml:space="preserve">Yap, C., Ali, A., Prabhakar, A., Prabhakar, A., Pal, A., Lim, Y. Y., &amp; Kakodkar, P. (2021).</w:t>
      </w:r>
      <w:r>
        <w:t xml:space="preserve"> </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w:t>
      </w:r>
      <w:r>
        <w:t xml:space="preserve"> </w:t>
      </w:r>
      <w:r>
        <w:rPr>
          <w:iCs/>
          <w:i/>
        </w:rPr>
        <w:t xml:space="preserve">9</w:t>
      </w:r>
      <w:r>
        <w:t xml:space="preserve">, 25151355211059791.</w:t>
      </w:r>
      <w:r>
        <w:t xml:space="preserve"> </w:t>
      </w:r>
      <w:hyperlink r:id="rId124">
        <w:r>
          <w:rPr>
            <w:rStyle w:val="Hyperlink"/>
          </w:rPr>
          <w:t xml:space="preserve">https://doi.org/10.1177/25151355211059791</w:t>
        </w:r>
      </w:hyperlink>
    </w:p>
    <w:bookmarkEnd w:id="125"/>
    <w:bookmarkStart w:id="127" w:name="ref-Zheng.2022"/>
    <w:p>
      <w:pPr>
        <w:pStyle w:val="Bibliography"/>
      </w:pPr>
      <w:r>
        <w:t xml:space="preserve">Zheng, C., Shao, W., Chen, X., Zhang, B., Wang, G., &amp; Zhang, W. (2022).</w:t>
      </w:r>
      <w:r>
        <w:t xml:space="preserve"> </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w:t>
      </w:r>
      <w:r>
        <w:t xml:space="preserve"> </w:t>
      </w:r>
      <w:r>
        <w:rPr>
          <w:iCs/>
          <w:i/>
        </w:rPr>
        <w:t xml:space="preserve">114</w:t>
      </w:r>
      <w:r>
        <w:t xml:space="preserve">, 252–260.</w:t>
      </w:r>
      <w:r>
        <w:t xml:space="preserve"> </w:t>
      </w:r>
      <w:hyperlink r:id="rId126">
        <w:r>
          <w:rPr>
            <w:rStyle w:val="Hyperlink"/>
          </w:rPr>
          <w:t xml:space="preserve">https://doi.org/10.1016/j.ijid.2021.11.009</w:t>
        </w:r>
      </w:hyperlink>
    </w:p>
    <w:bookmarkEnd w:id="127"/>
    <w:bookmarkStart w:id="129" w:name="ref-Zibell.2020"/>
    <w:p>
      <w:pPr>
        <w:pStyle w:val="Bibliography"/>
      </w:pPr>
      <w:r>
        <w:t xml:space="preserve">Zibell, M. (2020).</w:t>
      </w:r>
      <w:r>
        <w:t xml:space="preserve"> </w:t>
      </w:r>
      <w:r>
        <w:rPr>
          <w:iCs/>
          <w:i/>
        </w:rPr>
        <w:t xml:space="preserve">Coronavirus en Ecuador: el drama de Guayaquil, que tiene m</w:t>
      </w:r>
      <w:r>
        <w:rPr>
          <w:iCs/>
          <w:i/>
        </w:rPr>
        <w:t xml:space="preserve">á</w:t>
      </w:r>
      <w:r>
        <w:rPr>
          <w:iCs/>
          <w:i/>
        </w:rPr>
        <w:t xml:space="preserve">s muertos por covid-19 que pa</w:t>
      </w:r>
      <w:r>
        <w:rPr>
          <w:iCs/>
          <w:i/>
        </w:rPr>
        <w:t xml:space="preserve">í</w:t>
      </w:r>
      <w:r>
        <w:rPr>
          <w:iCs/>
          <w:i/>
        </w:rPr>
        <w:t xml:space="preserve">ses enteros y lucha a contrarreloj para darles un entierro digno</w:t>
      </w:r>
      <w:r>
        <w:t xml:space="preserve">.</w:t>
      </w:r>
      <w:r>
        <w:t xml:space="preserve"> </w:t>
      </w:r>
      <w:hyperlink r:id="rId128">
        <w:r>
          <w:rPr>
            <w:rStyle w:val="Hyperlink"/>
          </w:rPr>
          <w:t xml:space="preserve">https://www.bbc.com/mundo/noticias-america-latina-52116100</w:t>
        </w:r>
      </w:hyperlink>
    </w:p>
    <w:bookmarkEnd w:id="129"/>
    <w:bookmarkEnd w:id="130"/>
    <w:bookmarkEnd w:id="131"/>
    <w:sectPr w:rsidR="000035D6" w:rsidSect="00D0743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5CCD0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5C200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042882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A210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51474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1149FB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1060B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8A0FC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43036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47881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F4FC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0534293" w:numId="1">
    <w:abstractNumId w:val="10"/>
  </w:num>
  <w:num w16cid:durableId="499271770" w:numId="2">
    <w:abstractNumId w:val="9"/>
  </w:num>
  <w:num w16cid:durableId="992416583" w:numId="3">
    <w:abstractNumId w:val="7"/>
  </w:num>
  <w:num w16cid:durableId="81533582" w:numId="4">
    <w:abstractNumId w:val="6"/>
  </w:num>
  <w:num w16cid:durableId="1461075741" w:numId="5">
    <w:abstractNumId w:val="5"/>
  </w:num>
  <w:num w16cid:durableId="727652139" w:numId="6">
    <w:abstractNumId w:val="4"/>
  </w:num>
  <w:num w16cid:durableId="256449962" w:numId="7">
    <w:abstractNumId w:val="8"/>
  </w:num>
  <w:num w16cid:durableId="1873035131" w:numId="8">
    <w:abstractNumId w:val="3"/>
  </w:num>
  <w:num w16cid:durableId="192815758" w:numId="9">
    <w:abstractNumId w:val="2"/>
  </w:num>
  <w:num w16cid:durableId="92825503" w:numId="10">
    <w:abstractNumId w:val="1"/>
  </w:num>
  <w:num w16cid:durableId="1483157218"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51B3"/>
    <w:pPr>
      <w:keepNext/>
      <w:keepLines/>
      <w:spacing w:after="0" w:before="480"/>
      <w:outlineLvl w:val="0"/>
    </w:pPr>
    <w:rPr>
      <w:rFonts w:ascii="Perpetua" w:cstheme="majorBidi" w:eastAsiaTheme="majorEastAsia" w:hAnsi="Perpetua"/>
      <w:b/>
      <w:bCs/>
      <w:color w:themeColor="text1" w:val="000000"/>
      <w:szCs w:val="32"/>
    </w:rPr>
  </w:style>
  <w:style w:styleId="Heading2" w:type="paragraph">
    <w:name w:val="heading 2"/>
    <w:basedOn w:val="Normal"/>
    <w:next w:val="BodyText"/>
    <w:uiPriority w:val="9"/>
    <w:unhideWhenUsed/>
    <w:qFormat/>
    <w:rsid w:val="004551B3"/>
    <w:pPr>
      <w:keepNext/>
      <w:keepLines/>
      <w:spacing w:after="0" w:before="200"/>
      <w:outlineLvl w:val="1"/>
    </w:pPr>
    <w:rPr>
      <w:rFonts w:ascii="Perpetua" w:cstheme="majorBidi" w:eastAsiaTheme="majorEastAsia" w:hAnsi="Perpetua"/>
      <w:bCs/>
      <w:color w:themeColor="text1" w:val="000000"/>
      <w:szCs w:val="28"/>
    </w:rPr>
  </w:style>
  <w:style w:styleId="Heading3" w:type="paragraph">
    <w:name w:val="heading 3"/>
    <w:basedOn w:val="Normal"/>
    <w:next w:val="BodyText"/>
    <w:uiPriority w:val="9"/>
    <w:unhideWhenUsed/>
    <w:qFormat/>
    <w:rsid w:val="004551B3"/>
    <w:pPr>
      <w:keepNext/>
      <w:keepLines/>
      <w:spacing w:after="0" w:before="200"/>
      <w:outlineLvl w:val="2"/>
    </w:pPr>
    <w:rPr>
      <w:rFonts w:ascii="Perpetua" w:cstheme="majorBidi" w:eastAsiaTheme="majorEastAsia" w:hAnsi="Perpetua"/>
      <w:bCs/>
      <w:color w:themeColor="text1" w:val="000000"/>
    </w:rPr>
  </w:style>
  <w:style w:styleId="Heading4" w:type="paragraph">
    <w:name w:val="heading 4"/>
    <w:basedOn w:val="Normal"/>
    <w:next w:val="BodyText"/>
    <w:uiPriority w:val="9"/>
    <w:unhideWhenUsed/>
    <w:qFormat/>
    <w:rsid w:val="0039762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9326A"/>
    <w:pPr>
      <w:spacing w:after="180" w:before="180"/>
      <w:jc w:val="both"/>
    </w:pPr>
    <w:rPr>
      <w:rFonts w:ascii="Perpetua" w:hAnsi="Perpetu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9326A"/>
    <w:pPr>
      <w:keepNext/>
      <w:keepLines/>
      <w:spacing w:after="240" w:before="480"/>
      <w:jc w:val="center"/>
    </w:pPr>
    <w:rPr>
      <w:rFonts w:ascii="Perpetua" w:cstheme="majorBidi" w:eastAsiaTheme="majorEastAsia" w:hAnsi="Perpetua"/>
      <w:b/>
      <w:bCs/>
      <w:color w:themeColor="text1" w:val="000000"/>
      <w:sz w:val="32"/>
      <w:szCs w:val="36"/>
    </w:rPr>
  </w:style>
  <w:style w:styleId="Subtitle" w:type="paragraph">
    <w:name w:val="Subtitle"/>
    <w:basedOn w:val="Title"/>
    <w:next w:val="BodyText"/>
    <w:qFormat/>
    <w:rsid w:val="00B57A63"/>
    <w:pPr>
      <w:spacing w:before="240"/>
    </w:pPr>
    <w:rPr>
      <w:sz w:val="24"/>
      <w:szCs w:val="30"/>
    </w:rPr>
  </w:style>
  <w:style w:customStyle="1" w:styleId="Author" w:type="paragraph">
    <w:name w:val="Author"/>
    <w:next w:val="BodyText"/>
    <w:qFormat/>
    <w:rsid w:val="0049326A"/>
    <w:pPr>
      <w:keepNext/>
      <w:keepLines/>
      <w:jc w:val="center"/>
    </w:pPr>
    <w:rPr>
      <w:rFonts w:ascii="Perpetua" w:hAnsi="Perpetua"/>
    </w:rPr>
  </w:style>
  <w:style w:styleId="Date" w:type="paragraph">
    <w:name w:val="Date"/>
    <w:next w:val="BodyText"/>
    <w:qFormat/>
    <w:rsid w:val="0049326A"/>
    <w:pPr>
      <w:keepNext/>
      <w:keepLines/>
      <w:jc w:val="center"/>
    </w:pPr>
    <w:rPr>
      <w:rFonts w:ascii="Perpetua" w:hAnsi="Perpetua"/>
    </w:rPr>
  </w:style>
  <w:style w:customStyle="1" w:styleId="Abstract" w:type="paragraph">
    <w:name w:val="Abstract"/>
    <w:basedOn w:val="Normal"/>
    <w:next w:val="BodyText"/>
    <w:qFormat/>
    <w:rsid w:val="0049326A"/>
    <w:pPr>
      <w:keepNext/>
      <w:keepLines/>
      <w:spacing w:after="300" w:before="300"/>
      <w:jc w:val="both"/>
    </w:pPr>
    <w:rPr>
      <w:rFonts w:ascii="Perpetua" w:hAnsi="Perpetua"/>
      <w:szCs w:val="20"/>
    </w:rPr>
  </w:style>
  <w:style w:styleId="Bibliography" w:type="paragraph">
    <w:name w:val="Bibliography"/>
    <w:basedOn w:val="Normal"/>
    <w:qFormat/>
    <w:rsid w:val="0049326A"/>
    <w:pPr>
      <w:ind w:hanging="720" w:left="720"/>
    </w:pPr>
    <w:rPr>
      <w:rFonts w:ascii="Perpetua" w:hAnsi="Perpetu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551B3"/>
    <w:rPr>
      <w:rFonts w:ascii="Perpetua" w:hAnsi="Perpetua"/>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F03FFF"/>
    <w:pPr>
      <w:spacing w:after="120"/>
    </w:pPr>
    <w:rPr>
      <w:rFonts w:ascii="Perpetua" w:hAnsi="Perpetua"/>
      <w:b/>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9C09E7"/>
    <w:rPr>
      <w:rFonts w:ascii="Perpetua" w:hAnsi="Perpetua"/>
      <w:b/>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03FFF"/>
    <w:rPr>
      <w:rFonts w:ascii="Perpetua" w:hAnsi="Perpetua"/>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rFonts w:ascii="Perpetua" w:hAnsi="Perpetua"/>
      <w:b/>
      <w:i/>
    </w:rPr>
  </w:style>
  <w:style w:styleId="FootnoteReference" w:type="character">
    <w:name w:val="footnote reference"/>
    <w:basedOn w:val="CaptionChar"/>
    <w:rPr>
      <w:rFonts w:ascii="Perpetua" w:hAnsi="Perpetua"/>
      <w:b/>
      <w:i/>
      <w:vertAlign w:val="superscript"/>
    </w:rPr>
  </w:style>
  <w:style w:styleId="Hyperlink" w:type="character">
    <w:name w:val="Hyperlink"/>
    <w:basedOn w:val="CaptionChar"/>
    <w:rsid w:val="006800C0"/>
    <w:rPr>
      <w:rFonts w:ascii="Perpetua" w:hAnsi="Perpetua"/>
      <w:b w:val="0"/>
      <w:i w:val="0"/>
      <w:color w:themeColor="accent1" w:val="4F81BD"/>
      <w:u w:val="single"/>
    </w:rPr>
  </w:style>
  <w:style w:styleId="TOCHeading" w:type="paragraph">
    <w:name w:val="TOC Heading"/>
    <w:basedOn w:val="Heading1"/>
    <w:next w:val="BodyText"/>
    <w:uiPriority w:val="39"/>
    <w:unhideWhenUsed/>
    <w:qFormat/>
    <w:rsid w:val="00F03FFF"/>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i/>
      <w:color w:val="204A87"/>
      <w:sz w:val="22"/>
      <w:shd w:color="auto" w:fill="F8F8F8" w:val="clear"/>
    </w:rPr>
  </w:style>
  <w:style w:customStyle="1" w:styleId="DataTypeTok" w:type="character">
    <w:name w:val="DataTypeTok"/>
    <w:basedOn w:val="VerbatimChar"/>
    <w:rPr>
      <w:rFonts w:ascii="Consolas" w:hAnsi="Consolas"/>
      <w:b/>
      <w:i/>
      <w:color w:val="204A87"/>
      <w:sz w:val="22"/>
      <w:shd w:color="auto" w:fill="F8F8F8" w:val="clear"/>
    </w:rPr>
  </w:style>
  <w:style w:customStyle="1" w:styleId="DecValTok" w:type="character">
    <w:name w:val="DecValTok"/>
    <w:basedOn w:val="VerbatimChar"/>
    <w:rPr>
      <w:rFonts w:ascii="Consolas" w:hAnsi="Consolas"/>
      <w:b/>
      <w:i/>
      <w:color w:val="0000CF"/>
      <w:sz w:val="22"/>
      <w:shd w:color="auto" w:fill="F8F8F8" w:val="clear"/>
    </w:rPr>
  </w:style>
  <w:style w:customStyle="1" w:styleId="BaseNTok" w:type="character">
    <w:name w:val="BaseNTok"/>
    <w:basedOn w:val="VerbatimChar"/>
    <w:rPr>
      <w:rFonts w:ascii="Consolas" w:hAnsi="Consolas"/>
      <w:b/>
      <w:i/>
      <w:color w:val="0000CF"/>
      <w:sz w:val="22"/>
      <w:shd w:color="auto" w:fill="F8F8F8" w:val="clear"/>
    </w:rPr>
  </w:style>
  <w:style w:customStyle="1" w:styleId="FloatTok" w:type="character">
    <w:name w:val="FloatTok"/>
    <w:basedOn w:val="VerbatimChar"/>
    <w:rPr>
      <w:rFonts w:ascii="Consolas" w:hAnsi="Consolas"/>
      <w:b/>
      <w:i/>
      <w:color w:val="0000CF"/>
      <w:sz w:val="22"/>
      <w:shd w:color="auto" w:fill="F8F8F8" w:val="clear"/>
    </w:rPr>
  </w:style>
  <w:style w:customStyle="1" w:styleId="ConstantTok" w:type="character">
    <w:name w:val="ConstantTok"/>
    <w:basedOn w:val="VerbatimChar"/>
    <w:rPr>
      <w:rFonts w:ascii="Consolas" w:hAnsi="Consolas"/>
      <w:b/>
      <w:i/>
      <w:color w:val="000000"/>
      <w:sz w:val="22"/>
      <w:shd w:color="auto" w:fill="F8F8F8" w:val="clear"/>
    </w:rPr>
  </w:style>
  <w:style w:customStyle="1" w:styleId="CharTok" w:type="character">
    <w:name w:val="CharTok"/>
    <w:basedOn w:val="VerbatimChar"/>
    <w:rPr>
      <w:rFonts w:ascii="Consolas" w:hAnsi="Consolas"/>
      <w:b/>
      <w:i/>
      <w:color w:val="4E9A06"/>
      <w:sz w:val="22"/>
      <w:shd w:color="auto" w:fill="F8F8F8" w:val="clear"/>
    </w:rPr>
  </w:style>
  <w:style w:customStyle="1" w:styleId="SpecialCharTok" w:type="character">
    <w:name w:val="SpecialCharTok"/>
    <w:basedOn w:val="VerbatimChar"/>
    <w:rPr>
      <w:rFonts w:ascii="Consolas" w:hAnsi="Consolas"/>
      <w:b/>
      <w:i/>
      <w:color w:val="000000"/>
      <w:sz w:val="22"/>
      <w:shd w:color="auto" w:fill="F8F8F8" w:val="clear"/>
    </w:rPr>
  </w:style>
  <w:style w:customStyle="1" w:styleId="StringTok" w:type="character">
    <w:name w:val="StringTok"/>
    <w:basedOn w:val="VerbatimChar"/>
    <w:rPr>
      <w:rFonts w:ascii="Consolas" w:hAnsi="Consolas"/>
      <w:b/>
      <w:i/>
      <w:color w:val="4E9A06"/>
      <w:sz w:val="22"/>
      <w:shd w:color="auto" w:fill="F8F8F8" w:val="clear"/>
    </w:rPr>
  </w:style>
  <w:style w:customStyle="1" w:styleId="VerbatimStringTok" w:type="character">
    <w:name w:val="VerbatimStringTok"/>
    <w:basedOn w:val="VerbatimChar"/>
    <w:rPr>
      <w:rFonts w:ascii="Consolas" w:hAnsi="Consolas"/>
      <w:b/>
      <w:i/>
      <w:color w:val="4E9A06"/>
      <w:sz w:val="22"/>
      <w:shd w:color="auto" w:fill="F8F8F8" w:val="clear"/>
    </w:rPr>
  </w:style>
  <w:style w:customStyle="1" w:styleId="SpecialStringTok" w:type="character">
    <w:name w:val="SpecialStringTok"/>
    <w:basedOn w:val="VerbatimChar"/>
    <w:rPr>
      <w:rFonts w:ascii="Consolas" w:hAnsi="Consolas"/>
      <w:b/>
      <w:i/>
      <w:color w:val="4E9A06"/>
      <w:sz w:val="22"/>
      <w:shd w:color="auto" w:fill="F8F8F8" w:val="clear"/>
    </w:rPr>
  </w:style>
  <w:style w:customStyle="1" w:styleId="ImportTok" w:type="character">
    <w:name w:val="ImportTok"/>
    <w:basedOn w:val="VerbatimChar"/>
    <w:rPr>
      <w:rFonts w:ascii="Consolas" w:hAnsi="Consolas"/>
      <w:b/>
      <w:i/>
      <w:sz w:val="22"/>
      <w:shd w:color="auto" w:fill="F8F8F8" w:val="clear"/>
    </w:rPr>
  </w:style>
  <w:style w:customStyle="1" w:styleId="CommentTok" w:type="character">
    <w:name w:val="CommentTok"/>
    <w:basedOn w:val="VerbatimChar"/>
    <w:rPr>
      <w:rFonts w:ascii="Consolas" w:hAnsi="Consolas"/>
      <w:b/>
      <w:i w:val="0"/>
      <w:color w:val="8F5902"/>
      <w:sz w:val="22"/>
      <w:shd w:color="auto" w:fill="F8F8F8" w:val="clear"/>
    </w:rPr>
  </w:style>
  <w:style w:customStyle="1" w:styleId="DocumentationTok" w:type="character">
    <w:name w:val="DocumentationTok"/>
    <w:basedOn w:val="VerbatimChar"/>
    <w:rPr>
      <w:rFonts w:ascii="Consolas" w:hAnsi="Consolas"/>
      <w:b w:val="0"/>
      <w:i w:val="0"/>
      <w:color w:val="8F5902"/>
      <w:sz w:val="22"/>
      <w:shd w:color="auto" w:fill="F8F8F8" w:val="clear"/>
    </w:rPr>
  </w:style>
  <w:style w:customStyle="1" w:styleId="AnnotationTok" w:type="character">
    <w:name w:val="AnnotationTok"/>
    <w:basedOn w:val="VerbatimChar"/>
    <w:rPr>
      <w:rFonts w:ascii="Consolas" w:hAnsi="Consolas"/>
      <w:b w:val="0"/>
      <w:i w:val="0"/>
      <w:color w:val="8F5902"/>
      <w:sz w:val="22"/>
      <w:shd w:color="auto" w:fill="F8F8F8" w:val="clear"/>
    </w:rPr>
  </w:style>
  <w:style w:customStyle="1" w:styleId="CommentVarTok" w:type="character">
    <w:name w:val="CommentVarTok"/>
    <w:basedOn w:val="VerbatimChar"/>
    <w:rPr>
      <w:rFonts w:ascii="Consolas" w:hAnsi="Consolas"/>
      <w:b w:val="0"/>
      <w:i w:val="0"/>
      <w:color w:val="8F5902"/>
      <w:sz w:val="22"/>
      <w:shd w:color="auto" w:fill="F8F8F8" w:val="clear"/>
    </w:rPr>
  </w:style>
  <w:style w:customStyle="1" w:styleId="OtherTok" w:type="character">
    <w:name w:val="OtherTok"/>
    <w:basedOn w:val="VerbatimChar"/>
    <w:rPr>
      <w:rFonts w:ascii="Consolas" w:hAnsi="Consolas"/>
      <w:b/>
      <w:i/>
      <w:color w:val="8F5902"/>
      <w:sz w:val="22"/>
      <w:shd w:color="auto" w:fill="F8F8F8" w:val="clear"/>
    </w:rPr>
  </w:style>
  <w:style w:customStyle="1" w:styleId="FunctionTok" w:type="character">
    <w:name w:val="FunctionTok"/>
    <w:basedOn w:val="VerbatimChar"/>
    <w:rPr>
      <w:rFonts w:ascii="Consolas" w:hAnsi="Consolas"/>
      <w:b/>
      <w:i/>
      <w:color w:val="000000"/>
      <w:sz w:val="22"/>
      <w:shd w:color="auto" w:fill="F8F8F8" w:val="clear"/>
    </w:rPr>
  </w:style>
  <w:style w:customStyle="1" w:styleId="VariableTok" w:type="character">
    <w:name w:val="VariableTok"/>
    <w:basedOn w:val="VerbatimChar"/>
    <w:rPr>
      <w:rFonts w:ascii="Consolas" w:hAnsi="Consolas"/>
      <w:b/>
      <w:i/>
      <w:color w:val="000000"/>
      <w:sz w:val="22"/>
      <w:shd w:color="auto" w:fill="F8F8F8" w:val="clear"/>
    </w:rPr>
  </w:style>
  <w:style w:customStyle="1" w:styleId="ControlFlowTok" w:type="character">
    <w:name w:val="ControlFlowTok"/>
    <w:basedOn w:val="VerbatimChar"/>
    <w:rPr>
      <w:rFonts w:ascii="Consolas" w:hAnsi="Consolas"/>
      <w:b w:val="0"/>
      <w:i/>
      <w:color w:val="204A87"/>
      <w:sz w:val="22"/>
      <w:shd w:color="auto" w:fill="F8F8F8" w:val="clear"/>
    </w:rPr>
  </w:style>
  <w:style w:customStyle="1" w:styleId="OperatorTok" w:type="character">
    <w:name w:val="OperatorTok"/>
    <w:basedOn w:val="VerbatimChar"/>
    <w:rPr>
      <w:rFonts w:ascii="Consolas" w:hAnsi="Consolas"/>
      <w:b w:val="0"/>
      <w:i/>
      <w:color w:val="CE5C00"/>
      <w:sz w:val="22"/>
      <w:shd w:color="auto" w:fill="F8F8F8" w:val="clear"/>
    </w:rPr>
  </w:style>
  <w:style w:customStyle="1" w:styleId="BuiltInTok" w:type="character">
    <w:name w:val="BuiltInTok"/>
    <w:basedOn w:val="VerbatimChar"/>
    <w:rPr>
      <w:rFonts w:ascii="Consolas" w:hAnsi="Consolas"/>
      <w:b/>
      <w:i/>
      <w:sz w:val="22"/>
      <w:shd w:color="auto" w:fill="F8F8F8" w:val="clear"/>
    </w:rPr>
  </w:style>
  <w:style w:customStyle="1" w:styleId="ExtensionTok" w:type="character">
    <w:name w:val="ExtensionTok"/>
    <w:basedOn w:val="VerbatimChar"/>
    <w:rPr>
      <w:rFonts w:ascii="Consolas" w:hAnsi="Consolas"/>
      <w:b/>
      <w:i/>
      <w:sz w:val="22"/>
      <w:shd w:color="auto" w:fill="F8F8F8" w:val="clear"/>
    </w:rPr>
  </w:style>
  <w:style w:customStyle="1" w:styleId="PreprocessorTok" w:type="character">
    <w:name w:val="PreprocessorTok"/>
    <w:basedOn w:val="VerbatimChar"/>
    <w:rPr>
      <w:rFonts w:ascii="Consolas" w:hAnsi="Consolas"/>
      <w:b/>
      <w:i w:val="0"/>
      <w:color w:val="8F5902"/>
      <w:sz w:val="22"/>
      <w:shd w:color="auto" w:fill="F8F8F8" w:val="clear"/>
    </w:rPr>
  </w:style>
  <w:style w:customStyle="1" w:styleId="AttributeTok" w:type="character">
    <w:name w:val="AttributeTok"/>
    <w:basedOn w:val="VerbatimChar"/>
    <w:rPr>
      <w:rFonts w:ascii="Consolas" w:hAnsi="Consolas"/>
      <w:b/>
      <w:i/>
      <w:color w:val="C4A000"/>
      <w:sz w:val="22"/>
      <w:shd w:color="auto" w:fill="F8F8F8" w:val="clear"/>
    </w:rPr>
  </w:style>
  <w:style w:customStyle="1" w:styleId="RegionMarkerTok" w:type="character">
    <w:name w:val="RegionMarkerTok"/>
    <w:basedOn w:val="VerbatimChar"/>
    <w:rPr>
      <w:rFonts w:ascii="Consolas" w:hAnsi="Consolas"/>
      <w:b/>
      <w:i/>
      <w:sz w:val="22"/>
      <w:shd w:color="auto" w:fill="F8F8F8" w:val="clear"/>
    </w:rPr>
  </w:style>
  <w:style w:customStyle="1" w:styleId="InformationTok" w:type="character">
    <w:name w:val="InformationTok"/>
    <w:basedOn w:val="VerbatimChar"/>
    <w:rPr>
      <w:rFonts w:ascii="Consolas" w:hAnsi="Consolas"/>
      <w:b w:val="0"/>
      <w:i w:val="0"/>
      <w:color w:val="8F5902"/>
      <w:sz w:val="22"/>
      <w:shd w:color="auto" w:fill="F8F8F8" w:val="clear"/>
    </w:rPr>
  </w:style>
  <w:style w:customStyle="1" w:styleId="WarningTok" w:type="character">
    <w:name w:val="WarningTok"/>
    <w:basedOn w:val="VerbatimChar"/>
    <w:rPr>
      <w:rFonts w:ascii="Consolas" w:hAnsi="Consolas"/>
      <w:b w:val="0"/>
      <w:i w:val="0"/>
      <w:color w:val="8F5902"/>
      <w:sz w:val="22"/>
      <w:shd w:color="auto" w:fill="F8F8F8" w:val="clear"/>
    </w:rPr>
  </w:style>
  <w:style w:customStyle="1" w:styleId="AlertTok" w:type="character">
    <w:name w:val="AlertTok"/>
    <w:basedOn w:val="VerbatimChar"/>
    <w:rPr>
      <w:rFonts w:ascii="Consolas" w:hAnsi="Consolas"/>
      <w:b/>
      <w:i/>
      <w:color w:val="EF2929"/>
      <w:sz w:val="22"/>
      <w:shd w:color="auto" w:fill="F8F8F8" w:val="clear"/>
    </w:rPr>
  </w:style>
  <w:style w:customStyle="1" w:styleId="ErrorTok" w:type="character">
    <w:name w:val="ErrorTok"/>
    <w:basedOn w:val="VerbatimChar"/>
    <w:rPr>
      <w:rFonts w:ascii="Consolas" w:hAnsi="Consolas"/>
      <w:b w:val="0"/>
      <w:i/>
      <w:color w:val="A40000"/>
      <w:sz w:val="22"/>
      <w:shd w:color="auto" w:fill="F8F8F8" w:val="clear"/>
    </w:rPr>
  </w:style>
  <w:style w:customStyle="1" w:styleId="NormalTok" w:type="character">
    <w:name w:val="NormalTok"/>
    <w:basedOn w:val="VerbatimChar"/>
    <w:rPr>
      <w:rFonts w:ascii="Consolas" w:hAnsi="Consolas"/>
      <w:b/>
      <w:i/>
      <w:sz w:val="22"/>
      <w:shd w:color="auto" w:fill="F8F8F8" w:val="clear"/>
    </w:rPr>
  </w:style>
  <w:style w:customStyle="1" w:styleId="BodyTextChar" w:type="character">
    <w:name w:val="Body Text Char"/>
    <w:basedOn w:val="DefaultParagraphFont"/>
    <w:link w:val="BodyText"/>
    <w:rsid w:val="0049326A"/>
    <w:rPr>
      <w:rFonts w:ascii="Perpetua" w:hAnsi="Perpetua"/>
    </w:rPr>
  </w:style>
  <w:style w:styleId="Footer" w:type="paragraph">
    <w:name w:val="footer"/>
    <w:basedOn w:val="Normal"/>
    <w:link w:val="FooterChar"/>
    <w:semiHidden/>
    <w:unhideWhenUsed/>
    <w:rsid w:val="009C09E7"/>
    <w:pPr>
      <w:tabs>
        <w:tab w:pos="4252" w:val="center"/>
        <w:tab w:pos="8504" w:val="right"/>
      </w:tabs>
      <w:spacing w:after="0"/>
      <w:jc w:val="both"/>
    </w:pPr>
    <w:rPr>
      <w:rFonts w:ascii="Perpetua" w:hAnsi="Perpetua"/>
      <w:sz w:val="20"/>
    </w:rPr>
  </w:style>
  <w:style w:customStyle="1" w:styleId="FooterChar" w:type="character">
    <w:name w:val="Footer Char"/>
    <w:basedOn w:val="DefaultParagraphFont"/>
    <w:link w:val="Footer"/>
    <w:semiHidden/>
    <w:rsid w:val="009C09E7"/>
    <w:rPr>
      <w:rFonts w:ascii="Perpetua" w:hAnsi="Perpet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71" Target="https://americasquarterly.org/article/the-ups-and-downs-of-guillermo-lasso/" TargetMode="External" /><Relationship Type="http://schemas.openxmlformats.org/officeDocument/2006/relationships/hyperlink" Id="rId96" Target="https://blogs.worldbank.org/developmenttalk/how-did-covid-19-pandemic-influence-pace-new-business-formation" TargetMode="External" /><Relationship Type="http://schemas.openxmlformats.org/officeDocument/2006/relationships/hyperlink" Id="rId120" Target="https://data.undp.org/vaccine-equity-archive/impact-of-vaccine-inequity-on-economic-recovery-2022/" TargetMode="External" /><Relationship Type="http://schemas.openxmlformats.org/officeDocument/2006/relationships/hyperlink" Id="rId53" Target="https://doi.org/10.1007/s11079-021-09638-2" TargetMode="External" /><Relationship Type="http://schemas.openxmlformats.org/officeDocument/2006/relationships/hyperlink" Id="rId126" Target="https://doi.org/10.1016/j.ijid.2021.11.009" TargetMode="External" /><Relationship Type="http://schemas.openxmlformats.org/officeDocument/2006/relationships/hyperlink" Id="rId98" Target="https://doi.org/10.1017/bca.2021.5" TargetMode="External" /><Relationship Type="http://schemas.openxmlformats.org/officeDocument/2006/relationships/hyperlink" Id="rId104" Target="https://doi.org/10.1056/NEJMoa2034577" TargetMode="External" /><Relationship Type="http://schemas.openxmlformats.org/officeDocument/2006/relationships/hyperlink" Id="rId46" Target="https://doi.org/10.1111/joes.12423" TargetMode="External" /><Relationship Type="http://schemas.openxmlformats.org/officeDocument/2006/relationships/hyperlink" Id="rId106" Target="https://doi.org/10.1177/1536867X19830877" TargetMode="External" /><Relationship Type="http://schemas.openxmlformats.org/officeDocument/2006/relationships/hyperlink" Id="rId124" Target="https://doi.org/10.1177/25151355211059791" TargetMode="External" /><Relationship Type="http://schemas.openxmlformats.org/officeDocument/2006/relationships/hyperlink" Id="rId48" Target="https://doi.org/10.1186/s40249-021-00878-5" TargetMode="External" /><Relationship Type="http://schemas.openxmlformats.org/officeDocument/2006/relationships/hyperlink" Id="rId114" Target="https://doi.org/10.1377/hlthaff.28.6.w1066" TargetMode="External" /><Relationship Type="http://schemas.openxmlformats.org/officeDocument/2006/relationships/hyperlink" Id="rId42" Target="https://doi.org/10.26633/RPSP.2020.90" TargetMode="External" /><Relationship Type="http://schemas.openxmlformats.org/officeDocument/2006/relationships/hyperlink" Id="rId102" Target="https://doi.org/10.46997/revecuatneurol29200008" TargetMode="External" /><Relationship Type="http://schemas.openxmlformats.org/officeDocument/2006/relationships/hyperlink" Id="rId57" Target="https://doi.org/10.5089/9781589063761.001" TargetMode="External" /><Relationship Type="http://schemas.openxmlformats.org/officeDocument/2006/relationships/hyperlink" Id="rId65" Target="https://hanze-alvear.com/la-sociedad-por-acciones-simplificada-sas-una-herramienta-efectiva/" TargetMode="External" /><Relationship Type="http://schemas.openxmlformats.org/officeDocument/2006/relationships/hyperlink" Id="rId118"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12" Target="https://osf.io/preprints/socarxiv/hzj7a/" TargetMode="External" /><Relationship Type="http://schemas.openxmlformats.org/officeDocument/2006/relationships/hyperlink" Id="rId61" Target="https://support.google.com/covid19-mobility/answer/9825414?hl=en&amp;ref_topic=9822927" TargetMode="External" /><Relationship Type="http://schemas.openxmlformats.org/officeDocument/2006/relationships/hyperlink" Id="rId69" Target="https://theeffectbook.net/" TargetMode="External" /><Relationship Type="http://schemas.openxmlformats.org/officeDocument/2006/relationships/hyperlink" Id="rId94" Target="https://www.aa.com.tr/es/mundo/ecuador-ha-detectado-85-casos-de-la-variante-delta-en-su-pa%C3%ADs/2316134" TargetMode="External" /><Relationship Type="http://schemas.openxmlformats.org/officeDocument/2006/relationships/hyperlink" Id="rId128" Target="https://www.bbc.com/mundo/noticias-america-latina-52116100" TargetMode="External" /><Relationship Type="http://schemas.openxmlformats.org/officeDocument/2006/relationships/hyperlink" Id="rId40" Target="https://www.bce.fin.ec/index.php/boletines-de-prensa-archivo/item/1482-la-economia-ecuatoriana-crecio-4-2-en-2021-superando-las-previsiones-de-crecimiento-mas-recientes" TargetMode="External" /><Relationship Type="http://schemas.openxmlformats.org/officeDocument/2006/relationships/hyperlink" Id="rId122" Target="https://www.bloomberg.com/news/articles/2021-08-02/ecuador-defaulted-last-year-now-its-bonds-are-the-world-s-best" TargetMode="External" /><Relationship Type="http://schemas.openxmlformats.org/officeDocument/2006/relationships/hyperlink" Id="rId63" Target="https://www.ekosnegocios.com/articulo/las-sociedades-por-acciones-simplificadas-en-ecuador" TargetMode="External" /><Relationship Type="http://schemas.openxmlformats.org/officeDocument/2006/relationships/hyperlink" Id="rId88" Target="https://www.elcomercio.com/actualidad/politica/presidente-lasso-exposicion-foro-davos-plan-reactivacion-economica-ecuador.html" TargetMode="External" /><Relationship Type="http://schemas.openxmlformats.org/officeDocument/2006/relationships/hyperlink" Id="rId67" Target="https://www.elcomercio.com/tendencias/sociedad/delta-variantes-ecuador-coronavirus-pandemia.html" TargetMode="External" /><Relationship Type="http://schemas.openxmlformats.org/officeDocument/2006/relationships/hyperlink" Id="rId110" Target="https://www.elcomercio.com/tendencias/sociedad/salud-investigacion-tiktokers-vacunados-covid19.html" TargetMode="External" /><Relationship Type="http://schemas.openxmlformats.org/officeDocument/2006/relationships/hyperlink" Id="rId55" Target="https://www.eluniverso.com/noticias/economia/companias-por-acciones-simplificadas-sas-cumplen-ano-con-7700-empresas-creadas-nota/" TargetMode="External" /><Relationship Type="http://schemas.openxmlformats.org/officeDocument/2006/relationships/hyperlink" Id="rId59" Target="https://www.eluniverso.com/noticias/ecuador/en-las-dos-principales-ciudades-de-pais-quito-y-guayaquil-hubo-mas-aglomeraciones-en-el-feriado-de-navidad-nota/" TargetMode="External" /><Relationship Type="http://schemas.openxmlformats.org/officeDocument/2006/relationships/hyperlink" Id="rId108" Target="https://www.eluniverso.com/noticias/ecuador/menos-aglomeraciones-y-mas-libadores-se-registraron-en-el-feriado-de-ano-nuevo-segun-reporte-suicidios-turistas-viajeros-nota/" TargetMode="External" /><Relationship Type="http://schemas.openxmlformats.org/officeDocument/2006/relationships/hyperlink" Id="rId92" Target="https://www.ilo.org/wcmsp5/groups/public/---americas/---ro-lima/---sro-lima/documents/publication/wcms_799790.pdf" TargetMode="External" /><Relationship Type="http://schemas.openxmlformats.org/officeDocument/2006/relationships/hyperlink" Id="rId77" Target="https://www.imf.org/-/media/Files/Publications/WEO/2020/April/English/text.ashx" TargetMode="External" /><Relationship Type="http://schemas.openxmlformats.org/officeDocument/2006/relationships/hyperlink" Id="rId75" Target="https://www.imf.org/-/media/Files/Publications/WEO/2020/October/English/text.ashx" TargetMode="External" /><Relationship Type="http://schemas.openxmlformats.org/officeDocument/2006/relationships/hyperlink" Id="rId79" Target="https://www.imf.org/-/media/Files/Publications/WEO/2021/April/English/text.ashx" TargetMode="External" /><Relationship Type="http://schemas.openxmlformats.org/officeDocument/2006/relationships/hyperlink" Id="rId51" Target="https://www.imf.org/-/media/Files/Publications/WP/2021/English/wpiea2021247-print-pdf.ashx" TargetMode="External" /><Relationship Type="http://schemas.openxmlformats.org/officeDocument/2006/relationships/hyperlink" Id="rId73" Target="https://www.imf.org/es/News/Articles/2020/10/05/na100520-helping-ecuador-confront-the-pandemic" TargetMode="External" /><Relationship Type="http://schemas.openxmlformats.org/officeDocument/2006/relationships/hyperlink" Id="rId84" Target="https://www.lahora.com.ec/pais/ecuador-emprender-alto-costo/" TargetMode="External" /><Relationship Type="http://schemas.openxmlformats.org/officeDocument/2006/relationships/hyperlink" Id="rId90" Target="https://www.nytimes.com/2020/03/16/smarter-living/coronavirus-social-distancing.html" TargetMode="External" /><Relationship Type="http://schemas.openxmlformats.org/officeDocument/2006/relationships/hyperlink" Id="rId116" Target="https://www.nytimes.com/2021/02/25/world/americas/covid-south-america-vaccine-corruption.html" TargetMode="External" /><Relationship Type="http://schemas.openxmlformats.org/officeDocument/2006/relationships/hyperlink" Id="rId86" Target="https://www.primicias.ec/noticias/sociedad/polemica-lista-vacunados-covid-ecuador/" TargetMode="External" /><Relationship Type="http://schemas.openxmlformats.org/officeDocument/2006/relationships/hyperlink" Id="rId100"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4" Target="https://www.swissinfo.ch/spa/ecuador-investidura--an%C3%A1lisis-_lasso-ante-el-reto-de-impulsar-las-vacunas-y-reactivar-la-econom%C3%ADa-en-ecuador/46641098" TargetMode="External" /><Relationship Type="http://schemas.openxmlformats.org/officeDocument/2006/relationships/hyperlink" Id="rId82"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71" Target="https://americasquarterly.org/article/the-ups-and-downs-of-guillermo-lasso/" TargetMode="External" /><Relationship Type="http://schemas.openxmlformats.org/officeDocument/2006/relationships/hyperlink" Id="rId96" Target="https://blogs.worldbank.org/developmenttalk/how-did-covid-19-pandemic-influence-pace-new-business-formation" TargetMode="External" /><Relationship Type="http://schemas.openxmlformats.org/officeDocument/2006/relationships/hyperlink" Id="rId120" Target="https://data.undp.org/vaccine-equity-archive/impact-of-vaccine-inequity-on-economic-recovery-2022/" TargetMode="External" /><Relationship Type="http://schemas.openxmlformats.org/officeDocument/2006/relationships/hyperlink" Id="rId53" Target="https://doi.org/10.1007/s11079-021-09638-2" TargetMode="External" /><Relationship Type="http://schemas.openxmlformats.org/officeDocument/2006/relationships/hyperlink" Id="rId126" Target="https://doi.org/10.1016/j.ijid.2021.11.009" TargetMode="External" /><Relationship Type="http://schemas.openxmlformats.org/officeDocument/2006/relationships/hyperlink" Id="rId98" Target="https://doi.org/10.1017/bca.2021.5" TargetMode="External" /><Relationship Type="http://schemas.openxmlformats.org/officeDocument/2006/relationships/hyperlink" Id="rId104" Target="https://doi.org/10.1056/NEJMoa2034577" TargetMode="External" /><Relationship Type="http://schemas.openxmlformats.org/officeDocument/2006/relationships/hyperlink" Id="rId46" Target="https://doi.org/10.1111/joes.12423" TargetMode="External" /><Relationship Type="http://schemas.openxmlformats.org/officeDocument/2006/relationships/hyperlink" Id="rId106" Target="https://doi.org/10.1177/1536867X19830877" TargetMode="External" /><Relationship Type="http://schemas.openxmlformats.org/officeDocument/2006/relationships/hyperlink" Id="rId124" Target="https://doi.org/10.1177/25151355211059791" TargetMode="External" /><Relationship Type="http://schemas.openxmlformats.org/officeDocument/2006/relationships/hyperlink" Id="rId48" Target="https://doi.org/10.1186/s40249-021-00878-5" TargetMode="External" /><Relationship Type="http://schemas.openxmlformats.org/officeDocument/2006/relationships/hyperlink" Id="rId114" Target="https://doi.org/10.1377/hlthaff.28.6.w1066" TargetMode="External" /><Relationship Type="http://schemas.openxmlformats.org/officeDocument/2006/relationships/hyperlink" Id="rId42" Target="https://doi.org/10.26633/RPSP.2020.90" TargetMode="External" /><Relationship Type="http://schemas.openxmlformats.org/officeDocument/2006/relationships/hyperlink" Id="rId102" Target="https://doi.org/10.46997/revecuatneurol29200008" TargetMode="External" /><Relationship Type="http://schemas.openxmlformats.org/officeDocument/2006/relationships/hyperlink" Id="rId57" Target="https://doi.org/10.5089/9781589063761.001" TargetMode="External" /><Relationship Type="http://schemas.openxmlformats.org/officeDocument/2006/relationships/hyperlink" Id="rId65" Target="https://hanze-alvear.com/la-sociedad-por-acciones-simplificada-sas-una-herramienta-efectiva/" TargetMode="External" /><Relationship Type="http://schemas.openxmlformats.org/officeDocument/2006/relationships/hyperlink" Id="rId118"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12" Target="https://osf.io/preprints/socarxiv/hzj7a/" TargetMode="External" /><Relationship Type="http://schemas.openxmlformats.org/officeDocument/2006/relationships/hyperlink" Id="rId61" Target="https://support.google.com/covid19-mobility/answer/9825414?hl=en&amp;ref_topic=9822927" TargetMode="External" /><Relationship Type="http://schemas.openxmlformats.org/officeDocument/2006/relationships/hyperlink" Id="rId69" Target="https://theeffectbook.net/" TargetMode="External" /><Relationship Type="http://schemas.openxmlformats.org/officeDocument/2006/relationships/hyperlink" Id="rId94" Target="https://www.aa.com.tr/es/mundo/ecuador-ha-detectado-85-casos-de-la-variante-delta-en-su-pa%C3%ADs/2316134" TargetMode="External" /><Relationship Type="http://schemas.openxmlformats.org/officeDocument/2006/relationships/hyperlink" Id="rId128" Target="https://www.bbc.com/mundo/noticias-america-latina-52116100" TargetMode="External" /><Relationship Type="http://schemas.openxmlformats.org/officeDocument/2006/relationships/hyperlink" Id="rId40" Target="https://www.bce.fin.ec/index.php/boletines-de-prensa-archivo/item/1482-la-economia-ecuatoriana-crecio-4-2-en-2021-superando-las-previsiones-de-crecimiento-mas-recientes" TargetMode="External" /><Relationship Type="http://schemas.openxmlformats.org/officeDocument/2006/relationships/hyperlink" Id="rId122" Target="https://www.bloomberg.com/news/articles/2021-08-02/ecuador-defaulted-last-year-now-its-bonds-are-the-world-s-best" TargetMode="External" /><Relationship Type="http://schemas.openxmlformats.org/officeDocument/2006/relationships/hyperlink" Id="rId63" Target="https://www.ekosnegocios.com/articulo/las-sociedades-por-acciones-simplificadas-en-ecuador" TargetMode="External" /><Relationship Type="http://schemas.openxmlformats.org/officeDocument/2006/relationships/hyperlink" Id="rId88" Target="https://www.elcomercio.com/actualidad/politica/presidente-lasso-exposicion-foro-davos-plan-reactivacion-economica-ecuador.html" TargetMode="External" /><Relationship Type="http://schemas.openxmlformats.org/officeDocument/2006/relationships/hyperlink" Id="rId67" Target="https://www.elcomercio.com/tendencias/sociedad/delta-variantes-ecuador-coronavirus-pandemia.html" TargetMode="External" /><Relationship Type="http://schemas.openxmlformats.org/officeDocument/2006/relationships/hyperlink" Id="rId110" Target="https://www.elcomercio.com/tendencias/sociedad/salud-investigacion-tiktokers-vacunados-covid19.html" TargetMode="External" /><Relationship Type="http://schemas.openxmlformats.org/officeDocument/2006/relationships/hyperlink" Id="rId55" Target="https://www.eluniverso.com/noticias/economia/companias-por-acciones-simplificadas-sas-cumplen-ano-con-7700-empresas-creadas-nota/" TargetMode="External" /><Relationship Type="http://schemas.openxmlformats.org/officeDocument/2006/relationships/hyperlink" Id="rId59" Target="https://www.eluniverso.com/noticias/ecuador/en-las-dos-principales-ciudades-de-pais-quito-y-guayaquil-hubo-mas-aglomeraciones-en-el-feriado-de-navidad-nota/" TargetMode="External" /><Relationship Type="http://schemas.openxmlformats.org/officeDocument/2006/relationships/hyperlink" Id="rId108" Target="https://www.eluniverso.com/noticias/ecuador/menos-aglomeraciones-y-mas-libadores-se-registraron-en-el-feriado-de-ano-nuevo-segun-reporte-suicidios-turistas-viajeros-nota/" TargetMode="External" /><Relationship Type="http://schemas.openxmlformats.org/officeDocument/2006/relationships/hyperlink" Id="rId92" Target="https://www.ilo.org/wcmsp5/groups/public/---americas/---ro-lima/---sro-lima/documents/publication/wcms_799790.pdf" TargetMode="External" /><Relationship Type="http://schemas.openxmlformats.org/officeDocument/2006/relationships/hyperlink" Id="rId77" Target="https://www.imf.org/-/media/Files/Publications/WEO/2020/April/English/text.ashx" TargetMode="External" /><Relationship Type="http://schemas.openxmlformats.org/officeDocument/2006/relationships/hyperlink" Id="rId75" Target="https://www.imf.org/-/media/Files/Publications/WEO/2020/October/English/text.ashx" TargetMode="External" /><Relationship Type="http://schemas.openxmlformats.org/officeDocument/2006/relationships/hyperlink" Id="rId79" Target="https://www.imf.org/-/media/Files/Publications/WEO/2021/April/English/text.ashx" TargetMode="External" /><Relationship Type="http://schemas.openxmlformats.org/officeDocument/2006/relationships/hyperlink" Id="rId51" Target="https://www.imf.org/-/media/Files/Publications/WP/2021/English/wpiea2021247-print-pdf.ashx" TargetMode="External" /><Relationship Type="http://schemas.openxmlformats.org/officeDocument/2006/relationships/hyperlink" Id="rId73" Target="https://www.imf.org/es/News/Articles/2020/10/05/na100520-helping-ecuador-confront-the-pandemic" TargetMode="External" /><Relationship Type="http://schemas.openxmlformats.org/officeDocument/2006/relationships/hyperlink" Id="rId84" Target="https://www.lahora.com.ec/pais/ecuador-emprender-alto-costo/" TargetMode="External" /><Relationship Type="http://schemas.openxmlformats.org/officeDocument/2006/relationships/hyperlink" Id="rId90" Target="https://www.nytimes.com/2020/03/16/smarter-living/coronavirus-social-distancing.html" TargetMode="External" /><Relationship Type="http://schemas.openxmlformats.org/officeDocument/2006/relationships/hyperlink" Id="rId116" Target="https://www.nytimes.com/2021/02/25/world/americas/covid-south-america-vaccine-corruption.html" TargetMode="External" /><Relationship Type="http://schemas.openxmlformats.org/officeDocument/2006/relationships/hyperlink" Id="rId86" Target="https://www.primicias.ec/noticias/sociedad/polemica-lista-vacunados-covid-ecuador/" TargetMode="External" /><Relationship Type="http://schemas.openxmlformats.org/officeDocument/2006/relationships/hyperlink" Id="rId100"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4" Target="https://www.swissinfo.ch/spa/ecuador-investidura--an%C3%A1lisis-_lasso-ante-el-reto-de-impulsar-las-vacunas-y-reactivar-la-econom%C3%ADa-en-ecuador/46641098" TargetMode="External" /><Relationship Type="http://schemas.openxmlformats.org/officeDocument/2006/relationships/hyperlink" Id="rId82"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Inoculating the economy: a causality discussion on vaccines and economic recovery</dc:title>
  <dc:creator>Daniel Sánchez</dc:creator>
  <dc:description>The .Rmd file for my economic letter for the X-Pedientes Journal from SCVS.</dc:description>
  <cp:keywords/>
  <dcterms:created xsi:type="dcterms:W3CDTF">2022-06-17T23:26:40Z</dcterms:created>
  <dcterms:modified xsi:type="dcterms:W3CDTF">2022-06-17T23:26:40Z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refs/refs.bib</vt:lpwstr>
  </property>
  <property fmtid="{D5CDD505-2E9C-101B-9397-08002B2CF9AE}" pid="3" name="csl">
    <vt:lpwstr>refs/apa.csl</vt:lpwstr>
  </property>
  <property fmtid="{D5CDD505-2E9C-101B-9397-08002B2CF9AE}" pid="4" name="date">
    <vt:lpwstr>April 2022</vt:lpwstr>
  </property>
  <property fmtid="{D5CDD505-2E9C-101B-9397-08002B2CF9AE}" pid="5" name="link-citations">
    <vt:lpwstr>True</vt:lpwstr>
  </property>
  <property fmtid="{D5CDD505-2E9C-101B-9397-08002B2CF9AE}" pid="6" name="output">
    <vt:lpwstr/>
  </property>
</Properties>
</file>