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Paper</w:t>
      </w:r>
      <w:r>
        <w:t xml:space="preserve"> </w:t>
      </w:r>
      <w:r>
        <w:t xml:space="preserve">One-Pager</w:t>
      </w:r>
    </w:p>
    <w:p>
      <w:pPr>
        <w:pStyle w:val="Author"/>
      </w:pPr>
      <w:r>
        <w:t xml:space="preserve">Daniel</w:t>
      </w:r>
      <w:r>
        <w:t xml:space="preserve"> </w:t>
      </w:r>
      <w:r>
        <w:t xml:space="preserve">Sánchez</w:t>
      </w:r>
      <w:r>
        <w:t xml:space="preserve"> </w:t>
      </w:r>
      <w:r>
        <w:t xml:space="preserve">Pazmiño</w:t>
      </w:r>
    </w:p>
    <w:bookmarkStart w:id="20" w:name="research-question"/>
    <w:p>
      <w:pPr>
        <w:pStyle w:val="Heading3"/>
      </w:pPr>
      <w:r>
        <w:t xml:space="preserve">Research Question</w:t>
      </w:r>
    </w:p>
    <w:p>
      <w:pPr>
        <w:pStyle w:val="FirstParagraph"/>
      </w:pPr>
      <w:r>
        <w:t xml:space="preserve">Does varying daily temperature affect how voting-age population perceive politician performance in Ecuador?</w:t>
      </w:r>
    </w:p>
    <w:bookmarkEnd w:id="20"/>
    <w:bookmarkStart w:id="31" w:name="academic-sources"/>
    <w:p>
      <w:pPr>
        <w:pStyle w:val="Heading3"/>
      </w:pPr>
      <w:r>
        <w:t xml:space="preserve">Academic Sources</w:t>
      </w:r>
    </w:p>
    <w:p>
      <w:pPr>
        <w:numPr>
          <w:ilvl w:val="0"/>
          <w:numId w:val="1001"/>
        </w:numPr>
        <w:pStyle w:val="Compact"/>
      </w:pPr>
      <w:r>
        <w:t xml:space="preserve">Retrospective voting, attribution errors and the influence of emotion</w:t>
      </w:r>
    </w:p>
    <w:p>
      <w:pPr>
        <w:pStyle w:val="FirstParagraph"/>
      </w:pPr>
      <w:r>
        <w:t xml:space="preserve">Bower, G. H. (1981). Mood and memory.</w:t>
      </w:r>
      <w:r>
        <w:t xml:space="preserve"> </w:t>
      </w:r>
      <w:r>
        <w:rPr>
          <w:iCs/>
          <w:i/>
        </w:rPr>
        <w:t xml:space="preserve">American Psychologist</w:t>
      </w:r>
      <w:r>
        <w:t xml:space="preserve">,</w:t>
      </w:r>
      <w:r>
        <w:t xml:space="preserve"> </w:t>
      </w:r>
      <w:r>
        <w:rPr>
          <w:iCs/>
          <w:i/>
        </w:rPr>
        <w:t xml:space="preserve">36</w:t>
      </w:r>
      <w:r>
        <w:t xml:space="preserve">(2), 129–148.</w:t>
      </w:r>
      <w:r>
        <w:t xml:space="preserve"> </w:t>
      </w:r>
      <w:hyperlink r:id="rId21">
        <w:r>
          <w:rPr>
            <w:rStyle w:val="Hyperlink"/>
          </w:rPr>
          <w:t xml:space="preserve">https://doi.org/10.1037/0003-066X.36.2.129</w:t>
        </w:r>
      </w:hyperlink>
    </w:p>
    <w:p>
      <w:pPr>
        <w:pStyle w:val="BodyText"/>
      </w:pPr>
      <w:r>
        <w:t xml:space="preserve">Schwarz, N., &amp; Clore, G. L. (1983). Mood, misattribution, and judgments of well-being:</w:t>
      </w:r>
      <w:r>
        <w:t xml:space="preserve"> </w:t>
      </w:r>
      <w:r>
        <w:t xml:space="preserve">Informative</w:t>
      </w:r>
      <w:r>
        <w:t xml:space="preserve"> </w:t>
      </w:r>
      <w:r>
        <w:t xml:space="preserve">and directive functions of affective states.</w:t>
      </w:r>
      <w:r>
        <w:t xml:space="preserve"> </w:t>
      </w:r>
      <w:r>
        <w:rPr>
          <w:iCs/>
          <w:i/>
        </w:rPr>
        <w:t xml:space="preserve">Journal of Personality and Social Psychology</w:t>
      </w:r>
      <w:r>
        <w:t xml:space="preserve">,</w:t>
      </w:r>
      <w:r>
        <w:t xml:space="preserve"> </w:t>
      </w:r>
      <w:r>
        <w:rPr>
          <w:iCs/>
          <w:i/>
        </w:rPr>
        <w:t xml:space="preserve">45</w:t>
      </w:r>
      <w:r>
        <w:t xml:space="preserve">(3), 513–523.</w:t>
      </w:r>
    </w:p>
    <w:p>
      <w:pPr>
        <w:pStyle w:val="BodyText"/>
      </w:pPr>
      <w:r>
        <w:t xml:space="preserve">Achen, C., &amp; Bartels, L. (2017).</w:t>
      </w:r>
      <w:r>
        <w:t xml:space="preserve"> </w:t>
      </w:r>
      <w:r>
        <w:rPr>
          <w:iCs/>
          <w:i/>
        </w:rPr>
        <w:t xml:space="preserve">Democracy for realists:</w:t>
      </w:r>
      <w:r>
        <w:rPr>
          <w:iCs/>
          <w:i/>
        </w:rPr>
        <w:t xml:space="preserve"> </w:t>
      </w:r>
      <w:r>
        <w:rPr>
          <w:iCs/>
          <w:i/>
        </w:rPr>
        <w:t xml:space="preserve">Why</w:t>
      </w:r>
      <w:r>
        <w:rPr>
          <w:iCs/>
          <w:i/>
        </w:rPr>
        <w:t xml:space="preserve"> </w:t>
      </w:r>
      <w:r>
        <w:rPr>
          <w:iCs/>
          <w:i/>
        </w:rPr>
        <w:t xml:space="preserve">elections do not produce responsive government</w:t>
      </w:r>
      <w:r>
        <w:t xml:space="preserve">. Princeton University Press.</w:t>
      </w:r>
    </w:p>
    <w:p>
      <w:pPr>
        <w:pStyle w:val="BodyText"/>
      </w:pPr>
      <w:r>
        <w:t xml:space="preserve">Healy, A. J., Malhotra, N., Mo, C. H., &amp; Laitin, D. (2010). Irrelevant events affect voters’ evaluations of government performance.</w:t>
      </w:r>
      <w:r>
        <w:t xml:space="preserve"> </w:t>
      </w:r>
      <w:r>
        <w:rPr>
          <w:iCs/>
          <w:i/>
        </w:rPr>
        <w:t xml:space="preserve">Proceedings of the National Academy of Sciences of the United States of America</w:t>
      </w:r>
      <w:r>
        <w:t xml:space="preserve">,</w:t>
      </w:r>
      <w:r>
        <w:t xml:space="preserve"> </w:t>
      </w:r>
      <w:r>
        <w:rPr>
          <w:iCs/>
          <w:i/>
        </w:rPr>
        <w:t xml:space="preserve">107</w:t>
      </w:r>
      <w:r>
        <w:t xml:space="preserve">(29), 12804–12809.</w:t>
      </w:r>
      <w:r>
        <w:t xml:space="preserve"> </w:t>
      </w:r>
      <w:hyperlink r:id="rId22">
        <w:r>
          <w:rPr>
            <w:rStyle w:val="Hyperlink"/>
          </w:rPr>
          <w:t xml:space="preserve">https://www.jstor.org/stable/25708619</w:t>
        </w:r>
      </w:hyperlink>
    </w:p>
    <w:p>
      <w:pPr>
        <w:pStyle w:val="BodyText"/>
      </w:pPr>
      <w:r>
        <w:t xml:space="preserve">Healy, A., &amp; Malhotra, N. (2010). Random</w:t>
      </w:r>
      <w:r>
        <w:t xml:space="preserve"> </w:t>
      </w:r>
      <w:r>
        <w:t xml:space="preserve">Events</w:t>
      </w:r>
      <w:r>
        <w:t xml:space="preserve">,</w:t>
      </w:r>
      <w:r>
        <w:t xml:space="preserve"> </w:t>
      </w:r>
      <w:r>
        <w:t xml:space="preserve">Economic</w:t>
      </w:r>
      <w:r>
        <w:t xml:space="preserve"> </w:t>
      </w:r>
      <w:r>
        <w:t xml:space="preserve">Losses</w:t>
      </w:r>
      <w:r>
        <w:t xml:space="preserve">, and</w:t>
      </w:r>
      <w:r>
        <w:t xml:space="preserve"> </w:t>
      </w:r>
      <w:r>
        <w:t xml:space="preserve">Retrospective</w:t>
      </w:r>
      <w:r>
        <w:t xml:space="preserve"> </w:t>
      </w:r>
      <w:r>
        <w:t xml:space="preserve">Voting</w:t>
      </w:r>
      <w:r>
        <w:t xml:space="preserve">:</w:t>
      </w:r>
      <w:r>
        <w:t xml:space="preserve"> </w:t>
      </w:r>
      <w:r>
        <w:t xml:space="preserve">Implications</w:t>
      </w:r>
      <w:r>
        <w:t xml:space="preserve"> </w:t>
      </w:r>
      <w:r>
        <w:t xml:space="preserve">for</w:t>
      </w:r>
      <w:r>
        <w:t xml:space="preserve"> </w:t>
      </w:r>
      <w:r>
        <w:t xml:space="preserve">Democratic</w:t>
      </w:r>
      <w:r>
        <w:t xml:space="preserve"> </w:t>
      </w:r>
      <w:r>
        <w:t xml:space="preserve">Competence</w:t>
      </w:r>
      <w:r>
        <w:t xml:space="preserve">.</w:t>
      </w:r>
      <w:r>
        <w:t xml:space="preserve"> </w:t>
      </w:r>
      <w:r>
        <w:rPr>
          <w:iCs/>
          <w:i/>
        </w:rPr>
        <w:t xml:space="preserve">Quarterly Journal of Political Science</w:t>
      </w:r>
      <w:r>
        <w:t xml:space="preserve">,</w:t>
      </w:r>
      <w:r>
        <w:t xml:space="preserve"> </w:t>
      </w:r>
      <w:r>
        <w:rPr>
          <w:iCs/>
          <w:i/>
        </w:rPr>
        <w:t xml:space="preserve">5</w:t>
      </w:r>
      <w:r>
        <w:t xml:space="preserve">(2), 193–208.</w:t>
      </w:r>
      <w:r>
        <w:t xml:space="preserve"> </w:t>
      </w:r>
      <w:hyperlink r:id="rId23">
        <w:r>
          <w:rPr>
            <w:rStyle w:val="Hyperlink"/>
          </w:rPr>
          <w:t xml:space="preserve">https://doi.org/10.1561/100.00009057</w:t>
        </w:r>
      </w:hyperlink>
    </w:p>
    <w:p>
      <w:pPr>
        <w:numPr>
          <w:ilvl w:val="0"/>
          <w:numId w:val="1002"/>
        </w:numPr>
        <w:pStyle w:val="Compact"/>
      </w:pPr>
      <w:r>
        <w:t xml:space="preserve">Presidential approval literature</w:t>
      </w:r>
    </w:p>
    <w:p>
      <w:pPr>
        <w:pStyle w:val="FirstParagraph"/>
      </w:pPr>
      <w:r>
        <w:t xml:space="preserve">Berlemann, M., &amp; Enkelmann, S. (2014). The economic determinants of</w:t>
      </w:r>
      <w:r>
        <w:t xml:space="preserve"> </w:t>
      </w:r>
      <w:r>
        <w:t xml:space="preserve">U</w:t>
      </w:r>
      <w:r>
        <w:t xml:space="preserve">.</w:t>
      </w:r>
      <w:r>
        <w:t xml:space="preserve">S</w:t>
      </w:r>
      <w:r>
        <w:t xml:space="preserve">. Presidential approval:</w:t>
      </w:r>
      <w:r>
        <w:t xml:space="preserve"> </w:t>
      </w:r>
      <w:r>
        <w:t xml:space="preserve">A</w:t>
      </w:r>
      <w:r>
        <w:t xml:space="preserve"> </w:t>
      </w:r>
      <w:r>
        <w:t xml:space="preserve">survey.</w:t>
      </w:r>
      <w:r>
        <w:t xml:space="preserve"> </w:t>
      </w:r>
      <w:r>
        <w:rPr>
          <w:iCs/>
          <w:i/>
        </w:rPr>
        <w:t xml:space="preserve">European Journal of Political Economy</w:t>
      </w:r>
      <w:r>
        <w:t xml:space="preserve">,</w:t>
      </w:r>
      <w:r>
        <w:t xml:space="preserve"> </w:t>
      </w:r>
      <w:r>
        <w:rPr>
          <w:iCs/>
          <w:i/>
        </w:rPr>
        <w:t xml:space="preserve">36</w:t>
      </w:r>
      <w:r>
        <w:t xml:space="preserve">, 41–54.</w:t>
      </w:r>
      <w:r>
        <w:t xml:space="preserve"> </w:t>
      </w:r>
      <w:hyperlink r:id="rId24">
        <w:r>
          <w:rPr>
            <w:rStyle w:val="Hyperlink"/>
          </w:rPr>
          <w:t xml:space="preserve">https://doi.org/10.1016/j.ejpoleco.2014.06.005</w:t>
        </w:r>
      </w:hyperlink>
    </w:p>
    <w:p>
      <w:pPr>
        <w:pStyle w:val="BodyText"/>
      </w:pPr>
      <w:r>
        <w:t xml:space="preserve">Donovan, K., Kellstedt, P. M., Key, E. M., &amp; Lebo, M. J. (2020). Motivated</w:t>
      </w:r>
      <w:r>
        <w:t xml:space="preserve"> </w:t>
      </w:r>
      <w:r>
        <w:t xml:space="preserve">Reasoning</w:t>
      </w:r>
      <w:r>
        <w:t xml:space="preserve">,</w:t>
      </w:r>
      <w:r>
        <w:t xml:space="preserve"> </w:t>
      </w:r>
      <w:r>
        <w:t xml:space="preserve">Public</w:t>
      </w:r>
      <w:r>
        <w:t xml:space="preserve"> </w:t>
      </w:r>
      <w:r>
        <w:t xml:space="preserve">Opinion</w:t>
      </w:r>
      <w:r>
        <w:t xml:space="preserve">, and</w:t>
      </w:r>
      <w:r>
        <w:t xml:space="preserve"> </w:t>
      </w:r>
      <w:r>
        <w:t xml:space="preserve">Presidential</w:t>
      </w:r>
      <w:r>
        <w:t xml:space="preserve"> </w:t>
      </w:r>
      <w:r>
        <w:t xml:space="preserve">Approval</w:t>
      </w:r>
      <w:r>
        <w:t xml:space="preserve">.</w:t>
      </w:r>
      <w:r>
        <w:t xml:space="preserve"> </w:t>
      </w:r>
      <w:r>
        <w:rPr>
          <w:iCs/>
          <w:i/>
        </w:rPr>
        <w:t xml:space="preserve">Political Behavior</w:t>
      </w:r>
      <w:r>
        <w:t xml:space="preserve">,</w:t>
      </w:r>
      <w:r>
        <w:t xml:space="preserve"> </w:t>
      </w:r>
      <w:r>
        <w:rPr>
          <w:iCs/>
          <w:i/>
        </w:rPr>
        <w:t xml:space="preserve">42</w:t>
      </w:r>
      <w:r>
        <w:t xml:space="preserve">(4), 1201–1221.</w:t>
      </w:r>
      <w:r>
        <w:t xml:space="preserve"> </w:t>
      </w:r>
      <w:hyperlink r:id="rId25">
        <w:r>
          <w:rPr>
            <w:rStyle w:val="Hyperlink"/>
          </w:rPr>
          <w:t xml:space="preserve">https://doi.org/10.1007/s11109-019-09539-8</w:t>
        </w:r>
      </w:hyperlink>
    </w:p>
    <w:p>
      <w:pPr>
        <w:pStyle w:val="BodyText"/>
      </w:pPr>
      <w:r>
        <w:t xml:space="preserve">Jung, J. W., &amp; Oh, J. (2020). Determinants of presidential approval ratings:</w:t>
      </w:r>
      <w:r>
        <w:t xml:space="preserve"> </w:t>
      </w:r>
      <w:r>
        <w:t xml:space="preserve">Cross</w:t>
      </w:r>
      <w:r>
        <w:t xml:space="preserve">-country analyses with reference to</w:t>
      </w:r>
      <w:r>
        <w:t xml:space="preserve"> </w:t>
      </w:r>
      <w:r>
        <w:t xml:space="preserve">Latin</w:t>
      </w:r>
      <w:r>
        <w:t xml:space="preserve"> </w:t>
      </w:r>
      <w:r>
        <w:t xml:space="preserve">America</w:t>
      </w:r>
      <w:r>
        <w:t xml:space="preserve">.</w:t>
      </w:r>
      <w:r>
        <w:t xml:space="preserve"> </w:t>
      </w:r>
      <w:r>
        <w:rPr>
          <w:iCs/>
          <w:i/>
        </w:rPr>
        <w:t xml:space="preserve">International Area Studies Review</w:t>
      </w:r>
      <w:r>
        <w:t xml:space="preserve">,</w:t>
      </w:r>
      <w:r>
        <w:t xml:space="preserve"> </w:t>
      </w:r>
      <w:r>
        <w:rPr>
          <w:iCs/>
          <w:i/>
        </w:rPr>
        <w:t xml:space="preserve">23</w:t>
      </w:r>
      <w:r>
        <w:t xml:space="preserve">(3), 251–267.</w:t>
      </w:r>
      <w:r>
        <w:t xml:space="preserve"> </w:t>
      </w:r>
      <w:hyperlink r:id="rId26">
        <w:r>
          <w:rPr>
            <w:rStyle w:val="Hyperlink"/>
          </w:rPr>
          <w:t xml:space="preserve">https://doi.org/10.1177/2233865919888373</w:t>
        </w:r>
      </w:hyperlink>
    </w:p>
    <w:p>
      <w:pPr>
        <w:numPr>
          <w:ilvl w:val="0"/>
          <w:numId w:val="1003"/>
        </w:numPr>
        <w:pStyle w:val="Compact"/>
      </w:pPr>
      <w:r>
        <w:t xml:space="preserve">Weather and political outcomes</w:t>
      </w:r>
    </w:p>
    <w:p>
      <w:pPr>
        <w:pStyle w:val="FirstParagraph"/>
      </w:pPr>
      <w:r>
        <w:t xml:space="preserve">Bassi, A. (2019). Weather,</w:t>
      </w:r>
      <w:r>
        <w:t xml:space="preserve"> </w:t>
      </w:r>
      <w:r>
        <w:t xml:space="preserve">Risk</w:t>
      </w:r>
      <w:r>
        <w:t xml:space="preserve">, and</w:t>
      </w:r>
      <w:r>
        <w:t xml:space="preserve"> </w:t>
      </w:r>
      <w:r>
        <w:t xml:space="preserve">Voting</w:t>
      </w:r>
      <w:r>
        <w:t xml:space="preserve">:</w:t>
      </w:r>
      <w:r>
        <w:t xml:space="preserve"> </w:t>
      </w:r>
      <w:r>
        <w:t xml:space="preserve">An</w:t>
      </w:r>
      <w:r>
        <w:t xml:space="preserve"> </w:t>
      </w:r>
      <w:r>
        <w:t xml:space="preserve">Experimental</w:t>
      </w:r>
      <w:r>
        <w:t xml:space="preserve"> </w:t>
      </w:r>
      <w:r>
        <w:t xml:space="preserve">Analysis</w:t>
      </w:r>
      <w:r>
        <w:t xml:space="preserve"> </w:t>
      </w:r>
      <w:r>
        <w:t xml:space="preserve">of the</w:t>
      </w:r>
      <w:r>
        <w:t xml:space="preserve"> </w:t>
      </w:r>
      <w:r>
        <w:t xml:space="preserve">Effect</w:t>
      </w:r>
      <w:r>
        <w:t xml:space="preserve"> </w:t>
      </w:r>
      <w:r>
        <w:t xml:space="preserve">of</w:t>
      </w:r>
      <w:r>
        <w:t xml:space="preserve"> </w:t>
      </w:r>
      <w:r>
        <w:t xml:space="preserve">Weather</w:t>
      </w:r>
      <w:r>
        <w:t xml:space="preserve"> </w:t>
      </w:r>
      <w:r>
        <w:t xml:space="preserve">on</w:t>
      </w:r>
      <w:r>
        <w:t xml:space="preserve"> </w:t>
      </w:r>
      <w:r>
        <w:t xml:space="preserve">Vote</w:t>
      </w:r>
      <w:r>
        <w:t xml:space="preserve"> </w:t>
      </w:r>
      <w:r>
        <w:t xml:space="preserve">Choice</w:t>
      </w:r>
      <w:r>
        <w:t xml:space="preserve">.</w:t>
      </w:r>
      <w:r>
        <w:t xml:space="preserve"> </w:t>
      </w:r>
      <w:r>
        <w:rPr>
          <w:iCs/>
          <w:i/>
        </w:rPr>
        <w:t xml:space="preserve">Journal of Experimental Political Science</w:t>
      </w:r>
      <w:r>
        <w:t xml:space="preserve">,</w:t>
      </w:r>
      <w:r>
        <w:t xml:space="preserve"> </w:t>
      </w:r>
      <w:r>
        <w:rPr>
          <w:iCs/>
          <w:i/>
        </w:rPr>
        <w:t xml:space="preserve">6</w:t>
      </w:r>
      <w:r>
        <w:t xml:space="preserve">(1), 17–32.</w:t>
      </w:r>
      <w:r>
        <w:t xml:space="preserve"> </w:t>
      </w:r>
      <w:hyperlink r:id="rId27">
        <w:r>
          <w:rPr>
            <w:rStyle w:val="Hyperlink"/>
          </w:rPr>
          <w:t xml:space="preserve">https://doi.org/10.1017/XPS.2018.13</w:t>
        </w:r>
      </w:hyperlink>
    </w:p>
    <w:p>
      <w:pPr>
        <w:pStyle w:val="BodyText"/>
      </w:pPr>
      <w:r>
        <w:t xml:space="preserve">Liao, Y., &amp; Ruiz Junco, P. (2022). Extreme weather and the politics of climate change:</w:t>
      </w:r>
      <w:r>
        <w:t xml:space="preserve"> </w:t>
      </w:r>
      <w:r>
        <w:t xml:space="preserve">A</w:t>
      </w:r>
      <w:r>
        <w:t xml:space="preserve"> </w:t>
      </w:r>
      <w:r>
        <w:t xml:space="preserve">study of campaign finance and elections.</w:t>
      </w:r>
      <w:r>
        <w:t xml:space="preserve"> </w:t>
      </w:r>
      <w:r>
        <w:rPr>
          <w:iCs/>
          <w:i/>
        </w:rPr>
        <w:t xml:space="preserve">Journal of Environmental Economics and Management</w:t>
      </w:r>
      <w:r>
        <w:t xml:space="preserve">,</w:t>
      </w:r>
      <w:r>
        <w:t xml:space="preserve"> </w:t>
      </w:r>
      <w:r>
        <w:rPr>
          <w:iCs/>
          <w:i/>
        </w:rPr>
        <w:t xml:space="preserve">111</w:t>
      </w:r>
      <w:r>
        <w:t xml:space="preserve">, 102550.</w:t>
      </w:r>
      <w:r>
        <w:t xml:space="preserve"> </w:t>
      </w:r>
      <w:hyperlink r:id="rId28">
        <w:r>
          <w:rPr>
            <w:rStyle w:val="Hyperlink"/>
          </w:rPr>
          <w:t xml:space="preserve">https://doi.org/10.1016/j.jeem.2021.102550</w:t>
        </w:r>
      </w:hyperlink>
    </w:p>
    <w:p>
      <w:pPr>
        <w:numPr>
          <w:ilvl w:val="0"/>
          <w:numId w:val="1004"/>
        </w:numPr>
        <w:pStyle w:val="Compact"/>
      </w:pPr>
      <w:r>
        <w:t xml:space="preserve">Other relevant literature</w:t>
      </w:r>
    </w:p>
    <w:p>
      <w:pPr>
        <w:pStyle w:val="FirstParagraph"/>
      </w:pPr>
      <w:r>
        <w:t xml:space="preserve">Quijano-Ruiz, A. (2023).</w:t>
      </w:r>
      <w:r>
        <w:t xml:space="preserve"> </w:t>
      </w:r>
      <w:r>
        <w:rPr>
          <w:iCs/>
          <w:i/>
        </w:rPr>
        <w:t xml:space="preserve">Assessing the</w:t>
      </w:r>
      <w:r>
        <w:rPr>
          <w:iCs/>
          <w:i/>
        </w:rPr>
        <w:t xml:space="preserve"> </w:t>
      </w:r>
      <w:r>
        <w:rPr>
          <w:iCs/>
          <w:i/>
        </w:rPr>
        <w:t xml:space="preserve">Reliability</w:t>
      </w:r>
      <w:r>
        <w:rPr>
          <w:iCs/>
          <w:i/>
        </w:rPr>
        <w:t xml:space="preserve"> </w:t>
      </w:r>
      <w:r>
        <w:rPr>
          <w:iCs/>
          <w:i/>
        </w:rPr>
        <w:t xml:space="preserve">of</w:t>
      </w:r>
      <w:r>
        <w:rPr>
          <w:iCs/>
          <w:i/>
        </w:rPr>
        <w:t xml:space="preserve"> </w:t>
      </w:r>
      <w:r>
        <w:rPr>
          <w:iCs/>
          <w:i/>
        </w:rPr>
        <w:t xml:space="preserve">Self</w:t>
      </w:r>
      <w:r>
        <w:rPr>
          <w:iCs/>
          <w:i/>
        </w:rPr>
        <w:t xml:space="preserve">-rated</w:t>
      </w:r>
      <w:r>
        <w:rPr>
          <w:iCs/>
          <w:i/>
        </w:rPr>
        <w:t xml:space="preserve"> </w:t>
      </w:r>
      <w:r>
        <w:rPr>
          <w:iCs/>
          <w:i/>
        </w:rPr>
        <w:t xml:space="preserve">Health</w:t>
      </w:r>
      <w:r>
        <w:rPr>
          <w:iCs/>
          <w:i/>
        </w:rPr>
        <w:t xml:space="preserve">:</w:t>
      </w:r>
      <w:r>
        <w:rPr>
          <w:iCs/>
          <w:i/>
        </w:rPr>
        <w:t xml:space="preserve"> </w:t>
      </w:r>
      <w:r>
        <w:rPr>
          <w:iCs/>
          <w:i/>
        </w:rPr>
        <w:t xml:space="preserve">The</w:t>
      </w:r>
      <w:r>
        <w:rPr>
          <w:iCs/>
          <w:i/>
        </w:rPr>
        <w:t xml:space="preserve"> </w:t>
      </w:r>
      <w:r>
        <w:rPr>
          <w:iCs/>
          <w:i/>
        </w:rPr>
        <w:t xml:space="preserve">effects of</w:t>
      </w:r>
      <w:r>
        <w:rPr>
          <w:iCs/>
          <w:i/>
        </w:rPr>
        <w:t xml:space="preserve"> </w:t>
      </w:r>
      <w:r>
        <w:rPr>
          <w:iCs/>
          <w:i/>
        </w:rPr>
        <w:t xml:space="preserve">Transient</w:t>
      </w:r>
      <w:r>
        <w:rPr>
          <w:iCs/>
          <w:i/>
        </w:rPr>
        <w:t xml:space="preserve"> </w:t>
      </w:r>
      <w:r>
        <w:rPr>
          <w:iCs/>
          <w:i/>
        </w:rPr>
        <w:t xml:space="preserve">Weather</w:t>
      </w:r>
      <w:r>
        <w:rPr>
          <w:iCs/>
          <w:i/>
        </w:rPr>
        <w:t xml:space="preserve"> </w:t>
      </w:r>
      <w:r>
        <w:rPr>
          <w:iCs/>
          <w:i/>
        </w:rPr>
        <w:t xml:space="preserve">Fluctuations</w:t>
      </w:r>
      <w:r>
        <w:rPr>
          <w:iCs/>
          <w:i/>
        </w:rPr>
        <w:t xml:space="preserve"> </w:t>
      </w:r>
      <w:r>
        <w:rPr>
          <w:iCs/>
          <w:i/>
        </w:rPr>
        <w:t xml:space="preserve">on</w:t>
      </w:r>
      <w:r>
        <w:rPr>
          <w:iCs/>
          <w:i/>
        </w:rPr>
        <w:t xml:space="preserve"> </w:t>
      </w:r>
      <w:r>
        <w:rPr>
          <w:iCs/>
          <w:i/>
        </w:rPr>
        <w:t xml:space="preserve">Perceived</w:t>
      </w:r>
      <w:r>
        <w:rPr>
          <w:iCs/>
          <w:i/>
        </w:rPr>
        <w:t xml:space="preserve"> </w:t>
      </w:r>
      <w:r>
        <w:rPr>
          <w:iCs/>
          <w:i/>
        </w:rPr>
        <w:t xml:space="preserve">Health</w:t>
      </w:r>
      <w:r>
        <w:t xml:space="preserve"> </w:t>
      </w:r>
      <w:r>
        <w:t xml:space="preserve">[Working {Paper}].</w:t>
      </w:r>
    </w:p>
    <w:p>
      <w:pPr>
        <w:pStyle w:val="BodyText"/>
      </w:pPr>
      <w:r>
        <w:t xml:space="preserve">Deller, C., &amp; Michels, J. (2022).</w:t>
      </w:r>
      <w: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Weather</w:t>
      </w:r>
      <w:r>
        <w:rPr>
          <w:iCs/>
          <w:i/>
        </w:rPr>
        <w:t xml:space="preserve"> </w:t>
      </w:r>
      <w:r>
        <w:rPr>
          <w:iCs/>
          <w:i/>
        </w:rPr>
        <w:t xml:space="preserve">on</w:t>
      </w:r>
      <w:r>
        <w:rPr>
          <w:iCs/>
          <w:i/>
        </w:rPr>
        <w:t xml:space="preserve"> </w:t>
      </w:r>
      <w:r>
        <w:rPr>
          <w:iCs/>
          <w:i/>
        </w:rPr>
        <w:t xml:space="preserve">Subjective</w:t>
      </w:r>
      <w:r>
        <w:rPr>
          <w:iCs/>
          <w:i/>
        </w:rPr>
        <w:t xml:space="preserve"> </w:t>
      </w:r>
      <w:r>
        <w:rPr>
          <w:iCs/>
          <w:i/>
        </w:rPr>
        <w:t xml:space="preserve">Performance</w:t>
      </w:r>
      <w:r>
        <w:rPr>
          <w:iCs/>
          <w:i/>
        </w:rPr>
        <w:t xml:space="preserve"> </w:t>
      </w:r>
      <w:r>
        <w:rPr>
          <w:iCs/>
          <w:i/>
        </w:rPr>
        <w:t xml:space="preserve">Evaluation</w:t>
      </w:r>
      <w:r>
        <w:t xml:space="preserve">. SSRN.</w:t>
      </w:r>
      <w:r>
        <w:t xml:space="preserve"> </w:t>
      </w:r>
      <w:hyperlink r:id="rId29">
        <w:r>
          <w:rPr>
            <w:rStyle w:val="Hyperlink"/>
          </w:rPr>
          <w:t xml:space="preserve">https://doi.org/10.2139/ssrn.3780405</w:t>
        </w:r>
      </w:hyperlink>
    </w:p>
    <w:p>
      <w:pPr>
        <w:pStyle w:val="BodyText"/>
      </w:pPr>
      <w:r>
        <w:t xml:space="preserve">Lucas, R. E., &amp; Lawless, N. M. (2013). Does</w:t>
      </w:r>
      <w:r>
        <w:t xml:space="preserve"> </w:t>
      </w:r>
      <w:r>
        <w:t xml:space="preserve">Life</w:t>
      </w:r>
      <w:r>
        <w:t xml:space="preserve"> </w:t>
      </w:r>
      <w:r>
        <w:t xml:space="preserve">Seem</w:t>
      </w:r>
      <w:r>
        <w:t xml:space="preserve"> </w:t>
      </w:r>
      <w:r>
        <w:t xml:space="preserve">Better</w:t>
      </w:r>
      <w:r>
        <w:t xml:space="preserve"> </w:t>
      </w:r>
      <w:r>
        <w:t xml:space="preserve">on a</w:t>
      </w:r>
      <w:r>
        <w:t xml:space="preserve"> </w:t>
      </w:r>
      <w:r>
        <w:t xml:space="preserve">Sunny</w:t>
      </w:r>
      <w:r>
        <w:t xml:space="preserve"> </w:t>
      </w:r>
      <w:r>
        <w:t xml:space="preserve">Day</w:t>
      </w:r>
      <w:r>
        <w:t xml:space="preserve">?</w:t>
      </w:r>
      <w:r>
        <w:t xml:space="preserve"> </w:t>
      </w:r>
      <w:r>
        <w:t xml:space="preserve">Examining</w:t>
      </w:r>
      <w:r>
        <w:t xml:space="preserve"> </w:t>
      </w:r>
      <w:r>
        <w:t xml:space="preserve">the</w:t>
      </w:r>
      <w:r>
        <w:t xml:space="preserve"> </w:t>
      </w:r>
      <w:r>
        <w:t xml:space="preserve">Association</w:t>
      </w:r>
      <w:r>
        <w:t xml:space="preserve"> </w:t>
      </w:r>
      <w:r>
        <w:t xml:space="preserve">between</w:t>
      </w:r>
      <w:r>
        <w:t xml:space="preserve"> </w:t>
      </w:r>
      <w:r>
        <w:t xml:space="preserve">Daily</w:t>
      </w:r>
      <w:r>
        <w:t xml:space="preserve"> </w:t>
      </w:r>
      <w:r>
        <w:t xml:space="preserve">Weather</w:t>
      </w:r>
      <w:r>
        <w:t xml:space="preserve"> </w:t>
      </w:r>
      <w:r>
        <w:t xml:space="preserve">Conditions</w:t>
      </w:r>
      <w:r>
        <w:t xml:space="preserve"> </w:t>
      </w:r>
      <w:r>
        <w:t xml:space="preserve">and</w:t>
      </w:r>
      <w:r>
        <w:t xml:space="preserve"> </w:t>
      </w:r>
      <w:r>
        <w:t xml:space="preserve">Life</w:t>
      </w:r>
      <w:r>
        <w:t xml:space="preserve"> </w:t>
      </w:r>
      <w:r>
        <w:t xml:space="preserve">Satisfaction</w:t>
      </w:r>
      <w:r>
        <w:t xml:space="preserve"> </w:t>
      </w:r>
      <w:r>
        <w:t xml:space="preserve">Judgments</w:t>
      </w:r>
      <w:r>
        <w:t xml:space="preserve">.</w:t>
      </w:r>
      <w:r>
        <w:t xml:space="preserve"> </w:t>
      </w:r>
      <w:r>
        <w:rPr>
          <w:iCs/>
          <w:i/>
        </w:rPr>
        <w:t xml:space="preserve">Journal of Personality and Social Psychology</w:t>
      </w:r>
      <w:r>
        <w:t xml:space="preserve">,</w:t>
      </w:r>
      <w:r>
        <w:t xml:space="preserve"> </w:t>
      </w:r>
      <w:r>
        <w:rPr>
          <w:iCs/>
          <w:i/>
        </w:rPr>
        <w:t xml:space="preserve">104</w:t>
      </w:r>
      <w:r>
        <w:t xml:space="preserve">(5), 872–884.</w:t>
      </w:r>
      <w:r>
        <w:t xml:space="preserve"> </w:t>
      </w:r>
      <w:hyperlink r:id="rId30">
        <w:r>
          <w:rPr>
            <w:rStyle w:val="Hyperlink"/>
          </w:rPr>
          <w:t xml:space="preserve">https://doi.org/10.1037/a0032124</w:t>
        </w:r>
      </w:hyperlink>
    </w:p>
    <w:bookmarkEnd w:id="31"/>
    <w:bookmarkStart w:id="37" w:name="data"/>
    <w:p>
      <w:pPr>
        <w:pStyle w:val="Heading3"/>
      </w:pPr>
      <w:r>
        <w:t xml:space="preserve">Data</w:t>
      </w:r>
    </w:p>
    <w:p>
      <w:pPr>
        <w:numPr>
          <w:ilvl w:val="0"/>
          <w:numId w:val="1005"/>
        </w:numPr>
        <w:pStyle w:val="Compact"/>
      </w:pPr>
      <w:r>
        <w:t xml:space="preserve">Public opinion data from the</w:t>
      </w:r>
      <w:r>
        <w:t xml:space="preserve"> </w:t>
      </w:r>
      <w:hyperlink r:id="rId32">
        <w:r>
          <w:rPr>
            <w:rStyle w:val="Hyperlink"/>
          </w:rPr>
          <w:t xml:space="preserve">AmericasBarometer survey</w:t>
        </w:r>
      </w:hyperlink>
      <w:r>
        <w:t xml:space="preserve"> </w:t>
      </w:r>
      <w:r>
        <w:t xml:space="preserve">from the Latin American Public Opinion Project (LAPOP) for Ecuador. I intend to use eight waves of data (2008-2023), each with about 1,500 respondents. The survey rounds include the day of the interview, which will allow me to join this data with the temperature data.</w:t>
      </w:r>
    </w:p>
    <w:p>
      <w:pPr>
        <w:pStyle w:val="FirstParagraph"/>
      </w:pPr>
      <w:r>
        <w:t xml:space="preserve">The AmericasBarometer by the LAPOP Lab. (n.d.).</w:t>
      </w:r>
      <w:r>
        <w:t xml:space="preserve"> </w:t>
      </w:r>
      <w:r>
        <w:rPr>
          <w:iCs/>
          <w:i/>
        </w:rPr>
        <w:t xml:space="preserve">The</w:t>
      </w:r>
      <w:r>
        <w:rPr>
          <w:iCs/>
          <w:i/>
        </w:rPr>
        <w:t xml:space="preserve"> </w:t>
      </w:r>
      <w:r>
        <w:rPr>
          <w:iCs/>
          <w:i/>
        </w:rPr>
        <w:t xml:space="preserve">AmericasBarometer</w:t>
      </w:r>
      <w:r>
        <w:t xml:space="preserve"> </w:t>
      </w:r>
      <w:r>
        <w:t xml:space="preserve">[Datasets with codebooks]. Retrieved February 11, 2024, from</w:t>
      </w:r>
      <w:r>
        <w:t xml:space="preserve"> </w:t>
      </w:r>
      <w:hyperlink r:id="rId33">
        <w:r>
          <w:rPr>
            <w:rStyle w:val="Hyperlink"/>
          </w:rPr>
          <w:t xml:space="preserve">https://www.vanderbilt.edu/lapop/raw-data.php</w:t>
        </w:r>
      </w:hyperlink>
    </w:p>
    <w:p>
      <w:pPr>
        <w:pStyle w:val="BodyText"/>
      </w:pPr>
      <w:r>
        <w:t xml:space="preserve">If the need arises, the</w:t>
      </w:r>
      <w:r>
        <w:t xml:space="preserve"> </w:t>
      </w:r>
      <w:hyperlink r:id="rId34">
        <w:r>
          <w:rPr>
            <w:rStyle w:val="Hyperlink"/>
          </w:rPr>
          <w:t xml:space="preserve">Latinobarómetro</w:t>
        </w:r>
      </w:hyperlink>
      <w:r>
        <w:t xml:space="preserve"> </w:t>
      </w:r>
      <w:r>
        <w:t xml:space="preserve">survey is also available, but the AmericasBarometer is more scientifically rigorous.</w:t>
      </w:r>
    </w:p>
    <w:p>
      <w:pPr>
        <w:numPr>
          <w:ilvl w:val="0"/>
          <w:numId w:val="1006"/>
        </w:numPr>
        <w:pStyle w:val="Compact"/>
      </w:pPr>
      <w:hyperlink r:id="rId35">
        <w:r>
          <w:rPr>
            <w:rStyle w:val="Hyperlink"/>
          </w:rPr>
          <w:t xml:space="preserve">Global daily grided temperature</w:t>
        </w:r>
      </w:hyperlink>
      <w:r>
        <w:t xml:space="preserve"> </w:t>
      </w:r>
      <w:r>
        <w:t xml:space="preserve">from the U.S. government National Oceanic and Atmospheric Administration (NOAA) Physical Sciences Laboratory (PSL). I will use the daily temperature data for Ecuador, available 1979-2024. An algorithm is needed to extract the temperature from the NetCDF files, which was developed by Alonso Quijano-Ruiz and freely available on</w:t>
      </w:r>
      <w:r>
        <w:t xml:space="preserve"> </w:t>
      </w:r>
      <w:hyperlink r:id="rId36">
        <w:r>
          <w:rPr>
            <w:rStyle w:val="Hyperlink"/>
          </w:rPr>
          <w:t xml:space="preserve">GitHub</w:t>
        </w:r>
      </w:hyperlink>
      <w:r>
        <w:t xml:space="preserve">.</w:t>
      </w:r>
    </w:p>
    <w:p>
      <w:pPr>
        <w:pStyle w:val="FirstParagraph"/>
      </w:pPr>
      <w:r>
        <w:t xml:space="preserve">National Oceanic and Atmospheric Administration (NOAA) Physical Sciences Laboratory (PSL). (2024).</w:t>
      </w:r>
      <w:r>
        <w:t xml:space="preserve"> </w:t>
      </w:r>
      <w:r>
        <w:rPr>
          <w:iCs/>
          <w:i/>
        </w:rPr>
        <w:t xml:space="preserve">CPC</w:t>
      </w:r>
      <w:r>
        <w:rPr>
          <w:iCs/>
          <w:i/>
        </w:rPr>
        <w:t xml:space="preserve"> </w:t>
      </w:r>
      <w:r>
        <w:rPr>
          <w:iCs/>
          <w:i/>
        </w:rPr>
        <w:t xml:space="preserve">Global</w:t>
      </w:r>
      <w:r>
        <w:rPr>
          <w:iCs/>
          <w:i/>
        </w:rPr>
        <w:t xml:space="preserve"> </w:t>
      </w:r>
      <w:r>
        <w:rPr>
          <w:iCs/>
          <w:i/>
        </w:rPr>
        <w:t xml:space="preserve">Unified</w:t>
      </w:r>
      <w:r>
        <w:rPr>
          <w:iCs/>
          <w:i/>
        </w:rPr>
        <w:t xml:space="preserve"> </w:t>
      </w:r>
      <w:r>
        <w:rPr>
          <w:iCs/>
          <w:i/>
        </w:rPr>
        <w:t xml:space="preserve">Temperature</w:t>
      </w:r>
      <w:r>
        <w:t xml:space="preserve"> </w:t>
      </w:r>
      <w:r>
        <w:t xml:space="preserve">[Datasets].</w:t>
      </w:r>
      <w:r>
        <w:t xml:space="preserve"> </w:t>
      </w:r>
      <w:hyperlink r:id="rId35">
        <w:r>
          <w:rPr>
            <w:rStyle w:val="Hyperlink"/>
          </w:rPr>
          <w:t xml:space="preserve">https://psl.noaa.gov/data/gridded/data.cpc.globaltemp.html</w:t>
        </w:r>
      </w:hyperlink>
    </w:p>
    <w:bookmarkEnd w:id="37"/>
    <w:bookmarkStart w:id="39" w:name="empirical-strategy"/>
    <w:p>
      <w:pPr>
        <w:pStyle w:val="Heading3"/>
      </w:pPr>
      <w:r>
        <w:t xml:space="preserve">Empirical Strategy</w:t>
      </w:r>
    </w:p>
    <w:p>
      <w:pPr>
        <w:pStyle w:val="FirstParagraph"/>
      </w:pPr>
      <w:r>
        <w:t xml:space="preserve">I will estimate the impact of transient daily temperature changes on perceptions of politican performance, as measured by the survey, using pooled cross-sectional models, as follows:</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τ</m:t>
              </m:r>
            </m:e>
            <m:sub>
              <m:r>
                <m:t>t</m:t>
              </m:r>
            </m:sub>
          </m:sSub>
          <m:r>
            <m:rPr>
              <m:sty m:val="p"/>
            </m:rPr>
            <m:t>+</m:t>
          </m:r>
          <m:sSub>
            <m:e>
              <m:r>
                <m:t>θ</m:t>
              </m:r>
            </m:e>
            <m:sub>
              <m:r>
                <m:t>j</m:t>
              </m:r>
            </m:sub>
          </m:sSub>
          <m:r>
            <m:rPr>
              <m:sty m:val="p"/>
            </m:rPr>
            <m:t>+</m:t>
          </m:r>
          <m:r>
            <m:t>δ</m:t>
          </m:r>
          <m:sSub>
            <m:e>
              <m:r>
                <m:rPr>
                  <m:nor/>
                  <m:sty m:val="p"/>
                </m:rPr>
                <m:t>temp</m:t>
              </m:r>
            </m:e>
            <m:sub>
              <m:r>
                <m:t>i</m:t>
              </m:r>
              <m:r>
                <m:t>t</m:t>
              </m:r>
            </m:sub>
          </m:sSub>
          <m:r>
            <m:rPr>
              <m:sty m:val="p"/>
            </m:rPr>
            <m:t>+</m:t>
          </m:r>
          <m:sSub>
            <m:e>
              <m:r>
                <m:rPr>
                  <m:sty m:val="p"/>
                  <m:scr m:val="double-struck"/>
                </m:rPr>
                <m:t>X</m:t>
              </m:r>
              <m:r>
                <m:rPr>
                  <m:sty m:val="p"/>
                  <m:scr m:val="double-struck"/>
                </m:rPr>
                <m:t>′</m:t>
              </m:r>
            </m:e>
            <m:sub>
              <m:r>
                <m:t>i</m:t>
              </m:r>
              <m:r>
                <m:t>t</m:t>
              </m:r>
            </m:sub>
          </m:sSub>
          <m:r>
            <m:t>β</m:t>
          </m:r>
          <m:r>
            <m:rPr>
              <m:sty m:val="p"/>
            </m:rPr>
            <m:t>+</m:t>
          </m:r>
          <m:sSub>
            <m:e>
              <m:r>
                <m:t>u</m:t>
              </m:r>
            </m:e>
            <m:sub>
              <m:r>
                <m:t>i</m:t>
              </m:r>
              <m:r>
                <m:t>t</m:t>
              </m:r>
            </m:sub>
          </m:sSub>
        </m:oMath>
      </m:oMathPara>
    </w:p>
    <w:p>
      <w:pPr>
        <w:pStyle w:val="FirstParagraph"/>
      </w:pPr>
      <w:r>
        <w:t xml:space="preserve">where</w:t>
      </w:r>
      <w:r>
        <w:t xml:space="preserve"> </w:t>
      </w:r>
      <m:oMath>
        <m:sSub>
          <m:e>
            <m:r>
              <m:t>y</m:t>
            </m:r>
          </m:e>
          <m:sub>
            <m:r>
              <m:t>i</m:t>
            </m:r>
            <m:r>
              <m:t>t</m:t>
            </m:r>
          </m:sub>
        </m:sSub>
      </m:oMath>
      <w:r>
        <w:t xml:space="preserve"> </w:t>
      </w:r>
      <w:r>
        <w:t xml:space="preserve">is the political performance variable,</w:t>
      </w:r>
      <w:r>
        <w:t xml:space="preserve"> </w:t>
      </w:r>
      <m:oMath>
        <m:r>
          <m:rPr>
            <m:nor/>
            <m:sty m:val="p"/>
          </m:rPr>
          <m:t>temp</m:t>
        </m:r>
      </m:oMath>
      <w:r>
        <w:t xml:space="preserve"> </w:t>
      </w:r>
      <w:r>
        <w:t xml:space="preserve">is daily temperature,</w:t>
      </w:r>
      <w:r>
        <w:t xml:space="preserve"> </w:t>
      </w:r>
      <m:oMath>
        <m:sSub>
          <m:e>
            <m:r>
              <m:rPr>
                <m:sty m:val="p"/>
                <m:scr m:val="double-struck"/>
              </m:rPr>
              <m:t>X</m:t>
            </m:r>
            <m:r>
              <m:rPr>
                <m:sty m:val="p"/>
                <m:scr m:val="double-struck"/>
              </m:rPr>
              <m:t>′</m:t>
            </m:r>
          </m:e>
          <m:sub>
            <m:r>
              <m:t>i</m:t>
            </m:r>
            <m:r>
              <m:t>t</m:t>
            </m:r>
          </m:sub>
        </m:sSub>
      </m:oMath>
      <w:r>
        <w:t xml:space="preserve"> </w:t>
      </w:r>
      <w:r>
        <w:t xml:space="preserve">is a vector of relevant time and individual-varying controls (as indicated by the literature), and</w:t>
      </w:r>
      <w:r>
        <w:t xml:space="preserve"> </w:t>
      </w:r>
      <m:oMath>
        <m:sSub>
          <m:e>
            <m:r>
              <m:t>u</m:t>
            </m:r>
          </m:e>
          <m:sub>
            <m:r>
              <m:t>i</m:t>
            </m:r>
            <m:r>
              <m:t>t</m:t>
            </m:r>
          </m:sub>
        </m:sSub>
      </m:oMath>
      <w:r>
        <w:t xml:space="preserve"> </w:t>
      </w:r>
      <w:r>
        <w:t xml:space="preserve">is the error term.</w:t>
      </w:r>
      <w:r>
        <w:t xml:space="preserve"> </w:t>
      </w:r>
      <m:oMath>
        <m:sSub>
          <m:e>
            <m:r>
              <m:t>τ</m:t>
            </m:r>
          </m:e>
          <m:sub>
            <m:r>
              <m:t>t</m:t>
            </m:r>
          </m:sub>
        </m:sSub>
      </m:oMath>
      <w:r>
        <w:t xml:space="preserve"> </w:t>
      </w:r>
      <w:r>
        <w:t xml:space="preserve">and</w:t>
      </w:r>
      <w:r>
        <w:t xml:space="preserve"> </w:t>
      </w:r>
      <m:oMath>
        <m:sSub>
          <m:e>
            <m:r>
              <m:t>θ</m:t>
            </m:r>
          </m:e>
          <m:sub>
            <m:r>
              <m:t>j</m:t>
            </m:r>
          </m:sub>
        </m:sSub>
      </m:oMath>
      <w:r>
        <w:t xml:space="preserve"> </w:t>
      </w:r>
      <w:r>
        <w:t xml:space="preserve">are vectors of time and region fixed effects, respectively, which control for time-varying and region-invariant unobserved heterogeneity for</w:t>
      </w:r>
      <w:r>
        <w:t xml:space="preserve"> </w:t>
      </w:r>
      <m:oMath>
        <m:r>
          <m:t>t</m:t>
        </m:r>
      </m:oMath>
      <w:r>
        <w:t xml:space="preserve"> </w:t>
      </w:r>
      <w:r>
        <w:t xml:space="preserve">time periods and</w:t>
      </w:r>
      <w:r>
        <w:t xml:space="preserve"> </w:t>
      </w:r>
      <m:oMath>
        <m:r>
          <m:t>j</m:t>
        </m:r>
      </m:oMath>
      <w:r>
        <w:t xml:space="preserve"> </w:t>
      </w:r>
      <w:r>
        <w:t xml:space="preserve">regions.</w:t>
      </w:r>
    </w:p>
    <w:p>
      <w:pPr>
        <w:pStyle w:val="BodyText"/>
      </w:pPr>
      <w:r>
        <w:t xml:space="preserve">The identifying assumption is that changes in daily temperature are random. This ensures the unbiased estimation of its coefficient,</w:t>
      </w:r>
      <w:r>
        <w:t xml:space="preserve"> </w:t>
      </w:r>
      <m:oMath>
        <m:r>
          <m:t>δ</m:t>
        </m:r>
      </m:oMath>
      <w:r>
        <w:t xml:space="preserve">, and thus, the causal effect of temperature on perceived political performance. Time and region fixed effects control for regional weather patterns as well as medium term trends in weather. In different specifications, I can include fixed effects at different aggregations (region, canton/municipality and parish are available)</w:t>
      </w:r>
      <w:r>
        <w:rPr>
          <w:rStyle w:val="FootnoteReference"/>
        </w:rPr>
        <w:footnoteReference w:id="38"/>
      </w:r>
      <w:r>
        <w:t xml:space="preserve">, as well as lagged temperature and other robustness checks.</w:t>
      </w:r>
    </w:p>
    <w:bookmarkEnd w:id="39"/>
    <w:sectPr w:rsidR="00F43B9E">
      <w:pgSz w:h="16838" w:w="11906"/>
      <w:pgMar w:bottom="1134" w:footer="709" w:gutter="0" w:header="709" w:left="1701" w:right="850" w:top="1134"/>
      <w:cols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I could include individual fixed effects, but since this is not panel data, it might overspecify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076C3C"/>
    <w:multiLevelType w:val="hybridMultilevel"/>
    <w:tmpl w:val="14EAAB5C"/>
    <w:lvl w:ilvl="0" w:tplc="7AC8B0FE">
      <w:start w:val="1"/>
      <w:numFmt w:val="bullet"/>
      <w:lvlText w:val=" "/>
      <w:lvlJc w:val="left"/>
      <w:pPr>
        <w:tabs>
          <w:tab w:pos="0" w:val="num"/>
        </w:tabs>
        <w:ind w:hanging="480" w:left="480"/>
      </w:pPr>
    </w:lvl>
    <w:lvl w:ilvl="1" w:tplc="796ED1F6">
      <w:start w:val="1"/>
      <w:numFmt w:val="bullet"/>
      <w:lvlText w:val=" "/>
      <w:lvlJc w:val="left"/>
      <w:pPr>
        <w:tabs>
          <w:tab w:pos="720" w:val="num"/>
        </w:tabs>
        <w:ind w:hanging="480" w:left="1200"/>
      </w:pPr>
    </w:lvl>
    <w:lvl w:ilvl="2" w:tplc="8AF07A10">
      <w:start w:val="1"/>
      <w:numFmt w:val="bullet"/>
      <w:lvlText w:val=" "/>
      <w:lvlJc w:val="left"/>
      <w:pPr>
        <w:tabs>
          <w:tab w:pos="1440" w:val="num"/>
        </w:tabs>
        <w:ind w:hanging="480" w:left="1920"/>
      </w:pPr>
    </w:lvl>
    <w:lvl w:ilvl="3" w:tplc="4CA011E0">
      <w:start w:val="1"/>
      <w:numFmt w:val="bullet"/>
      <w:lvlText w:val=" "/>
      <w:lvlJc w:val="left"/>
      <w:pPr>
        <w:tabs>
          <w:tab w:pos="2160" w:val="num"/>
        </w:tabs>
        <w:ind w:hanging="480" w:left="2640"/>
      </w:pPr>
    </w:lvl>
    <w:lvl w:ilvl="4" w:tplc="28A213A2">
      <w:start w:val="1"/>
      <w:numFmt w:val="bullet"/>
      <w:lvlText w:val=" "/>
      <w:lvlJc w:val="left"/>
      <w:pPr>
        <w:tabs>
          <w:tab w:pos="2880" w:val="num"/>
        </w:tabs>
        <w:ind w:hanging="480" w:left="3360"/>
      </w:pPr>
    </w:lvl>
    <w:lvl w:ilvl="5" w:tplc="7072435E">
      <w:start w:val="1"/>
      <w:numFmt w:val="bullet"/>
      <w:lvlText w:val=" "/>
      <w:lvlJc w:val="left"/>
      <w:pPr>
        <w:tabs>
          <w:tab w:pos="3600" w:val="num"/>
        </w:tabs>
        <w:ind w:hanging="480" w:left="4080"/>
      </w:pPr>
    </w:lvl>
    <w:lvl w:ilvl="6" w:tplc="C9FC5F80">
      <w:start w:val="1"/>
      <w:numFmt w:val="bullet"/>
      <w:lvlText w:val=" "/>
      <w:lvlJc w:val="left"/>
      <w:pPr>
        <w:tabs>
          <w:tab w:pos="4320" w:val="num"/>
        </w:tabs>
        <w:ind w:hanging="480" w:left="4800"/>
      </w:pPr>
    </w:lvl>
    <w:lvl w:ilvl="7" w:tplc="3A042260">
      <w:start w:val="1"/>
      <w:numFmt w:val="bullet"/>
      <w:lvlText w:val=" "/>
      <w:lvlJc w:val="left"/>
      <w:pPr>
        <w:tabs>
          <w:tab w:pos="5040" w:val="num"/>
        </w:tabs>
        <w:ind w:hanging="480" w:left="5520"/>
      </w:pPr>
    </w:lvl>
    <w:lvl w:ilvl="8" w:tplc="19BA36CA">
      <w:start w:val="1"/>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3757960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76F1E"/>
    <w:rPr>
      <w:rFonts w:ascii="Times New Roman" w:hAnsi="Times New Roman"/>
    </w:rPr>
  </w:style>
  <w:style w:styleId="Heading1" w:type="paragraph">
    <w:name w:val="heading 1"/>
    <w:basedOn w:val="Normal"/>
    <w:next w:val="BodyText"/>
    <w:link w:val="Heading1Char"/>
    <w:uiPriority w:val="9"/>
    <w:qFormat/>
    <w:pPr>
      <w:keepNext/>
      <w:keepLines/>
      <w:spacing w:after="0" w:before="480"/>
      <w:jc w:val="center"/>
      <w:outlineLvl w:val="0"/>
    </w:pPr>
    <w:rPr>
      <w:rFonts w:cs="Times New Roman" w:eastAsiaTheme="majorEastAsia"/>
      <w:b/>
      <w:bCs/>
    </w:rPr>
  </w:style>
  <w:style w:styleId="Heading2" w:type="paragraph">
    <w:name w:val="heading 2"/>
    <w:basedOn w:val="Normal"/>
    <w:next w:val="BodyText"/>
    <w:link w:val="Heading2Char"/>
    <w:uiPriority w:val="9"/>
    <w:unhideWhenUsed/>
    <w:qFormat/>
    <w:pPr>
      <w:keepNext/>
      <w:keepLines/>
      <w:spacing w:after="0" w:before="200"/>
      <w:outlineLvl w:val="1"/>
    </w:pPr>
    <w:rPr>
      <w:rFonts w:cs="Times New Roman" w:eastAsiaTheme="majorEastAsia"/>
      <w:b/>
      <w:bCs/>
    </w:rPr>
  </w:style>
  <w:style w:styleId="Heading3" w:type="paragraph">
    <w:name w:val="heading 3"/>
    <w:basedOn w:val="Normal"/>
    <w:next w:val="BodyText"/>
    <w:link w:val="Heading3Char"/>
    <w:uiPriority w:val="9"/>
    <w:unhideWhenUsed/>
    <w:qFormat/>
    <w:pPr>
      <w:keepNext/>
      <w:keepLines/>
      <w:spacing w:after="0" w:before="200"/>
      <w:outlineLvl w:val="2"/>
    </w:pPr>
    <w:rPr>
      <w:rFonts w:cs="Times New Roman" w:eastAsiaTheme="majorEastAsia"/>
      <w:b/>
      <w:bCs/>
      <w:i/>
      <w:iCs/>
    </w:rPr>
  </w:style>
  <w:style w:styleId="Heading4" w:type="paragraph">
    <w:name w:val="heading 4"/>
    <w:basedOn w:val="Normal"/>
    <w:next w:val="BodyText"/>
    <w:link w:val="Heading4Char"/>
    <w:uiPriority w:val="9"/>
    <w:unhideWhenUsed/>
    <w:qFormat/>
    <w:pPr>
      <w:keepNext/>
      <w:keepLines/>
      <w:spacing w:after="0" w:before="200"/>
      <w:ind w:firstLine="709"/>
      <w:outlineLvl w:val="3"/>
    </w:pPr>
    <w:rPr>
      <w:rFonts w:cs="Times New Roman" w:eastAsiaTheme="majorEastAsia"/>
      <w:b/>
      <w:bCs/>
    </w:rPr>
  </w:style>
  <w:style w:styleId="Heading5" w:type="paragraph">
    <w:name w:val="heading 5"/>
    <w:basedOn w:val="Normal"/>
    <w:next w:val="BodyText"/>
    <w:link w:val="Heading5Char"/>
    <w:uiPriority w:val="9"/>
    <w:unhideWhenUsed/>
    <w:qFormat/>
    <w:pPr>
      <w:keepNext/>
      <w:keepLines/>
      <w:spacing w:after="0" w:before="200"/>
      <w:ind w:firstLine="709"/>
      <w:outlineLvl w:val="4"/>
    </w:pPr>
    <w:rPr>
      <w:rFonts w:cs="Times New Roman" w:eastAsiaTheme="majorEastAsia"/>
      <w:b/>
      <w:bCs/>
      <w:i/>
      <w:iCs/>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Arial" w:cs="Arial" w:eastAsia="Arial" w:hAnsi="Arial"/>
      <w:sz w:val="40"/>
      <w:szCs w:val="40"/>
    </w:rPr>
  </w:style>
  <w:style w:customStyle="1" w:styleId="Heading2Char" w:type="character">
    <w:name w:val="Heading 2 Char"/>
    <w:basedOn w:val="DefaultParagraphFont"/>
    <w:link w:val="Heading2"/>
    <w:uiPriority w:val="9"/>
    <w:rPr>
      <w:rFonts w:ascii="Arial" w:cs="Arial" w:eastAsia="Arial" w:hAnsi="Arial"/>
      <w:sz w:val="34"/>
    </w:rPr>
  </w:style>
  <w:style w:customStyle="1" w:styleId="Heading3Char" w:type="character">
    <w:name w:val="Heading 3 Char"/>
    <w:basedOn w:val="DefaultParagraphFont"/>
    <w:link w:val="Heading3"/>
    <w:uiPriority w:val="9"/>
    <w:rPr>
      <w:rFonts w:ascii="Arial" w:cs="Arial" w:eastAsia="Arial" w:hAnsi="Arial"/>
      <w:sz w:val="30"/>
      <w:szCs w:val="30"/>
    </w:rPr>
  </w:style>
  <w:style w:customStyle="1" w:styleId="Heading4Char" w:type="character">
    <w:name w:val="Heading 4 Char"/>
    <w:basedOn w:val="DefaultParagraphFont"/>
    <w:link w:val="Heading4"/>
    <w:uiPriority w:val="9"/>
    <w:rPr>
      <w:rFonts w:ascii="Arial" w:cs="Arial" w:eastAsia="Arial" w:hAnsi="Arial"/>
      <w:b/>
      <w:bCs/>
      <w:sz w:val="26"/>
      <w:szCs w:val="26"/>
    </w:rPr>
  </w:style>
  <w:style w:customStyle="1" w:styleId="Heading5Char" w:type="character">
    <w:name w:val="Heading 5 Char"/>
    <w:basedOn w:val="DefaultParagraphFont"/>
    <w:link w:val="Heading5"/>
    <w:uiPriority w:val="9"/>
    <w:rPr>
      <w:rFonts w:ascii="Arial" w:cs="Arial" w:eastAsia="Arial" w:hAnsi="Arial"/>
      <w:b/>
      <w:bCs/>
      <w:sz w:val="24"/>
      <w:szCs w:val="24"/>
    </w:rPr>
  </w:style>
  <w:style w:customStyle="1" w:styleId="Heading6Char" w:type="character">
    <w:name w:val="Heading 6 Char"/>
    <w:basedOn w:val="DefaultParagraphFont"/>
    <w:link w:val="Heading6"/>
    <w:uiPriority w:val="9"/>
    <w:rPr>
      <w:rFonts w:ascii="Arial" w:cs="Arial" w:eastAsia="Arial" w:hAnsi="Arial"/>
      <w:b/>
      <w:bCs/>
      <w:sz w:val="22"/>
      <w:szCs w:val="22"/>
    </w:rPr>
  </w:style>
  <w:style w:customStyle="1" w:styleId="Heading7Char" w:type="character">
    <w:name w:val="Heading 7 Char"/>
    <w:basedOn w:val="DefaultParagraphFont"/>
    <w:link w:val="Heading7"/>
    <w:uiPriority w:val="9"/>
    <w:rPr>
      <w:rFonts w:ascii="Arial" w:cs="Arial" w:eastAsia="Arial" w:hAnsi="Arial"/>
      <w:b/>
      <w:bCs/>
      <w:i/>
      <w:iCs/>
      <w:sz w:val="22"/>
      <w:szCs w:val="22"/>
    </w:rPr>
  </w:style>
  <w:style w:customStyle="1" w:styleId="Heading8Char" w:type="character">
    <w:name w:val="Heading 8 Char"/>
    <w:basedOn w:val="DefaultParagraphFont"/>
    <w:link w:val="Heading8"/>
    <w:uiPriority w:val="9"/>
    <w:rPr>
      <w:rFonts w:ascii="Arial" w:cs="Arial" w:eastAsia="Arial" w:hAnsi="Arial"/>
      <w:i/>
      <w:iCs/>
      <w:sz w:val="22"/>
      <w:szCs w:val="22"/>
    </w:rPr>
  </w:style>
  <w:style w:customStyle="1" w:styleId="Heading9Char" w:type="character">
    <w:name w:val="Heading 9 Char"/>
    <w:basedOn w:val="DefaultParagraphFont"/>
    <w:link w:val="Heading9"/>
    <w:uiPriority w:val="9"/>
    <w:rPr>
      <w:rFonts w:ascii="Arial" w:cs="Arial" w:eastAsia="Arial" w:hAnsi="Arial"/>
      <w:i/>
      <w:iCs/>
      <w:sz w:val="21"/>
      <w:szCs w:val="21"/>
    </w:rPr>
  </w:style>
  <w:style w:styleId="ListParagraph" w:type="paragraph">
    <w:name w:val="List Paragraph"/>
    <w:basedOn w:val="Normal"/>
    <w:uiPriority w:val="34"/>
    <w:qFormat/>
    <w:pPr>
      <w:ind w:left="720"/>
      <w:contextualSpacing/>
    </w:pPr>
  </w:style>
  <w:style w:styleId="NoSpacing" w:type="paragraph">
    <w:name w:val="No Spacing"/>
    <w:uiPriority w:val="1"/>
    <w:qFormat/>
    <w:pPr>
      <w:spacing w:after="0"/>
    </w:pPr>
  </w:style>
  <w:style w:customStyle="1" w:styleId="TitleChar" w:type="character">
    <w:name w:val="Title Char"/>
    <w:basedOn w:val="DefaultParagraphFont"/>
    <w:link w:val="Title"/>
    <w:uiPriority w:val="10"/>
    <w:rPr>
      <w:sz w:val="48"/>
      <w:szCs w:val="48"/>
    </w:rPr>
  </w:style>
  <w:style w:customStyle="1" w:styleId="SubtitleChar" w:type="character">
    <w:name w:val="Subtitle Char"/>
    <w:basedOn w:val="DefaultParagraphFont"/>
    <w:link w:val="Subtitle"/>
    <w:uiPriority w:val="11"/>
    <w:rPr>
      <w:sz w:val="24"/>
      <w:szCs w:val="24"/>
    </w:rPr>
  </w:style>
  <w:style w:styleId="Quote" w:type="paragraph">
    <w:name w:val="Quote"/>
    <w:basedOn w:val="Normal"/>
    <w:next w:val="Normal"/>
    <w:link w:val="QuoteChar"/>
    <w:uiPriority w:val="29"/>
    <w:qFormat/>
    <w:pPr>
      <w:ind w:left="720" w:right="720"/>
    </w:pPr>
    <w:rPr>
      <w:i/>
    </w:rPr>
  </w:style>
  <w:style w:customStyle="1" w:styleId="QuoteChar" w:type="character">
    <w:name w:val="Quote Char"/>
    <w:link w:val="Quote"/>
    <w:uiPriority w:val="29"/>
    <w:rPr>
      <w:i/>
    </w:rPr>
  </w:style>
  <w:style w:styleId="IntenseQuote" w:type="paragraph">
    <w:name w:val="Intense Quote"/>
    <w:basedOn w:val="Normal"/>
    <w:next w:val="Normal"/>
    <w:link w:val="IntenseQuoteCh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IntenseQuoteChar" w:type="character">
    <w:name w:val="Intense Quote Char"/>
    <w:link w:val="IntenseQuote"/>
    <w:uiPriority w:val="30"/>
    <w:rPr>
      <w:i/>
    </w:rPr>
  </w:style>
  <w:style w:styleId="Header" w:type="paragraph">
    <w:name w:val="header"/>
    <w:basedOn w:val="Normal"/>
    <w:link w:val="HeaderChar"/>
    <w:uiPriority w:val="99"/>
    <w:unhideWhenUsed/>
    <w:pPr>
      <w:tabs>
        <w:tab w:pos="7143" w:val="center"/>
        <w:tab w:pos="14287" w:val="right"/>
      </w:tabs>
      <w:spacing w:after="0"/>
    </w:pPr>
  </w:style>
  <w:style w:customStyle="1" w:styleId="HeaderChar" w:type="character">
    <w:name w:val="Header Char"/>
    <w:basedOn w:val="DefaultParagraphFont"/>
    <w:link w:val="Header"/>
    <w:uiPriority w:val="99"/>
  </w:style>
  <w:style w:styleId="Footer" w:type="paragraph">
    <w:name w:val="footer"/>
    <w:basedOn w:val="Normal"/>
    <w:link w:val="FooterChar1"/>
    <w:uiPriority w:val="99"/>
    <w:unhideWhenUsed/>
    <w:pPr>
      <w:tabs>
        <w:tab w:pos="7143" w:val="center"/>
        <w:tab w:pos="14287" w:val="right"/>
      </w:tabs>
      <w:spacing w:after="0"/>
    </w:pPr>
  </w:style>
  <w:style w:customStyle="1" w:styleId="FooterChar" w:type="character">
    <w:name w:val="Footer Char"/>
    <w:basedOn w:val="DefaultParagraphFont"/>
    <w:uiPriority w:val="99"/>
  </w:style>
  <w:style w:customStyle="1" w:styleId="FooterChar1" w:type="character">
    <w:name w:val="Footer Char1"/>
    <w:link w:val="Footer"/>
    <w:uiPriority w:val="99"/>
  </w:style>
  <w:style w:styleId="TableGrid" w:type="table">
    <w:name w:val="Table Grid"/>
    <w:basedOn w:val="TableNormal"/>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ableGridLight" w:type="table">
    <w:name w:val="Grid Table Light"/>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PlainTable1" w:type="table">
    <w:name w:val="Plain Table 1"/>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PlainTable2" w:type="table">
    <w:name w:val="Plain Table 2"/>
    <w:basedOn w:val="TableNormal"/>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PlainTable3" w:type="table">
    <w:name w:val="Plain Table 3"/>
    <w:basedOn w:val="TableNormal"/>
    <w:uiPriority w:val="99"/>
    <w:pPr>
      <w:spacing w:after="0"/>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4" w:type="table">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5" w:type="table">
    <w:name w:val="Plain Table 5"/>
    <w:basedOn w:val="TableNormal"/>
    <w:uiPriority w:val="99"/>
    <w:pPr>
      <w:spacing w:after="0"/>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ridTable1Light" w:type="table">
    <w:name w:val="Grid Table 1 Light"/>
    <w:basedOn w:val="TableNormal"/>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styleId="GridTable1Light-Accent1" w:type="table">
    <w:name w:val="Grid Table 1 Light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styleId="GridTable1Light-Accent2" w:type="table">
    <w:name w:val="Grid Table 1 Light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styleId="GridTable1Light-Accent3" w:type="table">
    <w:name w:val="Grid Table 1 Light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styleId="GridTable1Light-Accent4" w:type="table">
    <w:name w:val="Grid Table 1 Light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styleId="GridTable1Light-Accent5" w:type="table">
    <w:name w:val="Grid Table 1 Light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styleId="GridTable1Light-Accent6" w:type="table">
    <w:name w:val="Grid Table 1 Light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GridTable2" w:type="table">
    <w:name w:val="Grid Table 2"/>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2-Accent1" w:type="table">
    <w:name w:val="Grid Table 2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2-Accent2" w:type="table">
    <w:name w:val="Grid Table 2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2-Accent3" w:type="table">
    <w:name w:val="Grid Table 2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2-Accent4" w:type="table">
    <w:name w:val="Grid Table 2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2-Accent5" w:type="table">
    <w:name w:val="Grid Table 2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2-Accent6" w:type="table">
    <w:name w:val="Grid Table 2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3" w:type="table">
    <w:name w:val="Grid Table 3"/>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3-Accent1" w:type="table">
    <w:name w:val="Grid Table 3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3-Accent2" w:type="table">
    <w:name w:val="Grid Table 3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3-Accent3" w:type="table">
    <w:name w:val="Grid Table 3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3-Accent4" w:type="table">
    <w:name w:val="Grid Table 3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3-Accent5" w:type="table">
    <w:name w:val="Grid Table 3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3-Accent6" w:type="table">
    <w:name w:val="Grid Table 3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4" w:type="table">
    <w:name w:val="Grid Table 4"/>
    <w:basedOn w:val="TableNormal"/>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4-Accent1" w:type="table">
    <w:name w:val="Grid Table 4 Accent 1"/>
    <w:basedOn w:val="TableNormal"/>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styleId="GridTable4-Accent2" w:type="table">
    <w:name w:val="Grid Table 4 Accent 2"/>
    <w:basedOn w:val="TableNormal"/>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4-Accent3" w:type="table">
    <w:name w:val="Grid Table 4 Accent 3"/>
    <w:basedOn w:val="TableNormal"/>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4-Accent4" w:type="table">
    <w:name w:val="Grid Table 4 Accent 4"/>
    <w:basedOn w:val="TableNormal"/>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4-Accent5" w:type="table">
    <w:name w:val="Grid Table 4 Accent 5"/>
    <w:basedOn w:val="TableNormal"/>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4-Accent6" w:type="table">
    <w:name w:val="Grid Table 4 Accent 6"/>
    <w:basedOn w:val="TableNormal"/>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5Dark" w:type="table">
    <w:name w:val="Grid Table 5 Dark"/>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styleId="GridTable5Dark-Accent2" w:type="table">
    <w:name w:val="Grid Table 5 Dark Accent 2"/>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styleId="GridTable5Dark-Accent3" w:type="table">
    <w:name w:val="Grid Table 5 Dark Accent 3"/>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styleId="GridTable5Dark-Accent5" w:type="table">
    <w:name w:val="Grid Table 5 Dark Accent 5"/>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styleId="GridTable5Dark-Accent6" w:type="table">
    <w:name w:val="Grid Table 5 Dark Accent 6"/>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GridTable6Colorful" w:type="table">
    <w:name w:val="Grid Table 6 Colorful"/>
    <w:basedOn w:val="TableNormal"/>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styleId="GridTable6Colorful-Accent1" w:type="table">
    <w:name w:val="Grid Table 6 Colorful Accent 1"/>
    <w:basedOn w:val="TableNormal"/>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6Colorful-Accent2" w:type="table">
    <w:name w:val="Grid Table 6 Colorful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6Colorful-Accent3" w:type="table">
    <w:name w:val="Grid Table 6 Colorful Accent 3"/>
    <w:basedOn w:val="TableNormal"/>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6Colorful-Accent4" w:type="table">
    <w:name w:val="Grid Table 6 Colorful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6Colorful-Accent5" w:type="table">
    <w:name w:val="Grid Table 6 Colorful Accent 5"/>
    <w:basedOn w:val="TableNormal"/>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6Colorful-Accent6" w:type="table">
    <w:name w:val="Grid Table 6 Colorful Accent 6"/>
    <w:basedOn w:val="TableNormal"/>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GridTable7Colorful" w:type="table">
    <w:name w:val="Grid Table 7 Colorful"/>
    <w:basedOn w:val="TableNormal"/>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styleId="GridTable7Colorful-Accent1" w:type="table">
    <w:name w:val="Grid Table 7 Colorful Accent 1"/>
    <w:basedOn w:val="TableNormal"/>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7Colorful-Accent2" w:type="table">
    <w:name w:val="Grid Table 7 Colorful Accent 2"/>
    <w:basedOn w:val="TableNormal"/>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7Colorful-Accent3" w:type="table">
    <w:name w:val="Grid Table 7 Colorful Accent 3"/>
    <w:basedOn w:val="TableNormal"/>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7Colorful-Accent4" w:type="table">
    <w:name w:val="Grid Table 7 Colorful Accent 4"/>
    <w:basedOn w:val="TableNormal"/>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7Colorful-Accent5" w:type="table">
    <w:name w:val="Grid Table 7 Colorful Accent 5"/>
    <w:basedOn w:val="TableNormal"/>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7Colorful-Accent6" w:type="table">
    <w:name w:val="Grid Table 7 Colorful Accent 6"/>
    <w:basedOn w:val="TableNormal"/>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ListTable1Light" w:type="table">
    <w:name w:val="List Table 1 Light"/>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styleId="ListTable1Light-Accent1" w:type="table">
    <w:name w:val="List Table 1 Light Accent 1"/>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styleId="ListTable1Light-Accent2" w:type="table">
    <w:name w:val="List Table 1 Light Accent 2"/>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styleId="ListTable1Light-Accent3" w:type="table">
    <w:name w:val="List Table 1 Light Accent 3"/>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styleId="ListTable1Light-Accent4" w:type="table">
    <w:name w:val="List Table 1 Light Accent 4"/>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styleId="ListTable1Light-Accent5" w:type="table">
    <w:name w:val="List Table 1 Light Accent 5"/>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styleId="ListTable1Light-Accent6" w:type="table">
    <w:name w:val="List Table 1 Light Accent 6"/>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ListTable2" w:type="table">
    <w:name w:val="List Table 2"/>
    <w:basedOn w:val="TableNormal"/>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2-Accent1" w:type="table">
    <w:name w:val="List Table 2 Accent 1"/>
    <w:basedOn w:val="TableNormal"/>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2-Accent2" w:type="table">
    <w:name w:val="List Table 2 Accent 2"/>
    <w:basedOn w:val="TableNormal"/>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2-Accent3" w:type="table">
    <w:name w:val="List Table 2 Accent 3"/>
    <w:basedOn w:val="TableNormal"/>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2-Accent4" w:type="table">
    <w:name w:val="List Table 2 Accent 4"/>
    <w:basedOn w:val="TableNormal"/>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2-Accent5" w:type="table">
    <w:name w:val="List Table 2 Accent 5"/>
    <w:basedOn w:val="TableNormal"/>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2-Accent6" w:type="table">
    <w:name w:val="List Table 2 Accent 6"/>
    <w:basedOn w:val="TableNormal"/>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3" w:type="table">
    <w:name w:val="List Table 3"/>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styleId="ListTable3-Accent1" w:type="table">
    <w:name w:val="List Table 3 Accent 1"/>
    <w:basedOn w:val="TableNormal"/>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styleId="ListTable3-Accent2" w:type="table">
    <w:name w:val="List Table 3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styleId="ListTable3-Accent3" w:type="table">
    <w:name w:val="List Table 3 Accent 3"/>
    <w:basedOn w:val="TableNormal"/>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styleId="ListTable3-Accent4" w:type="table">
    <w:name w:val="List Table 3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styleId="ListTable3-Accent5" w:type="table">
    <w:name w:val="List Table 3 Accent 5"/>
    <w:basedOn w:val="TableNormal"/>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styleId="ListTable3-Accent6" w:type="table">
    <w:name w:val="List Table 3 Accent 6"/>
    <w:basedOn w:val="TableNormal"/>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ListTable4" w:type="table">
    <w:name w:val="List Table 4"/>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4-Accent1" w:type="table">
    <w:name w:val="List Table 4 Accent 1"/>
    <w:basedOn w:val="TableNormal"/>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4-Accent2" w:type="table">
    <w:name w:val="List Table 4 Accent 2"/>
    <w:basedOn w:val="TableNormal"/>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4-Accent3" w:type="table">
    <w:name w:val="List Table 4 Accent 3"/>
    <w:basedOn w:val="TableNormal"/>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4-Accent4" w:type="table">
    <w:name w:val="List Table 4 Accent 4"/>
    <w:basedOn w:val="TableNormal"/>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4-Accent5" w:type="table">
    <w:name w:val="List Table 4 Accent 5"/>
    <w:basedOn w:val="TableNormal"/>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4-Accent6" w:type="table">
    <w:name w:val="List Table 4 Accent 6"/>
    <w:basedOn w:val="TableNormal"/>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5Dark" w:type="table">
    <w:name w:val="List Table 5 Dark"/>
    <w:basedOn w:val="TableNormal"/>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styleId="ListTable5Dark-Accent1" w:type="table">
    <w:name w:val="List Table 5 Dark Accent 1"/>
    <w:basedOn w:val="TableNormal"/>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styleId="ListTable5Dark-Accent2" w:type="table">
    <w:name w:val="List Table 5 Dark Accent 2"/>
    <w:basedOn w:val="TableNormal"/>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styleId="ListTable5Dark-Accent3" w:type="table">
    <w:name w:val="List Table 5 Dark Accent 3"/>
    <w:basedOn w:val="TableNormal"/>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styleId="ListTable5Dark-Accent4" w:type="table">
    <w:name w:val="List Table 5 Dark Accent 4"/>
    <w:basedOn w:val="TableNormal"/>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styleId="ListTable5Dark-Accent5" w:type="table">
    <w:name w:val="List Table 5 Dark Accent 5"/>
    <w:basedOn w:val="TableNormal"/>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styleId="ListTable5Dark-Accent6" w:type="table">
    <w:name w:val="List Table 5 Dark Accent 6"/>
    <w:basedOn w:val="TableNormal"/>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ListTable6Colorful" w:type="table">
    <w:name w:val="List Table 6 Colorful"/>
    <w:basedOn w:val="TableNormal"/>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styleId="ListTable6Colorful-Accent1" w:type="table">
    <w:name w:val="List Table 6 Colorful Accent 1"/>
    <w:basedOn w:val="TableNormal"/>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6Colorful-Accent2" w:type="table">
    <w:name w:val="List Table 6 Colorful Accent 2"/>
    <w:basedOn w:val="TableNormal"/>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6Colorful-Accent3" w:type="table">
    <w:name w:val="List Table 6 Colorful Accent 3"/>
    <w:basedOn w:val="TableNormal"/>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6Colorful-Accent4" w:type="table">
    <w:name w:val="List Table 6 Colorful Accent 4"/>
    <w:basedOn w:val="TableNormal"/>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6Colorful-Accent5" w:type="table">
    <w:name w:val="List Table 6 Colorful Accent 5"/>
    <w:basedOn w:val="TableNormal"/>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6Colorful-Accent6" w:type="table">
    <w:name w:val="List Table 6 Colorful Accent 6"/>
    <w:basedOn w:val="TableNormal"/>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ListTable7Colorful" w:type="table">
    <w:name w:val="List Table 7 Colorful"/>
    <w:basedOn w:val="TableNormal"/>
    <w:uiPriority w:val="99"/>
    <w:pPr>
      <w:spacing w:after="0"/>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styleId="ListTable7Colorful-Accent1" w:type="table">
    <w:name w:val="List Table 7 Colorful Accent 1"/>
    <w:basedOn w:val="TableNormal"/>
    <w:uiPriority w:val="99"/>
    <w:pPr>
      <w:spacing w:after="0"/>
    </w:pPr>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7Colorful-Accent2" w:type="table">
    <w:name w:val="List Table 7 Colorful Accent 2"/>
    <w:basedOn w:val="TableNormal"/>
    <w:uiPriority w:val="99"/>
    <w:pPr>
      <w:spacing w:after="0"/>
    </w:pPr>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7Colorful-Accent3" w:type="table">
    <w:name w:val="List Table 7 Colorful Accent 3"/>
    <w:basedOn w:val="TableNormal"/>
    <w:uiPriority w:val="99"/>
    <w:pPr>
      <w:spacing w:after="0"/>
    </w:pPr>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7Colorful-Accent4" w:type="table">
    <w:name w:val="List Table 7 Colorful Accent 4"/>
    <w:basedOn w:val="TableNormal"/>
    <w:uiPriority w:val="99"/>
    <w:pPr>
      <w:spacing w:after="0"/>
    </w:pPr>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7Colorful-Accent5" w:type="table">
    <w:name w:val="List Table 7 Colorful Accent 5"/>
    <w:basedOn w:val="TableNormal"/>
    <w:uiPriority w:val="99"/>
    <w:pPr>
      <w:spacing w:after="0"/>
    </w:pPr>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7Colorful-Accent6" w:type="table">
    <w:name w:val="List Table 7 Colorful Accent 6"/>
    <w:basedOn w:val="TableNormal"/>
    <w:uiPriority w:val="99"/>
    <w:pPr>
      <w:spacing w:after="0"/>
    </w:pPr>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eNormal"/>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eNormal"/>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eNormal"/>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eNormal"/>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eNormal"/>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eNormal"/>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eNormal"/>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eNormal"/>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FootnoteTextChar" w:type="character">
    <w:name w:val="Footnote Text Char"/>
    <w:link w:val="FootnoteText"/>
    <w:uiPriority w:val="99"/>
    <w:rPr>
      <w:sz w:val="18"/>
    </w:rPr>
  </w:style>
  <w:style w:styleId="EndnoteText" w:type="paragraph">
    <w:name w:val="endnote text"/>
    <w:basedOn w:val="Normal"/>
    <w:link w:val="EndnoteTextChar"/>
    <w:uiPriority w:val="99"/>
    <w:semiHidden/>
    <w:unhideWhenUsed/>
    <w:pPr>
      <w:spacing w:after="0"/>
    </w:pPr>
    <w:rPr>
      <w:sz w:val="20"/>
    </w:rPr>
  </w:style>
  <w:style w:customStyle="1" w:styleId="EndnoteTextChar" w:type="character">
    <w:name w:val="Endnote Text Char"/>
    <w:link w:val="EndnoteText"/>
    <w:uiPriority w:val="99"/>
    <w:rPr>
      <w:sz w:val="20"/>
    </w:rPr>
  </w:style>
  <w:style w:styleId="EndnoteReference" w:type="character">
    <w:name w:val="endnote reference"/>
    <w:basedOn w:val="DefaultParagraphFont"/>
    <w:uiPriority w:val="99"/>
    <w:semiHidden/>
    <w:unhideWhenUsed/>
    <w:rPr>
      <w:vertAlign w:val="superscript"/>
    </w:rPr>
  </w:style>
  <w:style w:styleId="TOC1" w:type="paragraph">
    <w:name w:val="toc 1"/>
    <w:basedOn w:val="Normal"/>
    <w:next w:val="Normal"/>
    <w:uiPriority w:val="39"/>
    <w:unhideWhenUsed/>
    <w:pPr>
      <w:spacing w:after="57"/>
    </w:pPr>
  </w:style>
  <w:style w:styleId="TOC2" w:type="paragraph">
    <w:name w:val="toc 2"/>
    <w:basedOn w:val="Normal"/>
    <w:next w:val="Normal"/>
    <w:uiPriority w:val="39"/>
    <w:unhideWhenUsed/>
    <w:pPr>
      <w:spacing w:after="57"/>
      <w:ind w:left="283"/>
    </w:pPr>
  </w:style>
  <w:style w:styleId="TOC3" w:type="paragraph">
    <w:name w:val="toc 3"/>
    <w:basedOn w:val="Normal"/>
    <w:next w:val="Normal"/>
    <w:uiPriority w:val="39"/>
    <w:unhideWhenUsed/>
    <w:pPr>
      <w:spacing w:after="57"/>
      <w:ind w:left="567"/>
    </w:pPr>
  </w:style>
  <w:style w:styleId="TOC4" w:type="paragraph">
    <w:name w:val="toc 4"/>
    <w:basedOn w:val="Normal"/>
    <w:next w:val="Normal"/>
    <w:uiPriority w:val="39"/>
    <w:unhideWhenUsed/>
    <w:pPr>
      <w:spacing w:after="57"/>
      <w:ind w:left="850"/>
    </w:pPr>
  </w:style>
  <w:style w:styleId="TOC5" w:type="paragraph">
    <w:name w:val="toc 5"/>
    <w:basedOn w:val="Normal"/>
    <w:next w:val="Normal"/>
    <w:uiPriority w:val="39"/>
    <w:unhideWhenUsed/>
    <w:pPr>
      <w:spacing w:after="57"/>
      <w:ind w:left="1134"/>
    </w:pPr>
  </w:style>
  <w:style w:styleId="TOC6" w:type="paragraph">
    <w:name w:val="toc 6"/>
    <w:basedOn w:val="Normal"/>
    <w:next w:val="Normal"/>
    <w:uiPriority w:val="39"/>
    <w:unhideWhenUsed/>
    <w:pPr>
      <w:spacing w:after="57"/>
      <w:ind w:left="1417"/>
    </w:pPr>
  </w:style>
  <w:style w:styleId="TOC7" w:type="paragraph">
    <w:name w:val="toc 7"/>
    <w:basedOn w:val="Normal"/>
    <w:next w:val="Normal"/>
    <w:uiPriority w:val="39"/>
    <w:unhideWhenUsed/>
    <w:pPr>
      <w:spacing w:after="57"/>
      <w:ind w:left="1701"/>
    </w:pPr>
  </w:style>
  <w:style w:styleId="TOC8" w:type="paragraph">
    <w:name w:val="toc 8"/>
    <w:basedOn w:val="Normal"/>
    <w:next w:val="Normal"/>
    <w:uiPriority w:val="39"/>
    <w:unhideWhenUsed/>
    <w:pPr>
      <w:spacing w:after="57"/>
      <w:ind w:left="1984"/>
    </w:pPr>
  </w:style>
  <w:style w:styleId="TOC9" w:type="paragraph">
    <w:name w:val="toc 9"/>
    <w:basedOn w:val="Normal"/>
    <w:next w:val="Normal"/>
    <w:uiPriority w:val="39"/>
    <w:unhideWhenUsed/>
    <w:pPr>
      <w:spacing w:after="57"/>
      <w:ind w:left="2268"/>
    </w:pPr>
  </w:style>
  <w:style w:styleId="TableofFigures" w:type="paragraph">
    <w:name w:val="table of figures"/>
    <w:basedOn w:val="Normal"/>
    <w:next w:val="Normal"/>
    <w:uiPriority w:val="99"/>
    <w:unhideWhenUsed/>
    <w:pPr>
      <w:spacing w:after="0"/>
    </w:pPr>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pPr>
      <w:keepNext/>
      <w:keepLines/>
      <w:spacing w:after="240" w:before="480"/>
      <w:jc w:val="center"/>
    </w:pPr>
    <w:rPr>
      <w:rFonts w:cs="Times New Roman" w:eastAsiaTheme="majorEastAsia"/>
      <w:b/>
      <w:bCs/>
    </w:rPr>
  </w:style>
  <w:style w:styleId="Subtitle" w:type="paragraph">
    <w:name w:val="Subtitle"/>
    <w:basedOn w:val="Title"/>
    <w:next w:val="BodyText"/>
    <w:link w:val="SubtitleChar"/>
    <w:qFormat/>
    <w:pPr>
      <w:spacing w:before="240"/>
    </w:pPr>
  </w:style>
  <w:style w:customStyle="1" w:styleId="Author" w:type="paragraph">
    <w:name w:val="Author"/>
    <w:next w:val="BodyText"/>
    <w:qFormat/>
    <w:rsid w:val="00676F1E"/>
    <w:pPr>
      <w:keepNext/>
      <w:keepLines/>
      <w:jc w:val="center"/>
    </w:pPr>
    <w:rPr>
      <w:rFonts w:ascii="Times New Roman" w:hAnsi="Times New Roman"/>
    </w:rPr>
  </w:style>
  <w:style w:styleId="Date" w:type="paragraph">
    <w:name w:val="Date"/>
    <w:next w:val="BodyText"/>
    <w:qFormat/>
    <w:rsid w:val="00676F1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rFonts w:cs="Times New Roman"/>
    </w:rPr>
  </w:style>
  <w:style w:styleId="Bibliography" w:type="paragraph">
    <w:name w:val="Bibliography"/>
    <w:basedOn w:val="Normal"/>
    <w:qFormat/>
    <w:rsid w:val="00676F1E"/>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000000" w:space="0" w:sz="4"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1"/>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1" w:type="character">
    <w:name w:val="Caption Char1"/>
    <w:basedOn w:val="DefaultParagraphFont"/>
    <w:link w:val="Caption"/>
  </w:style>
  <w:style w:customStyle="1" w:styleId="VerbatimChar" w:type="character">
    <w:name w:val="Verbatim Char"/>
    <w:basedOn w:val="CaptionChar1"/>
    <w:rPr>
      <w:rFonts w:ascii="Consolas" w:hAnsi="Consolas"/>
      <w:sz w:val="22"/>
    </w:rPr>
  </w:style>
  <w:style w:customStyle="1" w:styleId="SectionNumber" w:type="character">
    <w:name w:val="Section Number"/>
    <w:basedOn w:val="CaptionChar1"/>
  </w:style>
  <w:style w:styleId="FootnoteReference" w:type="character">
    <w:name w:val="footnote reference"/>
    <w:basedOn w:val="CaptionChar1"/>
    <w:rPr>
      <w:vertAlign w:val="superscript"/>
    </w:rPr>
  </w:style>
  <w:style w:styleId="Hyperlink" w:type="character">
    <w:name w:val="Hyperlink"/>
    <w:basedOn w:val="CaptionChar1"/>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One-Pager</dc:title>
  <dc:creator>Daniel Sánchez Pazmiño</dc:creator>
  <cp:keywords/>
  <dcterms:created xsi:type="dcterms:W3CDTF">2024-02-13T22:04:15Z</dcterms:created>
  <dcterms:modified xsi:type="dcterms:W3CDTF">2024-02-13T22:04:15Z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one_pager_bibliography.bib</vt:lpwstr>
  </property>
  <property fmtid="{D5CDD505-2E9C-101B-9397-08002B2CF9AE}" pid="5" name="by-author">
    <vt:lpwstr/>
  </property>
  <property fmtid="{D5CDD505-2E9C-101B-9397-08002B2CF9AE}" pid="6" name="csl">
    <vt:lpwstr>apa_one_pager.csl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ppress-bibliography">
    <vt:lpwstr>True</vt:lpwstr>
  </property>
  <property fmtid="{D5CDD505-2E9C-101B-9397-08002B2CF9AE}" pid="12" name="toc-title">
    <vt:lpwstr>Table of contents</vt:lpwstr>
  </property>
</Properties>
</file>