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5.png" ContentType="image/png"/>
  <Override PartName="/word/media/rId36.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POL837</w:t>
      </w:r>
      <w:r>
        <w:t xml:space="preserve"> </w:t>
      </w:r>
      <w:r>
        <w:t xml:space="preserve">Research</w:t>
      </w:r>
      <w:r>
        <w:t xml:space="preserve"> </w:t>
      </w:r>
      <w:r>
        <w:t xml:space="preserve">Paper</w:t>
      </w:r>
    </w:p>
    <w:bookmarkStart w:id="20" w:name="introduction"/>
    <w:p>
      <w:pPr>
        <w:pStyle w:val="Heading1"/>
      </w:pPr>
      <w:r>
        <w:t xml:space="preserve">1. Introduction</w:t>
      </w:r>
    </w:p>
    <w:p>
      <w:pPr>
        <w:pStyle w:val="FirstParagraph"/>
      </w:pPr>
      <w:r>
        <w:t xml:space="preserve">Retrospective voting is a fundamental concept in political science, which proposes that voters evaluate the performance of political leaders based on their past performance. This evaluation is based on the voters’ perceptions of the leader’s performance, which can be influenced by a variety of factors</w:t>
      </w:r>
      <w:r>
        <w:t xml:space="preserve"> </w:t>
      </w:r>
      <w:r>
        <w:t xml:space="preserve">(</w:t>
      </w:r>
      <w:r>
        <w:rPr>
          <w:bCs/>
          <w:b/>
        </w:rPr>
        <w:t xml:space="preserve">healyRetrospectiveVotingReconsidered2013?</w:t>
      </w:r>
      <w:r>
        <w:t xml:space="preserve">)</w:t>
      </w:r>
      <w:r>
        <w:t xml:space="preserve">. An adequate system of retrospective voting, where voters duefully reward and punish politicians, has been theorized to cause efficient political outcomes, where political actors who underperform leave office</w:t>
      </w:r>
      <w:r>
        <w:t xml:space="preserve"> </w:t>
      </w:r>
      <w:r>
        <w:t xml:space="preserve">(Ferejohn, 1986; Persson &amp; Tabellini, 2002;</w:t>
      </w:r>
      <w:r>
        <w:t xml:space="preserve"> </w:t>
      </w:r>
      <w:r>
        <w:rPr>
          <w:bCs/>
          <w:b/>
        </w:rPr>
        <w:t xml:space="preserve">ducheconomicvoteHow2008?</w:t>
      </w:r>
      <w:r>
        <w:t xml:space="preserve">)</w:t>
      </w:r>
      <w:r>
        <w:t xml:space="preserve">, resulting in greater democratic accountability. However, the literature on retrospective voting has found a variety of biases in the way voters attribute responsibility to political leaders, which challenges the foundational basis on early performance models. In this paper, I contribute to the literature on attribution errors by focusing on a novel subject, which is the effect of weather on voter attitudes, namely, on how seemingly irrelevant weather conditions affect presidential approval.</w:t>
      </w:r>
    </w:p>
    <w:p>
      <w:pPr>
        <w:pStyle w:val="BodyText"/>
      </w:pPr>
      <w:r>
        <w:t xml:space="preserve">Most of the literature of retrospective voting has focused on economic voting, which has long discussed if voters truly evaluate politicians based on the management of the economy, or the economy is seen through partisan lens. Presidential approval is closely related to this, considering the ample perception of the executive as the main responsible for the economy. Attribution errors have been found in this environment, where voters cannot accurately judge the performance due to a lack of information of politicians’ mandates</w:t>
      </w:r>
      <w:r>
        <w:t xml:space="preserve"> </w:t>
      </w:r>
      <w:r>
        <w:t xml:space="preserve">(</w:t>
      </w:r>
      <w:r>
        <w:rPr>
          <w:bCs/>
          <w:b/>
        </w:rPr>
        <w:t xml:space="preserve">healyMyopicVotersNatural2009?</w:t>
      </w:r>
      <w:r>
        <w:t xml:space="preserve">)</w:t>
      </w:r>
      <w:r>
        <w:t xml:space="preserve">.</w:t>
      </w:r>
    </w:p>
    <w:p>
      <w:pPr>
        <w:pStyle w:val="BodyText"/>
      </w:pPr>
      <w:r>
        <w:t xml:space="preserve">While the most obvious mistake of voters could be seen as the lack of information, cognitive biases can also lead to the incorrect attribution of responsibility to political leaders. Cognitive biases such as an increased emphasis in the election year, party cues, heuristics, have been found to be present in experimental settings</w:t>
      </w:r>
      <w:r>
        <w:t xml:space="preserve"> </w:t>
      </w:r>
      <w:r>
        <w:t xml:space="preserve">(</w:t>
      </w:r>
      <w:r>
        <w:rPr>
          <w:bCs/>
          <w:b/>
        </w:rPr>
        <w:t xml:space="preserve">hartQualityControlExperiments2023?</w:t>
      </w:r>
      <w:r>
        <w:t xml:space="preserve">)</w:t>
      </w:r>
      <w:r>
        <w:t xml:space="preserve">. Further, there is evidence that voters can commit severe attribution errors by assigning blame to politicians because of irrelevant events</w:t>
      </w:r>
      <w:r>
        <w:t xml:space="preserve"> </w:t>
      </w:r>
      <w:r>
        <w:t xml:space="preserve">(</w:t>
      </w:r>
      <w:r>
        <w:rPr>
          <w:bCs/>
          <w:b/>
        </w:rPr>
        <w:t xml:space="preserve">healyRandomEventsEconomic2010?</w:t>
      </w:r>
      <w:r>
        <w:t xml:space="preserve">)</w:t>
      </w:r>
      <w:r>
        <w:t xml:space="preserve">. The existence of these biases has been confirmed in recent observational studies, which find that in Latin America economic variables have little explanatory power in explaining presidential approval</w:t>
      </w:r>
      <w:r>
        <w:t xml:space="preserve"> </w:t>
      </w:r>
      <w:r>
        <w:t xml:space="preserve">(Berlemann &amp; Enkelmann, 2014;</w:t>
      </w:r>
      <w:r>
        <w:t xml:space="preserve"> </w:t>
      </w:r>
      <w:r>
        <w:rPr>
          <w:bCs/>
          <w:b/>
        </w:rPr>
        <w:t xml:space="preserve">laytonChapterCitizenSecurity2016?</w:t>
      </w:r>
      <w:r>
        <w:t xml:space="preserve">)</w:t>
      </w:r>
      <w:r>
        <w:t xml:space="preserve">.</w:t>
      </w:r>
    </w:p>
    <w:p>
      <w:pPr>
        <w:pStyle w:val="BodyText"/>
      </w:pPr>
      <w:r>
        <w:t xml:space="preserve">Nevertheless, even though research has shown clear results on the existence of biases and a growing importance on attribution errors, the literature is still limited in the exploration of unrelated factors that can affect presidential approval, such as the weather. This is important in developing democracies, where weather can be a more relevant factor in the lives of citizens, and where the literature on retrospective voting is still limited.</w:t>
      </w:r>
    </w:p>
    <w:p>
      <w:pPr>
        <w:pStyle w:val="BodyText"/>
      </w:pPr>
      <w:r>
        <w:t xml:space="preserve">Outside political science, it has been found that weather is a strong determinant of mood and personal evaluations of happinness and satisfaction</w:t>
      </w:r>
      <w:r>
        <w:t xml:space="preserve"> </w:t>
      </w:r>
      <w:r>
        <w:t xml:space="preserve">(C. P. Barrington-Leigh, 2008; C. Barrington-Leigh &amp; Behzadnejad, 2017;</w:t>
      </w:r>
      <w:r>
        <w:t xml:space="preserve"> </w:t>
      </w:r>
      <w:r>
        <w:rPr>
          <w:bCs/>
          <w:b/>
        </w:rPr>
        <w:t xml:space="preserve">lucasDoesLifeSeem2013?</w:t>
      </w:r>
      <w:r>
        <w:t xml:space="preserve">)</w:t>
      </w:r>
      <w:r>
        <w:t xml:space="preserve">. Further, organizational behaviour literature has also determined that weather can impact the way that subjective performance evaluations are made</w:t>
      </w:r>
      <w:r>
        <w:t xml:space="preserve"> </w:t>
      </w:r>
      <w:r>
        <w:t xml:space="preserve">(</w:t>
      </w:r>
      <w:r>
        <w:rPr>
          <w:bCs/>
          <w:b/>
        </w:rPr>
        <w:t xml:space="preserve">dellerEffectWeatherSubjective2022?</w:t>
      </w:r>
      <w:r>
        <w:t xml:space="preserve">)</w:t>
      </w:r>
      <w:r>
        <w:t xml:space="preserve">, which can be seen as a parallel to the way that voters evaluate politicians. Given that the literature on retrospective voting is based on the idea that mood can impact the way that voters evaluate politicians</w:t>
      </w:r>
      <w:r>
        <w:t xml:space="preserve"> </w:t>
      </w:r>
      <w:r>
        <w:t xml:space="preserve">(Bower, 1981; Schwarz &amp; Clore, 1983)</w:t>
      </w:r>
      <w:r>
        <w:t xml:space="preserve">, it is reasonable to assume that weather can have an impact on presidential approval, but to my knowledge, this is the only paper that explores this relationship.</w:t>
      </w:r>
    </w:p>
    <w:p>
      <w:pPr>
        <w:pStyle w:val="BodyText"/>
      </w:pPr>
      <w:r>
        <w:t xml:space="preserve">I construct a novel dataset by merging the AmericasBarometer (AB) public opinion survey data with CPC Global Unified temperature data in Ecuador. Given that short-term temperature changes can be assumed to be random, I exploit this variation to estimate the effect of temperature on presidential approval ratings. I find that higher temperatures have a negative and statistically significant relationship with presidential approval, which suggests that voters commit attribution errors when evaluating politicians.</w:t>
      </w:r>
    </w:p>
    <w:p>
      <w:pPr>
        <w:pStyle w:val="BodyText"/>
      </w:pPr>
      <w:r>
        <w:t xml:space="preserve">The paper proceeds as follows. In the next section, I present the empirical approach of the paper, which includes the data. In the Results section, I present the paper’s main findings. I also present the heterogenous effects of temperature on presidential approval. In the conclusion, I discuss the main findings of the paper and their implications for the literature on retrospective voting and attribution errors.</w:t>
      </w:r>
    </w:p>
    <w:bookmarkEnd w:id="20"/>
    <w:bookmarkStart w:id="35" w:name="empirical-approach"/>
    <w:p>
      <w:pPr>
        <w:pStyle w:val="Heading1"/>
      </w:pPr>
      <w:r>
        <w:t xml:space="preserve">2. Empirical Approach</w:t>
      </w:r>
    </w:p>
    <w:bookmarkStart w:id="33" w:name="data"/>
    <w:p>
      <w:pPr>
        <w:pStyle w:val="Heading2"/>
      </w:pPr>
      <w:r>
        <w:t xml:space="preserve">2.1 Data</w:t>
      </w:r>
    </w:p>
    <w:p>
      <w:pPr>
        <w:pStyle w:val="FirstParagraph"/>
      </w:pPr>
      <w:r>
        <w:t xml:space="preserve">My data are composed of a pooled cross section of the AmericasBarometer (AB)</w:t>
      </w:r>
      <w:r>
        <w:t xml:space="preserve"> </w:t>
      </w:r>
      <w:r>
        <w:t xml:space="preserve">(The AmericasBarometer by the LAPOP Lab, n.d.)</w:t>
      </w:r>
      <w:r>
        <w:t xml:space="preserve"> </w:t>
      </w:r>
      <w:r>
        <w:t xml:space="preserve">merged with daily CPC Global Unified temperature</w:t>
      </w:r>
      <w:r>
        <w:t xml:space="preserve"> </w:t>
      </w:r>
      <w:r>
        <w:t xml:space="preserve">(National Oceanic and Atmospheric Administration (NOAA) Physical Sciences Laboratory (PSL), 2024)</w:t>
      </w:r>
      <w:r>
        <w:t xml:space="preserve"> </w:t>
      </w:r>
      <w:r>
        <w:t xml:space="preserve">based on interview date and canton in Ecuador. The AB is a public opinion survey conducted by the Latin American Public Opinion Project (LAPOP), which has conducted biyearly survey waves in Ecuador and other countries from 2004 to 2023. I use the subscriber LAPOP datasets available through Universidad San Francisco de Quito’s research affiliation with LAPOP, focusing on the eight survey waves carried out between 2008 to 2023</w:t>
      </w:r>
      <w:r>
        <w:rPr>
          <w:rStyle w:val="FootnoteReference"/>
        </w:rPr>
        <w:footnoteReference w:id="21"/>
      </w:r>
      <w:r>
        <w:t xml:space="preserve">. The surveys are based on a multi-stage national probability design, representative at the national level, except for 2021, where the survey switched to a random-digit-dialing design due to the COVID-19 pandemic.</w:t>
      </w:r>
    </w:p>
    <w:p>
      <w:pPr>
        <w:pStyle w:val="BodyText"/>
      </w:pPr>
      <w:r>
        <w:t xml:space="preserve">The explained variable of interest is presidential job approval, which the AmericasBarometer measures as in a 1-5 scale in the question:</w:t>
      </w:r>
      <w:r>
        <w:t xml:space="preserve"> </w:t>
      </w:r>
      <w:r>
        <w:t xml:space="preserve"> </w:t>
      </w:r>
      <w:r>
        <w:t xml:space="preserve">(The AmericasBarometer by the LAPOP Lab, n.d.)</w:t>
      </w:r>
      <w:r>
        <w:t xml:space="preserve"> </w:t>
      </w:r>
      <w:r>
        <w:t xml:space="preserve">(p.14), where 1 represents a very good performance and 5 terrible performance. This question is similarly similarly to the classic Gallup presidential approval question, which the literature has used extensively</w:t>
      </w:r>
      <w:r>
        <w:t xml:space="preserve"> </w:t>
      </w:r>
      <w:r>
        <w:t xml:space="preserve">(Berlemann &amp; Enkelmann, 2014)</w:t>
      </w:r>
      <w:r>
        <w:t xml:space="preserve"> </w:t>
      </w:r>
      <w:r>
        <w:t xml:space="preserve">and has not been found to significantly deviate from other presidential popularity measures. I dichotomize the variable following LAPOP research reports</w:t>
      </w:r>
      <w:r>
        <w:t xml:space="preserve"> </w:t>
      </w:r>
      <w:r>
        <w:t xml:space="preserve">(</w:t>
      </w:r>
      <w:r>
        <w:rPr>
          <w:bCs/>
          <w:b/>
        </w:rPr>
        <w:t xml:space="preserve">laytonChapterCitizenSecurity2016?</w:t>
      </w:r>
      <w:r>
        <w:t xml:space="preserve">)</w:t>
      </w:r>
      <w:r>
        <w:t xml:space="preserve">, where responses greater than 3 are considerar as approval for the incumbent president.</w:t>
      </w:r>
    </w:p>
    <w:p>
      <w:pPr>
        <w:pStyle w:val="BodyText"/>
      </w:pPr>
      <w:r>
        <w:t xml:space="preserve">Table 1 below displays descriptive statistics for the variables used in the empirical analysis. I collect opinion on personal economic situations and on country economic situation, also measured on a 1-5 scale, where 1 represents a very good situation and 5 a terrible situation. Political ideology is represent in a 0-10 scale, where 0 represents the</w:t>
      </w:r>
      <w:r>
        <w:t xml:space="preserve"> </w:t>
      </w:r>
      <w:r>
        <w:t xml:space="preserve">“</w:t>
      </w:r>
      <w:r>
        <w:t xml:space="preserve">extreme left</w:t>
      </w:r>
      <w:r>
        <w:t xml:space="preserve">”</w:t>
      </w:r>
      <w:r>
        <w:t xml:space="preserve"> </w:t>
      </w:r>
      <w:r>
        <w:t xml:space="preserve">and 10 the extreme right. I include 1-7 scales for trust in police, local government, political pride, and support for democracy where 0 represents no trust or support and 7 complete the opposite. Corruption perceptions are collected by the AB as a 1-4 scale, where 1 represents</w:t>
      </w:r>
      <w:r>
        <w:t xml:space="preserve"> </w:t>
      </w:r>
      <w:r>
        <w:t xml:space="preserve">“</w:t>
      </w:r>
      <w:r>
        <w:t xml:space="preserve">corruption not generalized</w:t>
      </w:r>
      <w:r>
        <w:t xml:space="preserve">”</w:t>
      </w:r>
      <w:r>
        <w:t xml:space="preserve"> </w:t>
      </w:r>
      <w:r>
        <w:t xml:space="preserve">and 4</w:t>
      </w:r>
      <w:r>
        <w:t xml:space="preserve"> </w:t>
      </w:r>
      <w:r>
        <w:t xml:space="preserve">“</w:t>
      </w:r>
      <w:r>
        <w:t xml:space="preserve">very generalized</w:t>
      </w:r>
      <w:r>
        <w:t xml:space="preserve">”</w:t>
      </w:r>
      <w:r>
        <w:t xml:space="preserve"> </w:t>
      </w:r>
      <w:r>
        <w:t xml:space="preserve">(The AmericasBarometer by the LAPOP Lab, n.d.)</w:t>
      </w:r>
      <w:r>
        <w:t xml:space="preserve"> </w:t>
      </w:r>
      <w:r>
        <w:t xml:space="preserve">(p. 22). I dichotomize this variable taking values greater than 1 as perceiving corruption. Corruption tolerance is measured as tolerance to paying a bribe, where 0 is not justified, and 1 is justified. The empirical analysis also includes demographic controls, where labour market status includes three categories: employed, not in the labour force, and unemployed. Not being in the labour force includes retired, students, homemakers, and those not working. Education is a categorical variable for highest educational degree attained, including levels for no education, primary, secondary, and higher education (college, university or higher are lumped together).</w:t>
      </w:r>
    </w:p>
    <w:p>
      <w:pPr>
        <w:pStyle w:val="BodyText"/>
      </w:pPr>
      <w:r>
        <w:t xml:space="preserve">I extract daily minimum and maximum temperature and precipitation data from the CPC Global Unified Temperature datasets</w:t>
      </w:r>
      <w:r>
        <w:t xml:space="preserve"> </w:t>
      </w:r>
      <w:r>
        <w:t xml:space="preserve">(National Oceanic and Atmospheric Administration (NOAA) Physical Sciences Laboratory (PSL), 2024)</w:t>
      </w:r>
      <w:r>
        <w:t xml:space="preserve">. These datasets are prepared by the U.S. government National Oceanic and Atmospheric Administration (NOAA) and result from satellite imaging of the Earth surface. While typically daily weather data would be available from every country’s meteorological authority</w:t>
      </w:r>
      <w:r>
        <w:rPr>
          <w:rStyle w:val="FootnoteReference"/>
        </w:rPr>
        <w:footnoteReference w:id="22"/>
      </w:r>
      <w:r>
        <w:t xml:space="preserve">, the Ecuadorian publicly available meteorological data lacks the frequency and geospatial granularity required for this type of analysis.</w:t>
      </w:r>
    </w:p>
    <w:p>
      <w:pPr>
        <w:pStyle w:val="BodyText"/>
      </w:pPr>
      <w:r>
        <w:t xml:space="preserve">The temperature data from NOAA is of lower quality than that of a typical meteorological authority, given that this data is global gridded GTS data (0.5</w:t>
      </w:r>
      <w:r>
        <w:t xml:space="preserve">) for temperature and gauge-based for precipitation. However, I follow Quijano-Ruiz</w:t>
      </w:r>
      <w:r>
        <w:t xml:space="preserve"> </w:t>
      </w:r>
      <w:r>
        <w:t xml:space="preserve">(</w:t>
      </w:r>
      <w:r>
        <w:rPr>
          <w:bCs/>
          <w:b/>
        </w:rPr>
        <w:t xml:space="preserve">quijano-ruizAssessingReliabilitySelfrated2023?</w:t>
      </w:r>
      <w:r>
        <w:t xml:space="preserve">)</w:t>
      </w:r>
      <w:r>
        <w:t xml:space="preserve"> </w:t>
      </w:r>
      <w:r>
        <w:t xml:space="preserve">and compute weighted mean minimum and maximum temperatures for each canton</w:t>
      </w:r>
      <w:r>
        <w:rPr>
          <w:rStyle w:val="FootnoteReference"/>
        </w:rPr>
        <w:footnoteReference w:id="23"/>
      </w:r>
      <w:r>
        <w:t xml:space="preserve">. and day, where the weights are the surface area of each canton. Replication code for this process is publicly available in a</w:t>
      </w:r>
      <w:r>
        <w:t xml:space="preserve"> </w:t>
      </w:r>
      <w:hyperlink r:id="rId24">
        <w:r>
          <w:rPr>
            <w:rStyle w:val="Hyperlink"/>
          </w:rPr>
          <w:t xml:space="preserve">GitHub repository</w:t>
        </w:r>
      </w:hyperlink>
      <w:r>
        <w:t xml:space="preserve">. The surface area of each canton is obtained the Ecuadorian statistics authority (INEC, for its initials in Spanish) geoportal, along with the map shapefiles and political administrative divisions to match the canton names and codes to the AB data</w:t>
      </w:r>
      <w:r>
        <w:t xml:space="preserve"> </w:t>
      </w:r>
      <w:r>
        <w:t xml:space="preserve">(Instituto Nacional de Estadística y Censos, n.d.)</w:t>
      </w:r>
      <w:r>
        <w:t xml:space="preserve">. I then merge this data with the AB data using the interview dates and canton codes as join identifiers.</w:t>
      </w:r>
    </w:p>
    <w:tbl>
      <w:tblPr>
        <w:tblStyle w:val="Table"/>
        <w:tblW w:type="pct" w:w="5000"/>
        <w:tblLook w:firstRow="0" w:lastRow="0" w:firstColumn="0" w:lastColumn="0" w:noHBand="0" w:noVBand="0" w:val="0000"/>
        <w:jc w:val="start"/>
        <w:tblLayout w:type="fixed"/>
      </w:tblPr>
      <w:tblGrid>
        <w:gridCol w:w="7920"/>
      </w:tblGrid>
      <w:tr>
        <w:tc>
          <w:tcPr/>
          <w:bookmarkStart w:id="28" w:name="fig-interviewdates"/>
          <w:p>
            <w:pPr>
              <w:jc w:val="center"/>
            </w:pPr>
            <w:pPr>
              <w:jc w:val="start"/>
              <w:spacing w:before="200"/>
              <w:pStyle w:val="ImageCaption"/>
            </w:pPr>
            <w:r>
              <w:t xml:space="preserve">Figure 1: Survey dates of the Americas Barometer in Ecuador, 2008-2023</w:t>
            </w:r>
          </w:p>
          <w:p>
            <w:pPr>
              <w:pStyle w:val="Compact"/>
              <w:jc w:val="center"/>
            </w:pPr>
            <w:r>
              <w:drawing>
                <wp:inline>
                  <wp:extent cx="5930900" cy="3488308"/>
                  <wp:effectExtent b="0" l="0" r="0" t="0"/>
                  <wp:docPr descr="" title="" id="26" name="Picture"/>
                  <a:graphic>
                    <a:graphicData uri="http://schemas.openxmlformats.org/drawingml/2006/picture">
                      <pic:pic>
                        <pic:nvPicPr>
                          <pic:cNvPr descr="..\figures/interview_dates_barchart.png" id="27" name="Picture"/>
                          <pic:cNvPicPr>
                            <a:picLocks noChangeArrowheads="1" noChangeAspect="1"/>
                          </pic:cNvPicPr>
                        </pic:nvPicPr>
                        <pic:blipFill>
                          <a:blip r:embed="rId25"/>
                          <a:stretch>
                            <a:fillRect/>
                          </a:stretch>
                        </pic:blipFill>
                        <pic:spPr bwMode="auto">
                          <a:xfrm>
                            <a:off x="0" y="0"/>
                            <a:ext cx="5930900" cy="3488308"/>
                          </a:xfrm>
                          <a:prstGeom prst="rect">
                            <a:avLst/>
                          </a:prstGeom>
                          <a:noFill/>
                          <a:ln w="9525">
                            <a:noFill/>
                            <a:headEnd/>
                            <a:tailEnd/>
                          </a:ln>
                        </pic:spPr>
                      </pic:pic>
                    </a:graphicData>
                  </a:graphic>
                </wp:inline>
              </w:drawing>
            </w:r>
          </w:p>
          <w:bookmarkEnd w:id="28"/>
        </w:tc>
      </w:tr>
    </w:tbl>
    <w:p>
      <w:pPr>
        <w:pStyle w:val="BodyText"/>
      </w:pPr>
      <w:hyperlink w:anchor="fig-interviewdates">
        <w:r>
          <w:rPr>
            <w:rStyle w:val="Hyperlink"/>
          </w:rPr>
          <w:t xml:space="preserve">Figure 1</w:t>
        </w:r>
      </w:hyperlink>
      <w:r>
        <w:t xml:space="preserve"> </w:t>
      </w:r>
      <w:r>
        <w:t xml:space="preserve">shows the distribution of respondents by interview date in the AmericasBarometer survey waves. As it can be seen, most stay in a relatively small time frame. The 2018 wave (sometimes referred as the 2018/19 wave) is the most spread out due to the survey being carried out between late 2018 and early 2019. Most waves are carried out January to April. These periods contain rich variation of temperature for Ecuador’s diverse geography.</w:t>
      </w:r>
    </w:p>
    <w:tbl>
      <w:tblPr>
        <w:tblStyle w:val="Table"/>
        <w:tblW w:type="pct" w:w="5000"/>
        <w:tblLook w:firstRow="0" w:lastRow="0" w:firstColumn="0" w:lastColumn="0" w:noHBand="0" w:noVBand="0" w:val="0000"/>
        <w:jc w:val="start"/>
        <w:tblLayout w:type="fixed"/>
      </w:tblPr>
      <w:tblGrid>
        <w:gridCol w:w="7920"/>
      </w:tblGrid>
      <w:tr>
        <w:tc>
          <w:tcPr/>
          <w:bookmarkStart w:id="32" w:name="fig-temperature"/>
          <w:p>
            <w:pPr>
              <w:jc w:val="center"/>
            </w:pPr>
            <w:pPr>
              <w:jc w:val="start"/>
              <w:spacing w:before="200"/>
              <w:pStyle w:val="ImageCaption"/>
            </w:pPr>
            <w:r>
              <w:t xml:space="preserve">Figure 2: Mean monthly temperatures, 2008-2023</w:t>
            </w:r>
          </w:p>
          <w:p>
            <w:pPr>
              <w:pStyle w:val="Compact"/>
              <w:jc w:val="center"/>
            </w:pPr>
            <w:r>
              <w:drawing>
                <wp:inline>
                  <wp:extent cx="5930900" cy="3488308"/>
                  <wp:effectExtent b="0" l="0" r="0" t="0"/>
                  <wp:docPr descr="" title="" id="30" name="Picture"/>
                  <a:graphic>
                    <a:graphicData uri="http://schemas.openxmlformats.org/drawingml/2006/picture">
                      <pic:pic>
                        <pic:nvPicPr>
                          <pic:cNvPr descr="..\figures/ecuador_monthly_mean_temps_fig.png" id="31" name="Picture"/>
                          <pic:cNvPicPr>
                            <a:picLocks noChangeArrowheads="1" noChangeAspect="1"/>
                          </pic:cNvPicPr>
                        </pic:nvPicPr>
                        <pic:blipFill>
                          <a:blip r:embed="rId29"/>
                          <a:stretch>
                            <a:fillRect/>
                          </a:stretch>
                        </pic:blipFill>
                        <pic:spPr bwMode="auto">
                          <a:xfrm>
                            <a:off x="0" y="0"/>
                            <a:ext cx="5930900" cy="3488308"/>
                          </a:xfrm>
                          <a:prstGeom prst="rect">
                            <a:avLst/>
                          </a:prstGeom>
                          <a:noFill/>
                          <a:ln w="9525">
                            <a:noFill/>
                            <a:headEnd/>
                            <a:tailEnd/>
                          </a:ln>
                        </pic:spPr>
                      </pic:pic>
                    </a:graphicData>
                  </a:graphic>
                </wp:inline>
              </w:drawing>
            </w:r>
          </w:p>
          <w:bookmarkEnd w:id="32"/>
        </w:tc>
      </w:tr>
    </w:tbl>
    <w:p>
      <w:pPr>
        <w:pStyle w:val="BodyText"/>
      </w:pPr>
      <w:r>
        <w:t xml:space="preserve">In</w:t>
      </w:r>
      <w:r>
        <w:t xml:space="preserve"> </w:t>
      </w:r>
      <w:hyperlink w:anchor="fig-temperature">
        <w:r>
          <w:rPr>
            <w:rStyle w:val="Hyperlink"/>
          </w:rPr>
          <w:t xml:space="preserve">Figure 2</w:t>
        </w:r>
      </w:hyperlink>
      <w:r>
        <w:t xml:space="preserve"> </w:t>
      </w:r>
      <w:r>
        <w:t xml:space="preserve">above I show mean monthly minimum and maximum temperatures from 2008 to 2023. There are no notable upward or downward trends through time, with some periods showing higher temperatures, possible due to El Niño events</w:t>
      </w:r>
      <w:r>
        <w:t xml:space="preserve"> </w:t>
      </w:r>
      <w:r>
        <w:t xml:space="preserve">(</w:t>
      </w:r>
      <w:r>
        <w:rPr>
          <w:bCs/>
          <w:b/>
        </w:rPr>
        <w:t xml:space="preserve">yehNinochangingclimate2009?</w:t>
      </w:r>
      <w:r>
        <w:t xml:space="preserve">)</w:t>
      </w:r>
      <w:r>
        <w:t xml:space="preserve">. An important feature is that the spread between minimum and maximum temperatures is relatively stable, which will be important for the identification strategy, which I describe below.</w:t>
      </w:r>
    </w:p>
    <w:bookmarkEnd w:id="33"/>
    <w:bookmarkStart w:id="34" w:name="identification-strategy"/>
    <w:p>
      <w:pPr>
        <w:pStyle w:val="Heading2"/>
      </w:pPr>
      <w:r>
        <w:t xml:space="preserve">2.2 Identification strategy</w:t>
      </w:r>
    </w:p>
    <w:p>
      <w:pPr>
        <w:pStyle w:val="FirstParagraph"/>
      </w:pPr>
      <w:r>
        <w:t xml:space="preserve">I exploit variation produced by a natural experiment: the transitory nature of daily temperature changes. I assume these changes are random and exogenous to variables related to political mechanisms or other variables that can affect the performance of political leaders. By making this assumption, I can definme a presidential population function as follows:</w:t>
      </w:r>
    </w:p>
    <w:p>
      <w:pPr>
        <w:pStyle w:val="BodyText"/>
      </w:pPr>
      <w:r>
        <w:t xml:space="preserve">where</w:t>
      </w:r>
      <w:r>
        <w:t xml:space="preserve"> </w:t>
      </w:r>
      <m:oMath>
        <m:sSub>
          <m:e>
            <m:r>
              <m:rPr>
                <m:nor/>
                <m:sty m:val="p"/>
              </m:rPr>
              <m:t>approval</m:t>
            </m:r>
          </m:e>
          <m:sub>
            <m:r>
              <m:t>i</m:t>
            </m:r>
            <m:r>
              <m:t>t</m:t>
            </m:r>
          </m:sub>
        </m:sSub>
      </m:oMath>
      <w:r>
        <w:t xml:space="preserve"> </w:t>
      </w:r>
      <w:r>
        <w:t xml:space="preserve">is presidential approval,</w:t>
      </w:r>
      <w:r>
        <w:t xml:space="preserve"> </w:t>
      </w:r>
      <m:oMath>
        <m:sSub>
          <m:e>
            <m:r>
              <m:t>τ</m:t>
            </m:r>
          </m:e>
          <m:sub>
            <m:r>
              <m:t>d</m:t>
            </m:r>
          </m:sub>
        </m:sSub>
      </m:oMath>
      <w:r>
        <w:t xml:space="preserve"> </w:t>
      </w:r>
      <w:r>
        <w:t xml:space="preserve">and</w:t>
      </w:r>
      <w:r>
        <w:t xml:space="preserve"> </w:t>
      </w:r>
      <m:oMath>
        <m:sSub>
          <m:e>
            <m:r>
              <m:t>θ</m:t>
            </m:r>
          </m:e>
          <m:sub>
            <m:r>
              <m:t>j</m:t>
            </m:r>
          </m:sub>
        </m:sSub>
      </m:oMath>
      <w:r>
        <w:t xml:space="preserve"> </w:t>
      </w:r>
      <w:r>
        <w:t xml:space="preserve">are vectors of interview date and canton fixed effects,</w:t>
      </w:r>
      <w:r>
        <w:t xml:space="preserve"> </w:t>
      </w:r>
      <m:oMath>
        <m:sSub>
          <m:e>
            <m:r>
              <m:rPr>
                <m:nor/>
                <m:sty m:val="p"/>
              </m:rPr>
              <m:t>temp</m:t>
            </m:r>
          </m:e>
          <m:sub>
            <m:r>
              <m:t>j</m:t>
            </m:r>
            <m:r>
              <m:t>d</m:t>
            </m:r>
          </m:sub>
        </m:sSub>
      </m:oMath>
      <w:r>
        <w:t xml:space="preserve"> </w:t>
      </w:r>
      <w:r>
        <w:t xml:space="preserve">is daily temperature,</w:t>
      </w:r>
      <w:r>
        <w:t xml:space="preserve"> </w:t>
      </w:r>
      <m:oMath>
        <m:sSub>
          <m:e>
            <m:r>
              <m:rPr>
                <m:sty m:val="p"/>
                <m:scr m:val="double-struck"/>
              </m:rPr>
              <m:t>X</m:t>
            </m:r>
            <m:r>
              <m:rPr>
                <m:sty m:val="p"/>
                <m:scr m:val="double-struck"/>
              </m:rPr>
              <m:t>′</m:t>
            </m:r>
          </m:e>
          <m:sub>
            <m:r>
              <m:t>i</m:t>
            </m:r>
            <m:r>
              <m:t>t</m:t>
            </m:r>
          </m:sub>
        </m:sSub>
      </m:oMath>
      <w:r>
        <w:t xml:space="preserve"> </w:t>
      </w:r>
      <w:r>
        <w:t xml:space="preserve">a vector of survey-wave and individual varying controls,</w:t>
      </w:r>
      <w:r>
        <w:t xml:space="preserve"> </w:t>
      </w:r>
      <m:oMath>
        <m:r>
          <m:t>γ</m:t>
        </m:r>
      </m:oMath>
      <w:r>
        <w:t xml:space="preserve"> </w:t>
      </w:r>
      <w:r>
        <w:t xml:space="preserve">the vector of associated control coefficients and</w:t>
      </w:r>
      <w:r>
        <w:t xml:space="preserve"> </w:t>
      </w:r>
      <m:oMath>
        <m:sSub>
          <m:e>
            <m:r>
              <m:t>u</m:t>
            </m:r>
          </m:e>
          <m:sub>
            <m:r>
              <m:t>i</m:t>
            </m:r>
            <m:r>
              <m:t>t</m:t>
            </m:r>
          </m:sub>
        </m:sSub>
      </m:oMath>
      <w:r>
        <w:t xml:space="preserve"> </w:t>
      </w:r>
      <w:r>
        <w:t xml:space="preserve">an error term. The parameter</w:t>
      </w:r>
      <w:r>
        <w:t xml:space="preserve"> </w:t>
      </w:r>
      <m:oMath>
        <m:r>
          <m:t>β</m:t>
        </m:r>
      </m:oMath>
      <w:r>
        <w:t xml:space="preserve"> </w:t>
      </w:r>
      <w:r>
        <w:t xml:space="preserve">is the coefficient of interest, which measures the effect of temperature on presidential approval. The assumption of randomness in temperature changes implies that</w:t>
      </w:r>
    </w:p>
    <w:p>
      <w:pPr>
        <w:pStyle w:val="BodyText"/>
      </w:pPr>
    </w:p>
    <w:p>
      <w:pPr>
        <w:pStyle w:val="BodyText"/>
      </w:pPr>
      <w:r>
        <w:t xml:space="preserve">which allows me to estimate</w:t>
      </w:r>
      <w:r>
        <w:t xml:space="preserve"> </w:t>
      </w:r>
      <m:oMath>
        <m:r>
          <m:t>β</m:t>
        </m:r>
      </m:oMath>
      <w:r>
        <w:t xml:space="preserve"> </w:t>
      </w:r>
      <w:r>
        <w:t xml:space="preserve">consistently. However, if temperature as measured by the CPC Global Unified Temperature datasets suffers from measurement error,</w:t>
      </w:r>
      <w:r>
        <w:t xml:space="preserve"> </w:t>
      </w:r>
      <m:oMath>
        <m:acc>
          <m:accPr>
            <m:chr m:val="̂"/>
          </m:accPr>
          <m:e>
            <m:r>
              <m:t>β</m:t>
            </m:r>
          </m:e>
        </m:acc>
      </m:oMath>
      <w:r>
        <w:t xml:space="preserve"> </w:t>
      </w:r>
      <w:r>
        <w:t xml:space="preserve">can suffer from attenuation bias, which makes me underestimate the true effect of temperature on presidential approval. Attenuation bias will exist if measurement error is more likely to be present in days with higher or lower temperatures, or for certain cantons. There is no reason to assume this is the case, but I address this possibility later in the paper. If measurement error is present but not correlated with the error term, then</w:t>
      </w:r>
      <w:r>
        <w:t xml:space="preserve"> </w:t>
      </w:r>
      <m:oMath>
        <m:acc>
          <m:accPr>
            <m:chr m:val="̂"/>
          </m:accPr>
          <m:e>
            <m:r>
              <m:t>β</m:t>
            </m:r>
          </m:e>
        </m:acc>
      </m:oMath>
      <w:r>
        <w:t xml:space="preserve"> </w:t>
      </w:r>
      <w:r>
        <w:t xml:space="preserve">will still be consistently estimated, but with less precision.</w:t>
      </w:r>
    </w:p>
    <w:p>
      <w:pPr>
        <w:pStyle w:val="BodyText"/>
      </w:pPr>
      <w:r>
        <w:t xml:space="preserve">Further, given that I only observe presidential approval in an ordinal or binary scale, I cannot directly estimate Equation 1. While it is possible to use a linear probability model, I choose to follow the literature and use logistic regression to estimate a variant of Equation 1, as follows:</w:t>
      </w:r>
    </w:p>
    <w:p>
      <w:pPr>
        <w:pStyle w:val="BodyText"/>
      </w:pPr>
      <w:r>
        <w:t xml:space="preserve">where</w:t>
      </w:r>
      <w:r>
        <w:t xml:space="preserve"> </w:t>
      </w:r>
      <m:oMath>
        <m:r>
          <m:t>P</m:t>
        </m:r>
        <m:d>
          <m:dPr>
            <m:begChr m:val="("/>
            <m:endChr m:val=")"/>
            <m:sepChr m:val=""/>
            <m:grow/>
          </m:dPr>
          <m:e>
            <m:sSub>
              <m:e>
                <m:r>
                  <m:rPr>
                    <m:nor/>
                    <m:sty m:val="p"/>
                  </m:rPr>
                  <m:t>approval</m:t>
                </m:r>
              </m:e>
              <m:sub>
                <m:r>
                  <m:t>i</m:t>
                </m:r>
                <m:r>
                  <m:t>t</m:t>
                </m:r>
              </m:sub>
            </m:sSub>
            <m:r>
              <m:rPr>
                <m:sty m:val="p"/>
              </m:rPr>
              <m:t>=</m:t>
            </m:r>
            <m:r>
              <m:t>1</m:t>
            </m:r>
          </m:e>
        </m:d>
      </m:oMath>
      <w:r>
        <w:t xml:space="preserve"> </w:t>
      </w:r>
      <w:r>
        <w:t xml:space="preserve">is the probability of approving the incumbent president,</w:t>
      </w:r>
      <w:r>
        <w:t xml:space="preserve"> </w:t>
      </w:r>
      <m:oMath>
        <m:r>
          <m:t>G</m:t>
        </m:r>
      </m:oMath>
      <w:r>
        <w:t xml:space="preserve"> </w:t>
      </w:r>
      <w:r>
        <w:t xml:space="preserve">is the link function,</w:t>
      </w:r>
      <w:r>
        <w:t xml:space="preserve"> </w:t>
      </w:r>
      <m:oMath>
        <m:r>
          <m:rPr>
            <m:sty m:val="b"/>
          </m:rPr>
          <m:t>R</m:t>
        </m:r>
      </m:oMath>
      <w:r>
        <w:t xml:space="preserve"> </w:t>
      </w:r>
      <w:r>
        <w:t xml:space="preserve">is a vector of explanatory variables, which includes all variables in Equation 1, and</w:t>
      </w:r>
      <w:r>
        <w:t xml:space="preserve"> </w:t>
      </w:r>
      <m:oMath>
        <m:r>
          <m:t>λ</m:t>
        </m:r>
      </m:oMath>
      <w:r>
        <w:t xml:space="preserve"> </w:t>
      </w:r>
      <w:r>
        <w:t xml:space="preserve">is the associated vector of coefficients. I estimate Equation 2 using the logistic function as</w:t>
      </w:r>
      <w:r>
        <w:t xml:space="preserve"> </w:t>
      </w:r>
      <m:oMath>
        <m:r>
          <m:t>G</m:t>
        </m:r>
      </m:oMath>
      <w:r>
        <w:t xml:space="preserve">. I cluster all standard errors at the canton level, to allow for spatially clustered correlation in the error term.</w:t>
      </w:r>
    </w:p>
    <w:bookmarkEnd w:id="34"/>
    <w:bookmarkEnd w:id="35"/>
    <w:bookmarkStart w:id="45" w:name="results"/>
    <w:p>
      <w:pPr>
        <w:pStyle w:val="Heading1"/>
      </w:pPr>
      <w:r>
        <w:t xml:space="preserve">3. Results</w:t>
      </w:r>
    </w:p>
    <w:bookmarkStart w:id="39" w:name="baseline-specifications"/>
    <w:p>
      <w:pPr>
        <w:pStyle w:val="Heading2"/>
      </w:pPr>
      <w:r>
        <w:t xml:space="preserve">3.1 Baseline specifications</w:t>
      </w:r>
    </w:p>
    <w:p>
      <w:pPr>
        <w:pStyle w:val="FirstParagraph"/>
      </w:pPr>
      <w:r>
        <w:t xml:space="preserve">Table 3 shows baseline results of the logit fixed effects estimation of Equation</w:t>
      </w:r>
      <w:r>
        <w:t xml:space="preserve"> </w:t>
      </w:r>
      <w:r>
        <w:t xml:space="preserve">, which are the baseline empirical models of the paper, implementing only daily weather variables and canton and interview date fixed effects. These results serve as a benchmark comparison for the subsequent models that include additional control variables. Further, models without any type of political behaviour controls leverage a large sample size. I later estimate models with controls to examine the robustness of these results and the existence of omitted variable bias.</w:t>
      </w:r>
    </w:p>
    <w:p>
      <w:pPr>
        <w:pStyle w:val="BodyText"/>
      </w:pPr>
      <w:r>
        <w:t xml:space="preserve">Specification (1) considers only daily minimum temperature as a weather variable, which shows a positive logit coefficient which is not statistically distinguishable from zero at any conventional significance level. Specification (2) only includes maximum daily temperature, which shows a negative logit coefficient that is statistically significant at the 0.01 level. Specification (3) includes my measure of average temperature, again showing no statistically significant relationship between temperature and presidential approval. Specification (4) considers the relationship between both daily temperature variables, to account for interconnected relationships between these two variables. I also include a daily precipitation variable, to account for the possibility that a more humid rain may have an effect. It is shown that maximum temperature keeps its significance at the 0.01 level, while the other weather variables remain statistically insignificant at any conventional significance level. It is valuable to note that standard errors for these variables are not notably large, which suggests that the lack of statistical significance may not be due to a lack of precision in the estimation process. This is evidence which supports the hypothesis that voters may commit attribution errors when evaluating politician’s performance, and tend to evaluate the president worse in days with higher temperatures.</w:t>
      </w:r>
    </w:p>
    <w:p>
      <w:pPr>
        <w:pStyle w:val="CaptionedFigure"/>
      </w:pPr>
      <w:r>
        <w:drawing>
          <wp:inline>
            <wp:extent cx="5930900" cy="3541937"/>
            <wp:effectExtent b="0" l="0" r="0" t="0"/>
            <wp:docPr descr="Marginal Effects of Max. Temperature on Presidential Approval" title="" id="37" name="Picture"/>
            <a:graphic>
              <a:graphicData uri="http://schemas.openxmlformats.org/drawingml/2006/picture">
                <pic:pic>
                  <pic:nvPicPr>
                    <pic:cNvPr descr="main_files/figure-docx/partial-effects-plot-1.png" id="38" name="Picture"/>
                    <pic:cNvPicPr>
                      <a:picLocks noChangeArrowheads="1" noChangeAspect="1"/>
                    </pic:cNvPicPr>
                  </pic:nvPicPr>
                  <pic:blipFill>
                    <a:blip r:embed="rId36"/>
                    <a:stretch>
                      <a:fillRect/>
                    </a:stretch>
                  </pic:blipFill>
                  <pic:spPr bwMode="auto">
                    <a:xfrm>
                      <a:off x="0" y="0"/>
                      <a:ext cx="5930900" cy="3541937"/>
                    </a:xfrm>
                    <a:prstGeom prst="rect">
                      <a:avLst/>
                    </a:prstGeom>
                    <a:noFill/>
                    <a:ln w="9525">
                      <a:noFill/>
                      <a:headEnd/>
                      <a:tailEnd/>
                    </a:ln>
                  </pic:spPr>
                </pic:pic>
              </a:graphicData>
            </a:graphic>
          </wp:inline>
        </w:drawing>
      </w:r>
    </w:p>
    <w:p>
      <w:pPr>
        <w:pStyle w:val="ImageCaption"/>
      </w:pPr>
      <w:r>
        <w:t xml:space="preserve">Marginal Effects of Max. Temperature on Presidential Approval</w:t>
      </w:r>
    </w:p>
    <w:p>
      <w:pPr>
        <w:pStyle w:val="BodyText"/>
      </w:pPr>
      <w:r>
        <w:t xml:space="preserve">Figure 3 shows the marginal effects plot of maximum temperature on presidential approval from Specification (4). The plot shows that the marginal probability of presidential approval decreases as maximum temperature increases. At about 10°C of maximum daily temperatures, an additional degree makes survey respondents one percent point less likely to approve of the president. At the highest maximum temperature, which is about 34°C, an additional degree makes survey respondents about 1.3 percent points less likely to approve of the president. These translate to an average marginal effect of -1.1%, as it can be seen in the Appendix, which presents average marginal effects for all the tables in the paper.</w:t>
      </w:r>
    </w:p>
    <w:bookmarkEnd w:id="39"/>
    <w:bookmarkStart w:id="43" w:name="controlling-for-political-behaviour"/>
    <w:p>
      <w:pPr>
        <w:pStyle w:val="Heading2"/>
      </w:pPr>
      <w:r>
        <w:t xml:space="preserve">3.2 Controlling for political behaviour</w:t>
      </w:r>
    </w:p>
    <w:p>
      <w:pPr>
        <w:pStyle w:val="FirstParagraph"/>
      </w:pPr>
      <w:r>
        <w:t xml:space="preserve">Table 4 shows the results of the logit fixed effects estimation of Equation</w:t>
      </w:r>
      <w:r>
        <w:t xml:space="preserve"> </w:t>
      </w:r>
      <w:r>
        <w:t xml:space="preserve"> </w:t>
      </w:r>
      <w:r>
        <w:t xml:space="preserve">with additional political behaviour controls. I control for regular demographic and socioeconomic variables, as well as political ideology and behaviour. I control for sex, age and rural status (vs. an urban status reference level). I also compare the effect of different levels of education, where my reference level is no reported education level (0 years of education). For labour market status, I consider four categories, where the reference level is being employed and binary variables for not being the labour force (retired, not working, student, and homemakers.) and being unemployed (looking actively for a job). Personal perceptions of both personal and country economic situations are included too. The country’s economic situation is particularly informative, given that it partials out the relationship of economic voting from the weather variables.</w:t>
      </w:r>
    </w:p>
    <w:p>
      <w:pPr>
        <w:pStyle w:val="BodyText"/>
      </w:pPr>
      <w:r>
        <w:t xml:space="preserve">I also control for political ideology through a 0-10 scale indicating the degree to which a survey respondent identifies with a more right-wing ideology. Finally, I include variables for democracy support, as measured by the classic</w:t>
      </w:r>
      <w:r>
        <w:t xml:space="preserve"> </w:t>
      </w:r>
      <w:r>
        <w:t xml:space="preserve">“</w:t>
      </w:r>
      <w:r>
        <w:t xml:space="preserve">Churchill</w:t>
      </w:r>
      <w:r>
        <w:t xml:space="preserve">”</w:t>
      </w:r>
      <w:r>
        <w:t xml:space="preserve"> </w:t>
      </w:r>
      <w:r>
        <w:t xml:space="preserve">definition, political pride, corruption perceptions, corruption tolerance (bribes) and trust scores for police and local government. By including these controls, I aim to address any potential omitted variable bias that could be present from the underlying model in Table 1. The literature has pointed to several factors that can interact with voters’ attribution processes; these could act as confounders in my estimation procedure and should be controlled for to the extent that is possible. A disadvantage to these models is that lose a large amount of observations, since not all questions are asked consistently across survey rounds. Further, I completely lose the 2021 wave due to a lack of the most fundamental controls, which were not asked due to the restricted survey design which was adopted to the COVID-19 pandemic.</w:t>
      </w:r>
    </w:p>
    <w:p>
      <w:pPr>
        <w:pStyle w:val="BodyText"/>
      </w:pPr>
      <w:r>
        <w:t xml:space="preserve">Specifications (1) through (4) show the results of the specifications in Table 3, but with the addition of the political behaviour controls. These results show that the sign and statistical significance of daily maximum temperature remain unchanged, which suggests that the relationship between temperature and presidential approval is robust to the inclusion of these controls. Further, I also find a negative and statistically significant relationship between presidential approval and my measure of average temperature in specification (3), which was not present in the baseline models.</w:t>
      </w:r>
    </w:p>
    <w:p>
      <w:pPr>
        <w:pStyle w:val="BodyText"/>
      </w:pPr>
      <w:r>
        <w:t xml:space="preserve">With regard to the political behaviour controls, I find that the relationship between presidential approval and the political behaviour controls is consistent with the literature. Those who perceive the country’s economic situation as worse are less likely to approve of the president, as are those who perceive the country as more corrupt and those more tolerant to bribes. The former result is consistent with most of the literature on economic voting. Further, I find that support for democracy, police, and political pride are positively related to presidential approval, while the opposite is true for those who are more right-wing and those who are unemployed. No demographic or socioeconomic variables are statistically significant at any conventional significance level other than sex (female).</w:t>
      </w:r>
    </w:p>
    <w:p>
      <w:pPr>
        <w:pStyle w:val="CaptionedFigure"/>
      </w:pPr>
      <w:r>
        <w:drawing>
          <wp:inline>
            <wp:extent cx="5930900" cy="3541937"/>
            <wp:effectExtent b="0" l="0" r="0" t="0"/>
            <wp:docPr descr="Marginal Effects of Max. Temperature on Presidential Approval with Controls" title="" id="41" name="Picture"/>
            <a:graphic>
              <a:graphicData uri="http://schemas.openxmlformats.org/drawingml/2006/picture">
                <pic:pic>
                  <pic:nvPicPr>
                    <pic:cNvPr descr="main_files/figure-docx/partial-effects-plot-controls-1.png" id="42" name="Picture"/>
                    <pic:cNvPicPr>
                      <a:picLocks noChangeArrowheads="1" noChangeAspect="1"/>
                    </pic:cNvPicPr>
                  </pic:nvPicPr>
                  <pic:blipFill>
                    <a:blip r:embed="rId40"/>
                    <a:stretch>
                      <a:fillRect/>
                    </a:stretch>
                  </pic:blipFill>
                  <pic:spPr bwMode="auto">
                    <a:xfrm>
                      <a:off x="0" y="0"/>
                      <a:ext cx="5930900" cy="3541937"/>
                    </a:xfrm>
                    <a:prstGeom prst="rect">
                      <a:avLst/>
                    </a:prstGeom>
                    <a:noFill/>
                    <a:ln w="9525">
                      <a:noFill/>
                      <a:headEnd/>
                      <a:tailEnd/>
                    </a:ln>
                  </pic:spPr>
                </pic:pic>
              </a:graphicData>
            </a:graphic>
          </wp:inline>
        </w:drawing>
      </w:r>
    </w:p>
    <w:p>
      <w:pPr>
        <w:pStyle w:val="ImageCaption"/>
      </w:pPr>
      <w:r>
        <w:t xml:space="preserve">Marginal Effects of Max. Temperature on Presidential Approval with Controls</w:t>
      </w:r>
    </w:p>
    <w:p>
      <w:pPr>
        <w:pStyle w:val="BodyText"/>
      </w:pPr>
      <w:r>
        <w:t xml:space="preserve">Above, Figure 2 the marginal effects plot of maximum temperature on presidential approval from Specification (4) with controls is shown. Comparing to Figure 1, it is shown that the inclusion of controls does not change the decreasing marginal probability of presidential approval acrossing maximum temperature. The relationship is in fact increased after controls are included, suggest a downward bias in the baseline models. The average marginal effect of maximum temperature on presidential approval is -2.2%, as it can be seen in Appendix A.</w:t>
      </w:r>
    </w:p>
    <w:bookmarkEnd w:id="43"/>
    <w:bookmarkStart w:id="44" w:name="X3b5fd0fc069c0340b5ca9e85e089252a1bbaa35"/>
    <w:p>
      <w:pPr>
        <w:pStyle w:val="Heading2"/>
      </w:pPr>
      <w:r>
        <w:t xml:space="preserve">3.3 Heterogenous effects of temperature on presidential approval</w:t>
      </w:r>
    </w:p>
    <w:p>
      <w:pPr>
        <w:pStyle w:val="FirstParagraph"/>
      </w:pPr>
      <w:r>
        <w:t xml:space="preserve">In this subsection I allow for heterogeneity in the effect of temperature on presidential approval. Table 3 below follows the general model below, which includes an interaction term.</w:t>
      </w:r>
    </w:p>
    <w:p>
      <w:pPr>
        <w:pStyle w:val="BodyText"/>
      </w:pPr>
      <w:r>
        <w:t xml:space="preserve">All variables are defined as in Equation</w:t>
      </w:r>
      <w:r>
        <w:t xml:space="preserve"> </w:t>
      </w:r>
      <w:r>
        <w:t xml:space="preserve">, but I include an interaction term between temperature and any explanatory variable</w:t>
      </w:r>
      <w:r>
        <w:t xml:space="preserve"> </w:t>
      </w:r>
      <m:oMath>
        <m:sSub>
          <m:e>
            <m:r>
              <m:t>g</m:t>
            </m:r>
          </m:e>
          <m:sub>
            <m:r>
              <m:t>i</m:t>
            </m:r>
            <m:r>
              <m:t>t</m:t>
            </m:r>
          </m:sub>
        </m:sSub>
      </m:oMath>
      <w:r>
        <w:t xml:space="preserve">, which was only contained in the vector of controls</w:t>
      </w:r>
      <w:r>
        <w:t xml:space="preserve"> </w:t>
      </w:r>
      <m:oMath>
        <m:sSub>
          <m:e>
            <m:r>
              <m:rPr>
                <m:sty m:val="p"/>
                <m:scr m:val="double-struck"/>
              </m:rPr>
              <m:t>X</m:t>
            </m:r>
            <m:r>
              <m:rPr>
                <m:sty m:val="p"/>
                <m:scr m:val="double-struck"/>
              </m:rPr>
              <m:t>′</m:t>
            </m:r>
          </m:e>
          <m:sub>
            <m:r>
              <m:t>i</m:t>
            </m:r>
            <m:r>
              <m:t>t</m:t>
            </m:r>
          </m:sub>
        </m:sSub>
      </m:oMath>
      <w:r>
        <w:t xml:space="preserve">. In this section, I explore important covariates that can interact with temperature to affect presidential approval, which are region</w:t>
      </w:r>
      <w:r>
        <w:t xml:space="preserve">, perceived economic situations for both the country and the respondent, and political ideology. If the interaction term is statistically significant, it would suggest that the effect of temperature on presidential approval is not constant across the population, and that the relationship between temperature and presidential approval is conditional on the value of the covariate. The controls on vector</w:t>
      </w:r>
      <w:r>
        <w:t xml:space="preserve"> </w:t>
      </w:r>
      <m:oMath>
        <m:sSub>
          <m:e>
            <m:r>
              <m:rPr>
                <m:sty m:val="p"/>
                <m:scr m:val="double-struck"/>
              </m:rPr>
              <m:t>X</m:t>
            </m:r>
            <m:r>
              <m:rPr>
                <m:sty m:val="p"/>
                <m:scr m:val="double-struck"/>
              </m:rPr>
              <m:t>′</m:t>
            </m:r>
          </m:e>
          <m:sub>
            <m:r>
              <m:t>i</m:t>
            </m:r>
            <m:r>
              <m:t>t</m:t>
            </m:r>
          </m:sub>
        </m:sSub>
      </m:oMath>
      <w:r>
        <w:t xml:space="preserve"> </w:t>
      </w:r>
      <w:r>
        <w:t xml:space="preserve">are the same as in Table 2 for this subsection, but are not shown in the table for brevity.</w:t>
      </w:r>
    </w:p>
    <w:p>
      <w:pPr>
        <w:pStyle w:val="BodyText"/>
      </w:pPr>
      <w:r>
        <w:t xml:space="preserve">These results show that heterogeneity exists in the effect of the temperature on presidential approval between different regions in the country. Survey respondents from the Amazon region are less likely to approve of the president at higher values of maximum temperature compared to those in the Highlands region. As pointed out in the background section, the Amazon region is the most humid and warm region in the country, which could explain this result if weather truly affects presidential approval. However, the AmericasBarometer surveys very little respondents in Amazon cantons, which is why this result is very preliminary. Survey respondents from the Coastal region do not show a statistically significant difference between temperature and presidential approval compared to those in the Highlands region. Given the large difference in temperatures between the Highlands and the Coastal region, this result is surprising and could point to biases in the estimation process.</w:t>
      </w:r>
    </w:p>
    <w:p>
      <w:pPr>
        <w:pStyle w:val="BodyText"/>
      </w:pPr>
      <w:r>
        <w:t xml:space="preserve">I find no heterogeneity between personal and country economic situations, which suggests that economic voting may be unrelated to weather attribution errors. Ideology does interact with temperature to affect presidential approval, but results are conflicting. Voters who identify closer to the political right are more likely to approve of the president at higher values of minimum temperature, but at the same time are likely to disapprove of the president at higher values of maximum temperature. In the Appendix A, it is shown that the average marginal effect of minimum temperature is still statistically insignificant, while the average marginal effect of maximum temperature is -1.9%.</w:t>
      </w:r>
    </w:p>
    <w:bookmarkEnd w:id="44"/>
    <w:bookmarkEnd w:id="45"/>
    <w:bookmarkStart w:id="46" w:name="conclusion"/>
    <w:p>
      <w:pPr>
        <w:pStyle w:val="Heading1"/>
      </w:pPr>
      <w:r>
        <w:t xml:space="preserve">4. Conclusion</w:t>
      </w:r>
    </w:p>
    <w:p>
      <w:pPr>
        <w:pStyle w:val="FirstParagraph"/>
      </w:pPr>
      <w:r>
        <w:t xml:space="preserve">This paper has shown that daily temperature has a statistically significant and negative effect on presidential approval in Ecuador. Survey respondents are about 1.9-2.2% less likely to approve of the president when maximum daily temperatures increase by one degree. This result is robust to the inclusion of socioeconomic and political behaviour controls. The results are consistent with the literature retrospective voting, which suggests that voters may commit attribution errors when evaluating politician’s performance.</w:t>
      </w:r>
    </w:p>
    <w:p>
      <w:pPr>
        <w:pStyle w:val="BodyText"/>
      </w:pPr>
      <w:r>
        <w:t xml:space="preserve">The results also show that the effect of temperature on presidential approval is not constant across the population. I find that the effect of temperature on presidential approval is conditional on the region of the country and the political ideology of the survey respondent. These results, while understandable given that the Amazon region is the most humid and warm region in the country, are preliminary and should be taken with caution, because of the small sample size of the Amazon region in the AmericasBarometer surveys.</w:t>
      </w:r>
    </w:p>
    <w:p>
      <w:pPr>
        <w:pStyle w:val="BodyText"/>
      </w:pPr>
      <w:r>
        <w:t xml:space="preserve">There is a possibility that my temperature variables are subject to measurement error, which could bias my results. If this is the case, then my results are likely to be downward biased, which would suggest that the true effect of temperature on presidential approval is larger than what I estimate. The fact that I am able to find statistically significant results in an observational setting suggests that the true effect of temperature on presidential approval is likely to be larger, and future research should aim to address this possibility by using more precise temperature data, and by using more sophisticated methods to address measurement error. Replicating this study in other countries where temperature data of higher quality is available would also be valuable, in order to validate these results and to evaluate the generalization of these results to other contexts.</w:t>
      </w:r>
    </w:p>
    <w:bookmarkEnd w:id="46"/>
    <w:bookmarkStart w:id="450" w:name="references"/>
    <w:p>
      <w:pPr>
        <w:pStyle w:val="Heading1"/>
      </w:pPr>
      <w:r>
        <w:t xml:space="preserve">5. References</w:t>
      </w:r>
    </w:p>
    <w:bookmarkStart w:id="449" w:name="refs"/>
    <w:bookmarkStart w:id="48" w:name="ref-abrahamDoesEmploymentProtection1993"/>
    <w:p>
      <w:pPr>
        <w:pStyle w:val="Bibliography"/>
      </w:pPr>
      <w:r>
        <w:t xml:space="preserve">Abraham, K. G., &amp; Houseman, S. N. (1993, June).</w:t>
      </w:r>
      <w:r>
        <w:t xml:space="preserve"> </w:t>
      </w:r>
      <w:r>
        <w:rPr>
          <w:iCs/>
          <w:i/>
        </w:rPr>
        <w:t xml:space="preserve">Does</w:t>
      </w:r>
      <w:r>
        <w:rPr>
          <w:iCs/>
          <w:i/>
        </w:rPr>
        <w:t xml:space="preserve"> </w:t>
      </w:r>
      <w:r>
        <w:rPr>
          <w:iCs/>
          <w:i/>
        </w:rPr>
        <w:t xml:space="preserve">Employment Protection Inhibit Labor Market Flexibility</w:t>
      </w:r>
      <w:r>
        <w:rPr>
          <w:iCs/>
          <w:i/>
        </w:rPr>
        <w:t xml:space="preserve">?</w:t>
      </w:r>
      <w:r>
        <w:rPr>
          <w:iCs/>
          <w:i/>
        </w:rPr>
        <w:t xml:space="preserve"> </w:t>
      </w:r>
      <w:r>
        <w:rPr>
          <w:iCs/>
          <w:i/>
        </w:rPr>
        <w:t xml:space="preserve">Lessons</w:t>
      </w:r>
      <w:r>
        <w:rPr>
          <w:iCs/>
          <w:i/>
        </w:rPr>
        <w:t xml:space="preserve"> </w:t>
      </w:r>
      <w:r>
        <w:rPr>
          <w:iCs/>
          <w:i/>
        </w:rPr>
        <w:t xml:space="preserve">from</w:t>
      </w:r>
      <w:r>
        <w:rPr>
          <w:iCs/>
          <w:i/>
        </w:rPr>
        <w:t xml:space="preserve"> </w:t>
      </w:r>
      <w:r>
        <w:rPr>
          <w:iCs/>
          <w:i/>
        </w:rPr>
        <w:t xml:space="preserve">Germany</w:t>
      </w:r>
      <w:r>
        <w:rPr>
          <w:iCs/>
          <w:i/>
        </w:rPr>
        <w:t xml:space="preserve">,</w:t>
      </w:r>
      <w:r>
        <w:rPr>
          <w:iCs/>
          <w:i/>
        </w:rPr>
        <w:t xml:space="preserve"> </w:t>
      </w:r>
      <w:r>
        <w:rPr>
          <w:iCs/>
          <w:i/>
        </w:rPr>
        <w:t xml:space="preserve">France</w:t>
      </w:r>
      <w:r>
        <w:rPr>
          <w:iCs/>
          <w:i/>
        </w:rPr>
        <w:t xml:space="preserve">, and</w:t>
      </w:r>
      <w:r>
        <w:rPr>
          <w:iCs/>
          <w:i/>
        </w:rPr>
        <w:t xml:space="preserve"> </w:t>
      </w:r>
      <w:r>
        <w:rPr>
          <w:iCs/>
          <w:i/>
        </w:rPr>
        <w:t xml:space="preserve">Belgium</w:t>
      </w:r>
      <w:r>
        <w:t xml:space="preserve"> </w:t>
      </w:r>
      <w:r>
        <w:t xml:space="preserve">(Working Paper 4390).</w:t>
      </w:r>
      <w:r>
        <w:t xml:space="preserve"> </w:t>
      </w:r>
      <w:hyperlink r:id="rId47">
        <w:r>
          <w:rPr>
            <w:rStyle w:val="Hyperlink"/>
          </w:rPr>
          <w:t xml:space="preserve">https://doi.org/10.3386/w4390</w:t>
        </w:r>
      </w:hyperlink>
    </w:p>
    <w:bookmarkEnd w:id="48"/>
    <w:bookmarkStart w:id="50" w:name="X974f0078f0d7452bf7f48b34964bf02171501ff"/>
    <w:p>
      <w:pPr>
        <w:pStyle w:val="Bibliography"/>
      </w:pPr>
      <w:r>
        <w:t xml:space="preserve">Abramowitz, A. I. (1978). The</w:t>
      </w:r>
      <w:r>
        <w:t xml:space="preserve"> </w:t>
      </w:r>
      <w:r>
        <w:t xml:space="preserve">Impact</w:t>
      </w:r>
      <w:r>
        <w:t xml:space="preserve"> </w:t>
      </w:r>
      <w:r>
        <w:t xml:space="preserve">of a</w:t>
      </w:r>
      <w:r>
        <w:t xml:space="preserve"> </w:t>
      </w:r>
      <w:r>
        <w:t xml:space="preserve">Presidential Debate</w:t>
      </w:r>
      <w:r>
        <w:t xml:space="preserve"> </w:t>
      </w:r>
      <w:r>
        <w:t xml:space="preserve">on</w:t>
      </w:r>
      <w:r>
        <w:t xml:space="preserve"> </w:t>
      </w:r>
      <w:r>
        <w:t xml:space="preserve">Voter Rationality</w:t>
      </w:r>
      <w:r>
        <w:t xml:space="preserve">.</w:t>
      </w:r>
      <w:r>
        <w:t xml:space="preserve"> </w:t>
      </w:r>
      <w:r>
        <w:rPr>
          <w:iCs/>
          <w:i/>
        </w:rPr>
        <w:t xml:space="preserve">American Journal of Political Science</w:t>
      </w:r>
      <w:r>
        <w:t xml:space="preserve">,</w:t>
      </w:r>
      <w:r>
        <w:t xml:space="preserve"> </w:t>
      </w:r>
      <w:r>
        <w:rPr>
          <w:iCs/>
          <w:i/>
        </w:rPr>
        <w:t xml:space="preserve">22</w:t>
      </w:r>
      <w:r>
        <w:t xml:space="preserve">(3), 680–690.</w:t>
      </w:r>
      <w:r>
        <w:t xml:space="preserve"> </w:t>
      </w:r>
      <w:hyperlink r:id="rId49">
        <w:r>
          <w:rPr>
            <w:rStyle w:val="Hyperlink"/>
          </w:rPr>
          <w:t xml:space="preserve">https://doi.org/10.2307/2110467</w:t>
        </w:r>
      </w:hyperlink>
    </w:p>
    <w:bookmarkEnd w:id="50"/>
    <w:bookmarkStart w:id="52" w:name="ref-achenBlindretrospectionelectoral2017"/>
    <w:p>
      <w:pPr>
        <w:pStyle w:val="Bibliography"/>
      </w:pPr>
      <w:r>
        <w:t xml:space="preserve">Achen, C. H., &amp; Bartels, L. M. (2017a). Blind retrospection: Electoral responses to droughts, floods, and shark attacks. In</w:t>
      </w:r>
      <w:r>
        <w:t xml:space="preserve"> </w:t>
      </w:r>
      <w:r>
        <w:rPr>
          <w:iCs/>
          <w:i/>
        </w:rPr>
        <w:t xml:space="preserve">Democracy for</w:t>
      </w:r>
      <w:r>
        <w:rPr>
          <w:iCs/>
          <w:i/>
        </w:rPr>
        <w:t xml:space="preserve"> </w:t>
      </w:r>
      <w:r>
        <w:rPr>
          <w:iCs/>
          <w:i/>
        </w:rPr>
        <w:t xml:space="preserve">Realists</w:t>
      </w:r>
      <w:r>
        <w:rPr>
          <w:iCs/>
          <w:i/>
        </w:rPr>
        <w:t xml:space="preserve">:</w:t>
      </w:r>
      <w:r>
        <w:rPr>
          <w:iCs/>
          <w:i/>
        </w:rPr>
        <w:t xml:space="preserve"> </w:t>
      </w:r>
      <w:r>
        <w:rPr>
          <w:iCs/>
          <w:i/>
        </w:rPr>
        <w:t xml:space="preserve">Why Elections Do Not Produce Responsive Government</w:t>
      </w:r>
      <w:r>
        <w:t xml:space="preserve"> </w:t>
      </w:r>
      <w:r>
        <w:t xml:space="preserve">(REV - Revised). Princeton University Press.</w:t>
      </w:r>
      <w:r>
        <w:t xml:space="preserve"> </w:t>
      </w:r>
      <w:hyperlink r:id="rId51">
        <w:r>
          <w:rPr>
            <w:rStyle w:val="Hyperlink"/>
          </w:rPr>
          <w:t xml:space="preserve">https://doi.org/10.2307/j.ctvc7770q</w:t>
        </w:r>
      </w:hyperlink>
    </w:p>
    <w:bookmarkEnd w:id="52"/>
    <w:bookmarkStart w:id="53" w:name="ref-achenDemocracyRealistsWhy2017"/>
    <w:p>
      <w:pPr>
        <w:pStyle w:val="Bibliography"/>
      </w:pPr>
      <w:r>
        <w:t xml:space="preserve">Achen, C. H., &amp; Bartels, L. M. (2017b).</w:t>
      </w:r>
      <w:r>
        <w:t xml:space="preserve"> </w:t>
      </w:r>
      <w:r>
        <w:rPr>
          <w:iCs/>
          <w:i/>
        </w:rPr>
        <w:t xml:space="preserve">Democracy for</w:t>
      </w:r>
      <w:r>
        <w:rPr>
          <w:iCs/>
          <w:i/>
        </w:rPr>
        <w:t xml:space="preserve"> </w:t>
      </w:r>
      <w:r>
        <w:rPr>
          <w:iCs/>
          <w:i/>
        </w:rPr>
        <w:t xml:space="preserve">Realists</w:t>
      </w:r>
      <w:r>
        <w:rPr>
          <w:iCs/>
          <w:i/>
        </w:rPr>
        <w:t xml:space="preserve">:</w:t>
      </w:r>
      <w:r>
        <w:rPr>
          <w:iCs/>
          <w:i/>
        </w:rPr>
        <w:t xml:space="preserve"> </w:t>
      </w:r>
      <w:r>
        <w:rPr>
          <w:iCs/>
          <w:i/>
        </w:rPr>
        <w:t xml:space="preserve">Why Elections Do Not Produce Responsive Government</w:t>
      </w:r>
      <w:r>
        <w:t xml:space="preserve"> </w:t>
      </w:r>
      <w:r>
        <w:t xml:space="preserve">(REV - Revised). Princeton University Press.</w:t>
      </w:r>
      <w:r>
        <w:t xml:space="preserve"> </w:t>
      </w:r>
      <w:hyperlink r:id="rId51">
        <w:r>
          <w:rPr>
            <w:rStyle w:val="Hyperlink"/>
          </w:rPr>
          <w:t xml:space="preserve">https://doi.org/10.2307/j.ctvc7770q</w:t>
        </w:r>
      </w:hyperlink>
    </w:p>
    <w:bookmarkEnd w:id="53"/>
    <w:bookmarkStart w:id="54" w:name="ref-achenDemocracyrealistswhy2017a"/>
    <w:p>
      <w:pPr>
        <w:pStyle w:val="Bibliography"/>
      </w:pPr>
      <w:r>
        <w:t xml:space="preserve">Achen, C., &amp; Bartels, L. (2017).</w:t>
      </w:r>
      <w:r>
        <w:t xml:space="preserve"> </w:t>
      </w:r>
      <w:r>
        <w:rPr>
          <w:iCs/>
          <w:i/>
        </w:rPr>
        <w:t xml:space="preserve">Democracy for realists: Why elections do not produce responsive government</w:t>
      </w:r>
      <w:r>
        <w:t xml:space="preserve">. Princeton University Press.</w:t>
      </w:r>
    </w:p>
    <w:bookmarkEnd w:id="54"/>
    <w:bookmarkStart w:id="56" w:name="X44780069daeb411d229ef3addaee47e90c2204b"/>
    <w:p>
      <w:pPr>
        <w:pStyle w:val="Bibliography"/>
      </w:pPr>
      <w:r>
        <w:t xml:space="preserve">Addison, J. T., &amp; Teixeira, P. (2003). The economics of employment protection.</w:t>
      </w:r>
      <w:r>
        <w:t xml:space="preserve"> </w:t>
      </w:r>
      <w:r>
        <w:rPr>
          <w:iCs/>
          <w:i/>
        </w:rPr>
        <w:t xml:space="preserve">Journal of Labor Research</w:t>
      </w:r>
      <w:r>
        <w:t xml:space="preserve">,</w:t>
      </w:r>
      <w:r>
        <w:t xml:space="preserve"> </w:t>
      </w:r>
      <w:r>
        <w:rPr>
          <w:iCs/>
          <w:i/>
        </w:rPr>
        <w:t xml:space="preserve">24</w:t>
      </w:r>
      <w:r>
        <w:t xml:space="preserve">(1), 85–128.</w:t>
      </w:r>
      <w:r>
        <w:t xml:space="preserve"> </w:t>
      </w:r>
      <w:hyperlink r:id="rId55">
        <w:r>
          <w:rPr>
            <w:rStyle w:val="Hyperlink"/>
          </w:rPr>
          <w:t xml:space="preserve">https://doi.org/10.1007/s12122-003-1031-0</w:t>
        </w:r>
      </w:hyperlink>
    </w:p>
    <w:bookmarkEnd w:id="56"/>
    <w:bookmarkStart w:id="58" w:name="X0d5bfeb484de6c9986ed95b0a3779d870e78c54"/>
    <w:p>
      <w:pPr>
        <w:pStyle w:val="Bibliography"/>
      </w:pPr>
      <w:r>
        <w:t xml:space="preserve">Addison, J. T., Teixeira, P., &amp; Grosso, J.-L. (2000). The</w:t>
      </w:r>
      <w:r>
        <w:t xml:space="preserve"> </w:t>
      </w:r>
      <w:r>
        <w:t xml:space="preserve">Effect</w:t>
      </w:r>
      <w:r>
        <w:t xml:space="preserve"> </w:t>
      </w:r>
      <w:r>
        <w:t xml:space="preserve">of</w:t>
      </w:r>
      <w:r>
        <w:t xml:space="preserve"> </w:t>
      </w:r>
      <w:r>
        <w:t xml:space="preserve">Dismissals Protection</w:t>
      </w:r>
      <w:r>
        <w:t xml:space="preserve"> </w:t>
      </w:r>
      <w:r>
        <w:t xml:space="preserve">on</w:t>
      </w:r>
      <w:r>
        <w:t xml:space="preserve"> </w:t>
      </w:r>
      <w:r>
        <w:t xml:space="preserve">Employment</w:t>
      </w:r>
      <w:r>
        <w:t xml:space="preserve">:</w:t>
      </w:r>
      <w:r>
        <w:t xml:space="preserve"> </w:t>
      </w:r>
      <w:r>
        <w:t xml:space="preserve">More</w:t>
      </w:r>
      <w:r>
        <w:t xml:space="preserve"> </w:t>
      </w:r>
      <w:r>
        <w:t xml:space="preserve">on a</w:t>
      </w:r>
      <w:r>
        <w:t xml:space="preserve"> </w:t>
      </w:r>
      <w:r>
        <w:t xml:space="preserve">Vexed Theme</w:t>
      </w:r>
      <w:r>
        <w:t xml:space="preserve">.</w:t>
      </w:r>
      <w:r>
        <w:t xml:space="preserve"> </w:t>
      </w:r>
      <w:r>
        <w:rPr>
          <w:iCs/>
          <w:i/>
        </w:rPr>
        <w:t xml:space="preserve">Southern Economic Journal</w:t>
      </w:r>
      <w:r>
        <w:t xml:space="preserve">,</w:t>
      </w:r>
      <w:r>
        <w:t xml:space="preserve"> </w:t>
      </w:r>
      <w:r>
        <w:rPr>
          <w:iCs/>
          <w:i/>
        </w:rPr>
        <w:t xml:space="preserve">67</w:t>
      </w:r>
      <w:r>
        <w:t xml:space="preserve">(1), 105–122.</w:t>
      </w:r>
      <w:r>
        <w:t xml:space="preserve"> </w:t>
      </w:r>
      <w:hyperlink r:id="rId57">
        <w:r>
          <w:rPr>
            <w:rStyle w:val="Hyperlink"/>
          </w:rPr>
          <w:t xml:space="preserve">https://doi.org/10.1002/j.2325-8012.2000.tb00323.x</w:t>
        </w:r>
      </w:hyperlink>
    </w:p>
    <w:bookmarkEnd w:id="58"/>
    <w:bookmarkStart w:id="60" w:name="ref-adseraChangingFertilityRates2004"/>
    <w:p>
      <w:pPr>
        <w:pStyle w:val="Bibliography"/>
      </w:pPr>
      <w:r>
        <w:t xml:space="preserve">Adserà, A. (2004). Changing fertility rates in developed countries.</w:t>
      </w:r>
      <w:r>
        <w:t xml:space="preserve"> </w:t>
      </w:r>
      <w:r>
        <w:t xml:space="preserve">The</w:t>
      </w:r>
      <w:r>
        <w:t xml:space="preserve"> </w:t>
      </w:r>
      <w:r>
        <w:t xml:space="preserve">impact of labor market institutions.</w:t>
      </w:r>
      <w:r>
        <w:t xml:space="preserve"> </w:t>
      </w:r>
      <w:r>
        <w:rPr>
          <w:iCs/>
          <w:i/>
        </w:rPr>
        <w:t xml:space="preserve">Journal of Population Economics</w:t>
      </w:r>
      <w:r>
        <w:t xml:space="preserve">,</w:t>
      </w:r>
      <w:r>
        <w:t xml:space="preserve"> </w:t>
      </w:r>
      <w:r>
        <w:rPr>
          <w:iCs/>
          <w:i/>
        </w:rPr>
        <w:t xml:space="preserve">17</w:t>
      </w:r>
      <w:r>
        <w:t xml:space="preserve">(1), 17–43.</w:t>
      </w:r>
      <w:r>
        <w:t xml:space="preserve"> </w:t>
      </w:r>
      <w:hyperlink r:id="rId59">
        <w:r>
          <w:rPr>
            <w:rStyle w:val="Hyperlink"/>
          </w:rPr>
          <w:t xml:space="preserve">https://doi.org/10.1007/s00148-003-0166-x</w:t>
        </w:r>
      </w:hyperlink>
    </w:p>
    <w:bookmarkEnd w:id="60"/>
    <w:bookmarkStart w:id="62" w:name="ref-AlbertaInvestorTax2024"/>
    <w:p>
      <w:pPr>
        <w:pStyle w:val="Bibliography"/>
      </w:pPr>
      <w:r>
        <w:rPr>
          <w:iCs/>
          <w:i/>
        </w:rPr>
        <w:t xml:space="preserve">Alberta</w:t>
      </w:r>
      <w:r>
        <w:rPr>
          <w:iCs/>
          <w:i/>
        </w:rPr>
        <w:t xml:space="preserve"> </w:t>
      </w:r>
      <w:r>
        <w:rPr>
          <w:iCs/>
          <w:i/>
        </w:rPr>
        <w:t xml:space="preserve">Investor Tax Credit</w:t>
      </w:r>
      <w:r>
        <w:rPr>
          <w:iCs/>
          <w:i/>
        </w:rPr>
        <w:t xml:space="preserve"> </w:t>
      </w:r>
      <w:r>
        <w:rPr>
          <w:iCs/>
          <w:i/>
        </w:rPr>
        <w:t xml:space="preserve">(</w:t>
      </w:r>
      <w:r>
        <w:rPr>
          <w:iCs/>
          <w:i/>
        </w:rPr>
        <w:t xml:space="preserve">AITC</w:t>
      </w:r>
      <w:r>
        <w:rPr>
          <w:iCs/>
          <w:i/>
        </w:rPr>
        <w:t xml:space="preserve">) |</w:t>
      </w:r>
      <w:r>
        <w:rPr>
          <w:iCs/>
          <w:i/>
        </w:rPr>
        <w:t xml:space="preserve"> </w:t>
      </w:r>
      <w:r>
        <w:rPr>
          <w:iCs/>
          <w:i/>
        </w:rPr>
        <w:t xml:space="preserve">Alberta</w:t>
      </w:r>
      <w:r>
        <w:rPr>
          <w:iCs/>
          <w:i/>
        </w:rPr>
        <w:t xml:space="preserve">.ca</w:t>
      </w:r>
      <w:r>
        <w:t xml:space="preserve">. (2024, January 17).</w:t>
      </w:r>
      <w:r>
        <w:t xml:space="preserve"> </w:t>
      </w:r>
      <w:hyperlink r:id="rId61">
        <w:r>
          <w:rPr>
            <w:rStyle w:val="Hyperlink"/>
          </w:rPr>
          <w:t xml:space="preserve">https://www.alberta.ca/alberta-investor-tax-credit</w:t>
        </w:r>
      </w:hyperlink>
    </w:p>
    <w:bookmarkEnd w:id="62"/>
    <w:bookmarkStart w:id="64" w:name="X49dbd667a14644e0a84a300c3d677963fe359e0"/>
    <w:p>
      <w:pPr>
        <w:pStyle w:val="Bibliography"/>
      </w:pPr>
      <w:r>
        <w:t xml:space="preserve">Alt, J., Bueno de Mesquita, E., &amp; Rose, S. (2011). Disentangling</w:t>
      </w:r>
      <w:r>
        <w:t xml:space="preserve"> </w:t>
      </w:r>
      <w:r>
        <w:t xml:space="preserve">Accountability</w:t>
      </w:r>
      <w:r>
        <w:t xml:space="preserve"> </w:t>
      </w:r>
      <w:r>
        <w:t xml:space="preserve">and</w:t>
      </w:r>
      <w:r>
        <w:t xml:space="preserve"> </w:t>
      </w:r>
      <w:r>
        <w:t xml:space="preserve">Competence</w:t>
      </w:r>
      <w:r>
        <w:t xml:space="preserve"> </w:t>
      </w:r>
      <w:r>
        <w:t xml:space="preserve">in</w:t>
      </w:r>
      <w:r>
        <w:t xml:space="preserve"> </w:t>
      </w:r>
      <w:r>
        <w:t xml:space="preserve">Elections</w:t>
      </w:r>
      <w:r>
        <w:t xml:space="preserve">:</w:t>
      </w:r>
      <w:r>
        <w:t xml:space="preserve"> </w:t>
      </w:r>
      <w:r>
        <w:t xml:space="preserve">Evidence</w:t>
      </w:r>
      <w:r>
        <w:t xml:space="preserve"> </w:t>
      </w:r>
      <w:r>
        <w:t xml:space="preserve">from</w:t>
      </w:r>
      <w:r>
        <w:t xml:space="preserve"> </w:t>
      </w:r>
      <w:r>
        <w:t xml:space="preserve">U</w:t>
      </w:r>
      <w:r>
        <w:t xml:space="preserve">.</w:t>
      </w:r>
      <w:r>
        <w:t xml:space="preserve">S</w:t>
      </w:r>
      <w:r>
        <w:t xml:space="preserve">.</w:t>
      </w:r>
      <w:r>
        <w:t xml:space="preserve"> </w:t>
      </w:r>
      <w:r>
        <w:t xml:space="preserve">Term Limits</w:t>
      </w:r>
      <w:r>
        <w:t xml:space="preserve">.</w:t>
      </w:r>
      <w:r>
        <w:t xml:space="preserve"> </w:t>
      </w:r>
      <w:r>
        <w:rPr>
          <w:iCs/>
          <w:i/>
        </w:rPr>
        <w:t xml:space="preserve">The Journal of Politics</w:t>
      </w:r>
      <w:r>
        <w:t xml:space="preserve">,</w:t>
      </w:r>
      <w:r>
        <w:t xml:space="preserve"> </w:t>
      </w:r>
      <w:r>
        <w:rPr>
          <w:iCs/>
          <w:i/>
        </w:rPr>
        <w:t xml:space="preserve">73</w:t>
      </w:r>
      <w:r>
        <w:t xml:space="preserve">(1), 171–186.</w:t>
      </w:r>
      <w:r>
        <w:t xml:space="preserve"> </w:t>
      </w:r>
      <w:hyperlink r:id="rId63">
        <w:r>
          <w:rPr>
            <w:rStyle w:val="Hyperlink"/>
          </w:rPr>
          <w:t xml:space="preserve">https://doi.org/10.1017/s0022381610000940</w:t>
        </w:r>
      </w:hyperlink>
    </w:p>
    <w:bookmarkEnd w:id="64"/>
    <w:bookmarkStart w:id="66" w:name="ref-15000YearRecord"/>
    <w:p>
      <w:pPr>
        <w:pStyle w:val="Bibliography"/>
      </w:pPr>
      <w:r>
        <w:rPr>
          <w:iCs/>
          <w:i/>
        </w:rPr>
        <w:t xml:space="preserve">An ~15,000-</w:t>
      </w:r>
      <w:r>
        <w:rPr>
          <w:iCs/>
          <w:i/>
        </w:rPr>
        <w:t xml:space="preserve">Year Record</w:t>
      </w:r>
      <w:r>
        <w:rPr>
          <w:iCs/>
          <w:i/>
        </w:rPr>
        <w:t xml:space="preserve"> </w:t>
      </w:r>
      <w:r>
        <w:rPr>
          <w:iCs/>
          <w:i/>
        </w:rPr>
        <w:t xml:space="preserve">of</w:t>
      </w:r>
      <w:r>
        <w:rPr>
          <w:iCs/>
          <w:i/>
        </w:rPr>
        <w:t xml:space="preserve"> </w:t>
      </w:r>
      <w:r>
        <w:rPr>
          <w:iCs/>
          <w:i/>
        </w:rPr>
        <w:t xml:space="preserve">El Niño-Driven Alluviation</w:t>
      </w:r>
      <w:r>
        <w:rPr>
          <w:iCs/>
          <w:i/>
        </w:rPr>
        <w:t xml:space="preserve"> </w:t>
      </w:r>
      <w:r>
        <w:rPr>
          <w:iCs/>
          <w:i/>
        </w:rPr>
        <w:t xml:space="preserve">in</w:t>
      </w:r>
      <w:r>
        <w:rPr>
          <w:iCs/>
          <w:i/>
        </w:rPr>
        <w:t xml:space="preserve"> </w:t>
      </w:r>
      <w:r>
        <w:rPr>
          <w:iCs/>
          <w:i/>
        </w:rPr>
        <w:t xml:space="preserve">Southwestern Ecuador</w:t>
      </w:r>
      <w:r>
        <w:rPr>
          <w:iCs/>
          <w:i/>
        </w:rPr>
        <w:t xml:space="preserve"> </w:t>
      </w:r>
      <w:r>
        <w:rPr>
          <w:iCs/>
          <w:i/>
        </w:rPr>
        <w:t xml:space="preserve">|</w:t>
      </w:r>
      <w:r>
        <w:rPr>
          <w:iCs/>
          <w:i/>
        </w:rPr>
        <w:t xml:space="preserve"> </w:t>
      </w:r>
      <w:r>
        <w:rPr>
          <w:iCs/>
          <w:i/>
        </w:rPr>
        <w:t xml:space="preserve">Science</w:t>
      </w:r>
      <w:r>
        <w:t xml:space="preserve">. (n.d.). Retrieved March 11, 2024, from</w:t>
      </w:r>
      <w:r>
        <w:t xml:space="preserve"> </w:t>
      </w:r>
      <w:hyperlink r:id="rId65">
        <w:r>
          <w:rPr>
            <w:rStyle w:val="Hyperlink"/>
          </w:rPr>
          <w:t xml:space="preserve">https://www.science.org/doi/full/10.1126/science.283.5401.516?casa_token=zVjUQbaCIRkAAAAA%3AzIK77azGdefrewJm0RlnuBplfosImIbUjXswnBXQXQGO0gn4gwuUxsPCiNRukhaT3Q2VOzZoL5dqKX-i</w:t>
        </w:r>
      </w:hyperlink>
    </w:p>
    <w:bookmarkEnd w:id="66"/>
    <w:bookmarkStart w:id="68" w:name="ref-andreoniCharitableGiving2013"/>
    <w:p>
      <w:pPr>
        <w:pStyle w:val="Bibliography"/>
      </w:pPr>
      <w:r>
        <w:t xml:space="preserve">Andreoni, J., &amp; Payne, A. A. (2013). Charitable</w:t>
      </w:r>
      <w:r>
        <w:t xml:space="preserve"> </w:t>
      </w:r>
      <w:r>
        <w:t xml:space="preserve">Giving</w:t>
      </w:r>
      <w:r>
        <w:t xml:space="preserve">. In</w:t>
      </w:r>
      <w:r>
        <w:t xml:space="preserve"> </w:t>
      </w:r>
      <w:r>
        <w:rPr>
          <w:iCs/>
          <w:i/>
        </w:rPr>
        <w:t xml:space="preserve">Handbook of</w:t>
      </w:r>
      <w:r>
        <w:rPr>
          <w:iCs/>
          <w:i/>
        </w:rPr>
        <w:t xml:space="preserve"> </w:t>
      </w:r>
      <w:r>
        <w:rPr>
          <w:iCs/>
          <w:i/>
        </w:rPr>
        <w:t xml:space="preserve">Public Economics</w:t>
      </w:r>
      <w:r>
        <w:t xml:space="preserve"> </w:t>
      </w:r>
      <w:r>
        <w:t xml:space="preserve">(Vol. 5, pp. 1–50). Elsevier.</w:t>
      </w:r>
      <w:r>
        <w:t xml:space="preserve"> </w:t>
      </w:r>
      <w:hyperlink r:id="rId67">
        <w:r>
          <w:rPr>
            <w:rStyle w:val="Hyperlink"/>
          </w:rPr>
          <w:t xml:space="preserve">https://doi.org/10.1016/B978-0-444-53759-1.00001-7</w:t>
        </w:r>
      </w:hyperlink>
    </w:p>
    <w:bookmarkEnd w:id="68"/>
    <w:bookmarkStart w:id="70" w:name="X2d2e669dc430104a325d7d296cac02f12ad9aee"/>
    <w:p>
      <w:pPr>
        <w:pStyle w:val="Bibliography"/>
      </w:pPr>
      <w:r>
        <w:t xml:space="preserve">Auerbach, A. J. (2018). Measuring the</w:t>
      </w:r>
      <w:r>
        <w:t xml:space="preserve"> </w:t>
      </w:r>
      <w:r>
        <w:t xml:space="preserve">Effects</w:t>
      </w:r>
      <w:r>
        <w:t xml:space="preserve"> </w:t>
      </w:r>
      <w:r>
        <w:t xml:space="preserve">of</w:t>
      </w:r>
      <w:r>
        <w:t xml:space="preserve"> </w:t>
      </w:r>
      <w:r>
        <w:t xml:space="preserve">Corporate Tax Cuts</w:t>
      </w:r>
      <w:r>
        <w:t xml:space="preserve">.</w:t>
      </w:r>
      <w:r>
        <w:t xml:space="preserve"> </w:t>
      </w:r>
      <w:r>
        <w:rPr>
          <w:iCs/>
          <w:i/>
        </w:rPr>
        <w:t xml:space="preserve">Journal of Economic Perspectives</w:t>
      </w:r>
      <w:r>
        <w:t xml:space="preserve">,</w:t>
      </w:r>
      <w:r>
        <w:t xml:space="preserve"> </w:t>
      </w:r>
      <w:r>
        <w:rPr>
          <w:iCs/>
          <w:i/>
        </w:rPr>
        <w:t xml:space="preserve">32</w:t>
      </w:r>
      <w:r>
        <w:t xml:space="preserve">(4), 97–120.</w:t>
      </w:r>
      <w:r>
        <w:t xml:space="preserve"> </w:t>
      </w:r>
      <w:hyperlink r:id="rId69">
        <w:r>
          <w:rPr>
            <w:rStyle w:val="Hyperlink"/>
          </w:rPr>
          <w:t xml:space="preserve">https://doi.org/10.1257/jep.32.4.97</w:t>
        </w:r>
      </w:hyperlink>
    </w:p>
    <w:bookmarkEnd w:id="70"/>
    <w:bookmarkStart w:id="72" w:name="ref-avramUnstableJobsTime2022"/>
    <w:p>
      <w:pPr>
        <w:pStyle w:val="Bibliography"/>
      </w:pPr>
      <w:r>
        <w:t xml:space="preserve">Avram, S. (2022). Unstable jobs and time out of work: Evidence from the</w:t>
      </w:r>
      <w:r>
        <w:t xml:space="preserve"> </w:t>
      </w:r>
      <w:r>
        <w:t xml:space="preserve">UK</w:t>
      </w:r>
      <w:r>
        <w:t xml:space="preserve">.</w:t>
      </w:r>
      <w:r>
        <w:t xml:space="preserve"> </w:t>
      </w:r>
      <w:r>
        <w:rPr>
          <w:iCs/>
          <w:i/>
        </w:rPr>
        <w:t xml:space="preserve">Socio-Economic Review</w:t>
      </w:r>
      <w:r>
        <w:t xml:space="preserve">,</w:t>
      </w:r>
      <w:r>
        <w:t xml:space="preserve"> </w:t>
      </w:r>
      <w:r>
        <w:rPr>
          <w:iCs/>
          <w:i/>
        </w:rPr>
        <w:t xml:space="preserve">20</w:t>
      </w:r>
      <w:r>
        <w:t xml:space="preserve">(3), 1151–1171.</w:t>
      </w:r>
      <w:r>
        <w:t xml:space="preserve"> </w:t>
      </w:r>
      <w:hyperlink r:id="rId71">
        <w:r>
          <w:rPr>
            <w:rStyle w:val="Hyperlink"/>
          </w:rPr>
          <w:t xml:space="preserve">https://doi.org/10.1093/ser/mwac013</w:t>
        </w:r>
      </w:hyperlink>
    </w:p>
    <w:bookmarkEnd w:id="72"/>
    <w:bookmarkStart w:id="74" w:name="X4f9609e2dca211ebdcf8e5b5b890174f711bda1"/>
    <w:p>
      <w:pPr>
        <w:pStyle w:val="Bibliography"/>
      </w:pPr>
      <w:r>
        <w:t xml:space="preserve">Barrington-Leigh, C. P. (2008). Weather as a transient influence on survey-reported satisfaction with life.</w:t>
      </w:r>
      <w:r>
        <w:t xml:space="preserve"> </w:t>
      </w:r>
      <w:r>
        <w:rPr>
          <w:iCs/>
          <w:i/>
        </w:rPr>
        <w:t xml:space="preserve">MPRA Paper</w:t>
      </w:r>
      <w:r>
        <w:t xml:space="preserve">,</w:t>
      </w:r>
      <w:r>
        <w:t xml:space="preserve"> </w:t>
      </w:r>
      <w:r>
        <w:rPr>
          <w:iCs/>
          <w:i/>
        </w:rPr>
        <w:t xml:space="preserve">25736</w:t>
      </w:r>
      <w:r>
        <w:t xml:space="preserve">.</w:t>
      </w:r>
      <w:r>
        <w:t xml:space="preserve"> </w:t>
      </w:r>
      <w:hyperlink r:id="rId73">
        <w:r>
          <w:rPr>
            <w:rStyle w:val="Hyperlink"/>
          </w:rPr>
          <w:t xml:space="preserve">https://ideas.repec.org//p/pra/mprapa/25736.html</w:t>
        </w:r>
      </w:hyperlink>
    </w:p>
    <w:bookmarkEnd w:id="74"/>
    <w:bookmarkStart w:id="76" w:name="X01e647866929b3bc97812db62a77d440fdc3e88"/>
    <w:p>
      <w:pPr>
        <w:pStyle w:val="Bibliography"/>
      </w:pPr>
      <w:r>
        <w:t xml:space="preserve">Barrington-Leigh, C., &amp; Behzadnejad, F. (2017). The impact of daily weather conditions on life satisfaction evidence from</w:t>
      </w:r>
      <w:r>
        <w:t xml:space="preserve"> </w:t>
      </w:r>
      <w:r>
        <w:t xml:space="preserve">Canadian</w:t>
      </w:r>
      <w:r>
        <w:t xml:space="preserve"> </w:t>
      </w:r>
      <w:r>
        <w:t xml:space="preserve">cross-sectional and panel data.</w:t>
      </w:r>
      <w:r>
        <w:t xml:space="preserve"> </w:t>
      </w:r>
      <w:r>
        <w:rPr>
          <w:iCs/>
          <w:i/>
        </w:rPr>
        <w:t xml:space="preserve">Journal of Economic Psychology</w:t>
      </w:r>
      <w:r>
        <w:t xml:space="preserve">,</w:t>
      </w:r>
      <w:r>
        <w:t xml:space="preserve"> </w:t>
      </w:r>
      <w:r>
        <w:rPr>
          <w:iCs/>
          <w:i/>
        </w:rPr>
        <w:t xml:space="preserve">59</w:t>
      </w:r>
      <w:r>
        <w:t xml:space="preserve">, 145–163.</w:t>
      </w:r>
      <w:r>
        <w:t xml:space="preserve"> </w:t>
      </w:r>
      <w:hyperlink r:id="rId75">
        <w:r>
          <w:rPr>
            <w:rStyle w:val="Hyperlink"/>
          </w:rPr>
          <w:t xml:space="preserve">https://doi.org/10.1016/j.joep.2017.01.003</w:t>
        </w:r>
      </w:hyperlink>
    </w:p>
    <w:bookmarkEnd w:id="76"/>
    <w:bookmarkStart w:id="78" w:name="ref-bassiWeatherriskvoting2019"/>
    <w:p>
      <w:pPr>
        <w:pStyle w:val="Bibliography"/>
      </w:pPr>
      <w:r>
        <w:t xml:space="preserve">Bassi, A. (2019). Weather, risk, and voting: An experimental analysis of the effect of weather on vote choice.</w:t>
      </w:r>
      <w:r>
        <w:t xml:space="preserve"> </w:t>
      </w:r>
      <w:r>
        <w:rPr>
          <w:iCs/>
          <w:i/>
        </w:rPr>
        <w:t xml:space="preserve">Journal of Experimental Political Science</w:t>
      </w:r>
      <w:r>
        <w:t xml:space="preserve">,</w:t>
      </w:r>
      <w:r>
        <w:t xml:space="preserve"> </w:t>
      </w:r>
      <w:r>
        <w:rPr>
          <w:iCs/>
          <w:i/>
        </w:rPr>
        <w:t xml:space="preserve">6</w:t>
      </w:r>
      <w:r>
        <w:t xml:space="preserve">(1), 17–32.</w:t>
      </w:r>
      <w:r>
        <w:t xml:space="preserve"> </w:t>
      </w:r>
      <w:hyperlink r:id="rId77">
        <w:r>
          <w:rPr>
            <w:rStyle w:val="Hyperlink"/>
          </w:rPr>
          <w:t xml:space="preserve">https://doi.org/10.1017/XPS.2018.13</w:t>
        </w:r>
      </w:hyperlink>
    </w:p>
    <w:bookmarkEnd w:id="78"/>
    <w:bookmarkStart w:id="80" w:name="Xccd1bc138c33bf2f5a4c8728ba6ec4314e58275"/>
    <w:p>
      <w:pPr>
        <w:pStyle w:val="Bibliography"/>
      </w:pPr>
      <w:r>
        <w:t xml:space="preserve">Beaudry, C., &amp; Schiffauerova, A. (2011). Is</w:t>
      </w:r>
      <w:r>
        <w:t xml:space="preserve"> </w:t>
      </w:r>
      <w:r>
        <w:t xml:space="preserve">Canadian</w:t>
      </w:r>
      <w:r>
        <w:t xml:space="preserve"> </w:t>
      </w:r>
      <w:r>
        <w:t xml:space="preserve">intellectual property leaving</w:t>
      </w:r>
      <w:r>
        <w:t xml:space="preserve"> </w:t>
      </w:r>
      <w:r>
        <w:t xml:space="preserve">Canada</w:t>
      </w:r>
      <w:r>
        <w:t xml:space="preserve">?</w:t>
      </w:r>
      <w:r>
        <w:t xml:space="preserve"> </w:t>
      </w:r>
      <w:r>
        <w:t xml:space="preserve">A</w:t>
      </w:r>
      <w:r>
        <w:t xml:space="preserve"> </w:t>
      </w:r>
      <w:r>
        <w:t xml:space="preserve">study of nanotechnology patenting.</w:t>
      </w:r>
      <w:r>
        <w:t xml:space="preserve"> </w:t>
      </w:r>
      <w:r>
        <w:rPr>
          <w:iCs/>
          <w:i/>
        </w:rPr>
        <w:t xml:space="preserve">The Journal of Technology Transfer</w:t>
      </w:r>
      <w:r>
        <w:t xml:space="preserve">,</w:t>
      </w:r>
      <w:r>
        <w:t xml:space="preserve"> </w:t>
      </w:r>
      <w:r>
        <w:rPr>
          <w:iCs/>
          <w:i/>
        </w:rPr>
        <w:t xml:space="preserve">36</w:t>
      </w:r>
      <w:r>
        <w:t xml:space="preserve">(6), 665–679.</w:t>
      </w:r>
      <w:r>
        <w:t xml:space="preserve"> </w:t>
      </w:r>
      <w:hyperlink r:id="rId79">
        <w:r>
          <w:rPr>
            <w:rStyle w:val="Hyperlink"/>
          </w:rPr>
          <w:t xml:space="preserve">https://doi.org/10.1007/s10961-011-9211-1</w:t>
        </w:r>
      </w:hyperlink>
    </w:p>
    <w:bookmarkEnd w:id="80"/>
    <w:bookmarkStart w:id="82" w:name="Xafc569aecf74604dea01785929e26ea0f395705"/>
    <w:p>
      <w:pPr>
        <w:pStyle w:val="Bibliography"/>
      </w:pPr>
      <w:r>
        <w:t xml:space="preserve">Belot, M., Boone, J., &amp; Van Ours, J. (2007). Welfare-</w:t>
      </w:r>
      <w:r>
        <w:t xml:space="preserve">Improving Employment Protection</w:t>
      </w:r>
      <w:r>
        <w:t xml:space="preserve">.</w:t>
      </w:r>
      <w:r>
        <w:t xml:space="preserve"> </w:t>
      </w:r>
      <w:r>
        <w:rPr>
          <w:iCs/>
          <w:i/>
        </w:rPr>
        <w:t xml:space="preserve">Economica</w:t>
      </w:r>
      <w:r>
        <w:t xml:space="preserve">,</w:t>
      </w:r>
      <w:r>
        <w:t xml:space="preserve"> </w:t>
      </w:r>
      <w:r>
        <w:rPr>
          <w:iCs/>
          <w:i/>
        </w:rPr>
        <w:t xml:space="preserve">74</w:t>
      </w:r>
      <w:r>
        <w:t xml:space="preserve">(295), 381–396.</w:t>
      </w:r>
      <w:r>
        <w:t xml:space="preserve"> </w:t>
      </w:r>
      <w:hyperlink r:id="rId81">
        <w:r>
          <w:rPr>
            <w:rStyle w:val="Hyperlink"/>
          </w:rPr>
          <w:t xml:space="preserve">https://doi.org/10.1111/j.1468-0335.2006.00576.x</w:t>
        </w:r>
      </w:hyperlink>
    </w:p>
    <w:bookmarkEnd w:id="82"/>
    <w:bookmarkStart w:id="84" w:name="ref-bergerExplicitImplicitTax1993"/>
    <w:p>
      <w:pPr>
        <w:pStyle w:val="Bibliography"/>
      </w:pPr>
      <w:r>
        <w:t xml:space="preserve">Berger, P. G. (1993). Explicit and</w:t>
      </w:r>
      <w:r>
        <w:t xml:space="preserve"> </w:t>
      </w:r>
      <w:r>
        <w:t xml:space="preserve">Implicit Tax Effects</w:t>
      </w:r>
      <w:r>
        <w:t xml:space="preserve"> </w:t>
      </w:r>
      <w:r>
        <w:t xml:space="preserve">of the</w:t>
      </w:r>
      <w:r>
        <w:t xml:space="preserve"> </w:t>
      </w:r>
      <w:r>
        <w:t xml:space="preserve">R</w:t>
      </w:r>
      <w:r>
        <w:t xml:space="preserve"> </w:t>
      </w:r>
      <w:r>
        <w:t xml:space="preserve">&amp;</w:t>
      </w:r>
      <w:r>
        <w:t xml:space="preserve"> </w:t>
      </w:r>
      <w:r>
        <w:t xml:space="preserve">D Tax Credit</w:t>
      </w:r>
      <w:r>
        <w:t xml:space="preserve">.</w:t>
      </w:r>
      <w:r>
        <w:t xml:space="preserve"> </w:t>
      </w:r>
      <w:r>
        <w:rPr>
          <w:iCs/>
          <w:i/>
        </w:rPr>
        <w:t xml:space="preserve">Journal of Accounting Research</w:t>
      </w:r>
      <w:r>
        <w:t xml:space="preserve">,</w:t>
      </w:r>
      <w:r>
        <w:t xml:space="preserve"> </w:t>
      </w:r>
      <w:r>
        <w:rPr>
          <w:iCs/>
          <w:i/>
        </w:rPr>
        <w:t xml:space="preserve">31</w:t>
      </w:r>
      <w:r>
        <w:t xml:space="preserve">(2), 131–171.</w:t>
      </w:r>
      <w:r>
        <w:t xml:space="preserve"> </w:t>
      </w:r>
      <w:hyperlink r:id="rId83">
        <w:r>
          <w:rPr>
            <w:rStyle w:val="Hyperlink"/>
          </w:rPr>
          <w:t xml:space="preserve">https://doi.org/10.2307/2491268</w:t>
        </w:r>
      </w:hyperlink>
    </w:p>
    <w:bookmarkEnd w:id="84"/>
    <w:bookmarkStart w:id="86" w:name="Xfd080ac9663eb2d055c9be821d8ec761017a926"/>
    <w:p>
      <w:pPr>
        <w:pStyle w:val="Bibliography"/>
      </w:pPr>
      <w:r>
        <w:t xml:space="preserve">Berlemann, M., &amp; Enkelmann, S. (2014). The economic determinants of</w:t>
      </w:r>
      <w:r>
        <w:t xml:space="preserve"> </w:t>
      </w:r>
      <w:r>
        <w:t xml:space="preserve">U</w:t>
      </w:r>
      <w:r>
        <w:t xml:space="preserve">.</w:t>
      </w:r>
      <w:r>
        <w:t xml:space="preserve">S</w:t>
      </w:r>
      <w:r>
        <w:t xml:space="preserve">. Presidential approval: A survey.</w:t>
      </w:r>
      <w:r>
        <w:t xml:space="preserve"> </w:t>
      </w:r>
      <w:r>
        <w:rPr>
          <w:iCs/>
          <w:i/>
        </w:rPr>
        <w:t xml:space="preserve">European Journal of Political Economy</w:t>
      </w:r>
      <w:r>
        <w:t xml:space="preserve">,</w:t>
      </w:r>
      <w:r>
        <w:t xml:space="preserve"> </w:t>
      </w:r>
      <w:r>
        <w:rPr>
          <w:iCs/>
          <w:i/>
        </w:rPr>
        <w:t xml:space="preserve">36</w:t>
      </w:r>
      <w:r>
        <w:t xml:space="preserve">, 41–54.</w:t>
      </w:r>
      <w:r>
        <w:t xml:space="preserve"> </w:t>
      </w:r>
      <w:hyperlink r:id="rId85">
        <w:r>
          <w:rPr>
            <w:rStyle w:val="Hyperlink"/>
          </w:rPr>
          <w:t xml:space="preserve">https://doi.org/10.1016/j.ejpoleco.2014.06.005</w:t>
        </w:r>
      </w:hyperlink>
    </w:p>
    <w:bookmarkEnd w:id="86"/>
    <w:bookmarkStart w:id="88" w:name="ref-bertolaLaborMarketInstitutions2007"/>
    <w:p>
      <w:pPr>
        <w:pStyle w:val="Bibliography"/>
      </w:pPr>
      <w:r>
        <w:t xml:space="preserve">Bertola, G., Blau, F. D., &amp; Kahn, L. M. (2007). Labor market institutions and demographic employment patterns.</w:t>
      </w:r>
      <w:r>
        <w:t xml:space="preserve"> </w:t>
      </w:r>
      <w:r>
        <w:rPr>
          <w:iCs/>
          <w:i/>
        </w:rPr>
        <w:t xml:space="preserve">Journal of Population Economics</w:t>
      </w:r>
      <w:r>
        <w:t xml:space="preserve">,</w:t>
      </w:r>
      <w:r>
        <w:t xml:space="preserve"> </w:t>
      </w:r>
      <w:r>
        <w:rPr>
          <w:iCs/>
          <w:i/>
        </w:rPr>
        <w:t xml:space="preserve">20</w:t>
      </w:r>
      <w:r>
        <w:t xml:space="preserve">(4), 833–867.</w:t>
      </w:r>
      <w:r>
        <w:t xml:space="preserve"> </w:t>
      </w:r>
      <w:hyperlink r:id="rId87">
        <w:r>
          <w:rPr>
            <w:rStyle w:val="Hyperlink"/>
          </w:rPr>
          <w:t xml:space="preserve">https://doi.org/10.1007/s00148-007-0137-8</w:t>
        </w:r>
      </w:hyperlink>
    </w:p>
    <w:bookmarkEnd w:id="88"/>
    <w:bookmarkStart w:id="90" w:name="ref-besenIntroductionLawEconomics1991"/>
    <w:p>
      <w:pPr>
        <w:pStyle w:val="Bibliography"/>
      </w:pPr>
      <w:r>
        <w:t xml:space="preserve">Besen, S. M., &amp; Raskind, L. J. (1991). An</w:t>
      </w:r>
      <w:r>
        <w:t xml:space="preserve"> </w:t>
      </w:r>
      <w:r>
        <w:t xml:space="preserve">Introduction</w:t>
      </w:r>
      <w:r>
        <w:t xml:space="preserve"> </w:t>
      </w:r>
      <w:r>
        <w:t xml:space="preserve">to the</w:t>
      </w:r>
      <w:r>
        <w:t xml:space="preserve"> </w:t>
      </w:r>
      <w:r>
        <w:t xml:space="preserve">Law</w:t>
      </w:r>
      <w:r>
        <w:t xml:space="preserve"> </w:t>
      </w:r>
      <w:r>
        <w:t xml:space="preserve">and</w:t>
      </w:r>
      <w:r>
        <w:t xml:space="preserve"> </w:t>
      </w:r>
      <w:r>
        <w:t xml:space="preserve">Economics</w:t>
      </w:r>
      <w:r>
        <w:t xml:space="preserve"> </w:t>
      </w:r>
      <w:r>
        <w:t xml:space="preserve">of</w:t>
      </w:r>
      <w:r>
        <w:t xml:space="preserve"> </w:t>
      </w:r>
      <w:r>
        <w:t xml:space="preserve">Intellectual Property</w:t>
      </w:r>
      <w:r>
        <w:t xml:space="preserve">.</w:t>
      </w:r>
      <w:r>
        <w:t xml:space="preserve"> </w:t>
      </w:r>
      <w:r>
        <w:rPr>
          <w:iCs/>
          <w:i/>
        </w:rPr>
        <w:t xml:space="preserve">Journal of Economic Perspectives</w:t>
      </w:r>
      <w:r>
        <w:t xml:space="preserve">,</w:t>
      </w:r>
      <w:r>
        <w:t xml:space="preserve"> </w:t>
      </w:r>
      <w:r>
        <w:rPr>
          <w:iCs/>
          <w:i/>
        </w:rPr>
        <w:t xml:space="preserve">5</w:t>
      </w:r>
      <w:r>
        <w:t xml:space="preserve">(1), 3–27.</w:t>
      </w:r>
      <w:r>
        <w:t xml:space="preserve"> </w:t>
      </w:r>
      <w:hyperlink r:id="rId89">
        <w:r>
          <w:rPr>
            <w:rStyle w:val="Hyperlink"/>
          </w:rPr>
          <w:t xml:space="preserve">https://doi.org/10.1257/jep.5.1.3</w:t>
        </w:r>
      </w:hyperlink>
    </w:p>
    <w:bookmarkEnd w:id="90"/>
    <w:bookmarkStart w:id="92" w:name="ref-besleyTaxationDevelopment2013"/>
    <w:p>
      <w:pPr>
        <w:pStyle w:val="Bibliography"/>
      </w:pPr>
      <w:r>
        <w:t xml:space="preserve">Besley, T., &amp; Persson, T. (2013). Taxation and</w:t>
      </w:r>
      <w:r>
        <w:t xml:space="preserve"> </w:t>
      </w:r>
      <w:r>
        <w:t xml:space="preserve">Development</w:t>
      </w:r>
      <w:r>
        <w:t xml:space="preserve">. In</w:t>
      </w:r>
      <w:r>
        <w:t xml:space="preserve"> </w:t>
      </w:r>
      <w:r>
        <w:rPr>
          <w:iCs/>
          <w:i/>
        </w:rPr>
        <w:t xml:space="preserve">Handbook of</w:t>
      </w:r>
      <w:r>
        <w:rPr>
          <w:iCs/>
          <w:i/>
        </w:rPr>
        <w:t xml:space="preserve"> </w:t>
      </w:r>
      <w:r>
        <w:rPr>
          <w:iCs/>
          <w:i/>
        </w:rPr>
        <w:t xml:space="preserve">Public Economics</w:t>
      </w:r>
      <w:r>
        <w:t xml:space="preserve"> </w:t>
      </w:r>
      <w:r>
        <w:t xml:space="preserve">(Vol. 5, pp. 51–110). Elsevier.</w:t>
      </w:r>
      <w:r>
        <w:t xml:space="preserve"> </w:t>
      </w:r>
      <w:hyperlink r:id="rId91">
        <w:r>
          <w:rPr>
            <w:rStyle w:val="Hyperlink"/>
          </w:rPr>
          <w:t xml:space="preserve">https://doi.org/10.1016/B978-0-444-53759-1.00002-9</w:t>
        </w:r>
      </w:hyperlink>
    </w:p>
    <w:bookmarkEnd w:id="92"/>
    <w:bookmarkStart w:id="94" w:name="ref-bloomToolkitPoliciesPromote2019"/>
    <w:p>
      <w:pPr>
        <w:pStyle w:val="Bibliography"/>
      </w:pPr>
      <w:r>
        <w:t xml:space="preserve">Bloom, N., Van Reenen, J., &amp; Williams, H. (2019). A</w:t>
      </w:r>
      <w:r>
        <w:t xml:space="preserve"> </w:t>
      </w:r>
      <w:r>
        <w:t xml:space="preserve">Toolkit</w:t>
      </w:r>
      <w:r>
        <w:t xml:space="preserve"> </w:t>
      </w:r>
      <w:r>
        <w:t xml:space="preserve">of</w:t>
      </w:r>
      <w:r>
        <w:t xml:space="preserve"> </w:t>
      </w:r>
      <w:r>
        <w:t xml:space="preserve">Policies</w:t>
      </w:r>
      <w:r>
        <w:t xml:space="preserve"> </w:t>
      </w:r>
      <w:r>
        <w:t xml:space="preserve">to</w:t>
      </w:r>
      <w:r>
        <w:t xml:space="preserve"> </w:t>
      </w:r>
      <w:r>
        <w:t xml:space="preserve">Promote Innovation</w:t>
      </w:r>
      <w:r>
        <w:t xml:space="preserve">.</w:t>
      </w:r>
      <w:r>
        <w:t xml:space="preserve"> </w:t>
      </w:r>
      <w:r>
        <w:rPr>
          <w:iCs/>
          <w:i/>
        </w:rPr>
        <w:t xml:space="preserve">Journal of Economic Perspectives</w:t>
      </w:r>
      <w:r>
        <w:t xml:space="preserve">,</w:t>
      </w:r>
      <w:r>
        <w:t xml:space="preserve"> </w:t>
      </w:r>
      <w:r>
        <w:rPr>
          <w:iCs/>
          <w:i/>
        </w:rPr>
        <w:t xml:space="preserve">33</w:t>
      </w:r>
      <w:r>
        <w:t xml:space="preserve">(3), 163–184.</w:t>
      </w:r>
      <w:r>
        <w:t xml:space="preserve"> </w:t>
      </w:r>
      <w:hyperlink r:id="rId93">
        <w:r>
          <w:rPr>
            <w:rStyle w:val="Hyperlink"/>
          </w:rPr>
          <w:t xml:space="preserve">https://doi.org/10.1257/jep.33.3.163</w:t>
        </w:r>
      </w:hyperlink>
    </w:p>
    <w:bookmarkEnd w:id="94"/>
    <w:bookmarkStart w:id="96" w:name="ref-boadwayCorporateTaxReform2014"/>
    <w:p>
      <w:pPr>
        <w:pStyle w:val="Bibliography"/>
      </w:pPr>
      <w:r>
        <w:t xml:space="preserve">Boadway, R., &amp; Tremblay, J.-F. (2014).</w:t>
      </w:r>
      <w:r>
        <w:t xml:space="preserve"> </w:t>
      </w:r>
      <w:r>
        <w:rPr>
          <w:iCs/>
          <w:i/>
        </w:rPr>
        <w:t xml:space="preserve">Corporate</w:t>
      </w:r>
      <w:r>
        <w:rPr>
          <w:iCs/>
          <w:i/>
        </w:rPr>
        <w:t xml:space="preserve"> </w:t>
      </w:r>
      <w:r>
        <w:rPr>
          <w:iCs/>
          <w:i/>
        </w:rPr>
        <w:t xml:space="preserve">Tax Reform</w:t>
      </w:r>
      <w:r>
        <w:rPr>
          <w:iCs/>
          <w:i/>
        </w:rPr>
        <w:t xml:space="preserve">:</w:t>
      </w:r>
      <w:r>
        <w:rPr>
          <w:iCs/>
          <w:i/>
        </w:rPr>
        <w:t xml:space="preserve"> </w:t>
      </w:r>
      <w:r>
        <w:rPr>
          <w:iCs/>
          <w:i/>
        </w:rPr>
        <w:t xml:space="preserve">Issues</w:t>
      </w:r>
      <w:r>
        <w:rPr>
          <w:iCs/>
          <w:i/>
        </w:rPr>
        <w:t xml:space="preserve"> </w:t>
      </w:r>
      <w:r>
        <w:rPr>
          <w:iCs/>
          <w:i/>
        </w:rPr>
        <w:t xml:space="preserve">and</w:t>
      </w:r>
      <w:r>
        <w:rPr>
          <w:iCs/>
          <w:i/>
        </w:rPr>
        <w:t xml:space="preserve"> </w:t>
      </w:r>
      <w:r>
        <w:rPr>
          <w:iCs/>
          <w:i/>
        </w:rPr>
        <w:t xml:space="preserve">Prospects</w:t>
      </w:r>
      <w:r>
        <w:rPr>
          <w:iCs/>
          <w:i/>
        </w:rPr>
        <w:t xml:space="preserve"> </w:t>
      </w:r>
      <w:r>
        <w:rPr>
          <w:iCs/>
          <w:i/>
        </w:rPr>
        <w:t xml:space="preserve">for</w:t>
      </w:r>
      <w:r>
        <w:rPr>
          <w:iCs/>
          <w:i/>
        </w:rPr>
        <w:t xml:space="preserve"> </w:t>
      </w:r>
      <w:r>
        <w:rPr>
          <w:iCs/>
          <w:i/>
        </w:rPr>
        <w:t xml:space="preserve">Canada</w:t>
      </w:r>
      <w:r>
        <w:t xml:space="preserve">. Mowat Centre for Policy Innovation.</w:t>
      </w:r>
      <w:r>
        <w:t xml:space="preserve"> </w:t>
      </w:r>
      <w:hyperlink r:id="rId95">
        <w:r>
          <w:rPr>
            <w:rStyle w:val="Hyperlink"/>
          </w:rPr>
          <w:t xml:space="preserve">https://tspace.library.utoronto.ca/handle/1807/99267</w:t>
        </w:r>
      </w:hyperlink>
    </w:p>
    <w:bookmarkEnd w:id="96"/>
    <w:bookmarkStart w:id="98" w:name="X769c54e2c062939af03e05b592bd9c7d961bd25"/>
    <w:p>
      <w:pPr>
        <w:pStyle w:val="Bibliography"/>
      </w:pPr>
      <w:r>
        <w:t xml:space="preserve">Bølstad, J., &amp; Dinas, E. (2017). A</w:t>
      </w:r>
      <w:r>
        <w:t xml:space="preserve"> </w:t>
      </w:r>
      <w:r>
        <w:t xml:space="preserve">Categorization Theory</w:t>
      </w:r>
      <w:r>
        <w:t xml:space="preserve"> </w:t>
      </w:r>
      <w:r>
        <w:t xml:space="preserve">of</w:t>
      </w:r>
      <w:r>
        <w:t xml:space="preserve"> </w:t>
      </w:r>
      <w:r>
        <w:t xml:space="preserve">Spatial Voting</w:t>
      </w:r>
      <w:r>
        <w:t xml:space="preserve">:</w:t>
      </w:r>
      <w:r>
        <w:t xml:space="preserve"> </w:t>
      </w:r>
      <w:r>
        <w:t xml:space="preserve">How</w:t>
      </w:r>
      <w:r>
        <w:t xml:space="preserve"> </w:t>
      </w:r>
      <w:r>
        <w:t xml:space="preserve">the</w:t>
      </w:r>
      <w:r>
        <w:t xml:space="preserve"> </w:t>
      </w:r>
      <w:r>
        <w:t xml:space="preserve">Center Divides</w:t>
      </w:r>
      <w:r>
        <w:t xml:space="preserve"> </w:t>
      </w:r>
      <w:r>
        <w:t xml:space="preserve">the</w:t>
      </w:r>
      <w:r>
        <w:t xml:space="preserve"> </w:t>
      </w:r>
      <w:r>
        <w:t xml:space="preserve">Political Space</w:t>
      </w:r>
      <w:r>
        <w:t xml:space="preserve">.</w:t>
      </w:r>
      <w:r>
        <w:t xml:space="preserve"> </w:t>
      </w:r>
      <w:r>
        <w:rPr>
          <w:iCs/>
          <w:i/>
        </w:rPr>
        <w:t xml:space="preserve">British Journal of Political Science</w:t>
      </w:r>
      <w:r>
        <w:t xml:space="preserve">,</w:t>
      </w:r>
      <w:r>
        <w:t xml:space="preserve"> </w:t>
      </w:r>
      <w:r>
        <w:rPr>
          <w:iCs/>
          <w:i/>
        </w:rPr>
        <w:t xml:space="preserve">47</w:t>
      </w:r>
      <w:r>
        <w:t xml:space="preserve">(4), 829–850.</w:t>
      </w:r>
      <w:r>
        <w:t xml:space="preserve"> </w:t>
      </w:r>
      <w:hyperlink r:id="rId97">
        <w:r>
          <w:rPr>
            <w:rStyle w:val="Hyperlink"/>
          </w:rPr>
          <w:t xml:space="preserve">https://doi.org/10.1017/S0007123415000393</w:t>
        </w:r>
      </w:hyperlink>
    </w:p>
    <w:bookmarkEnd w:id="98"/>
    <w:bookmarkStart w:id="100" w:name="ref-bowerMoodmemory1981"/>
    <w:p>
      <w:pPr>
        <w:pStyle w:val="Bibliography"/>
      </w:pPr>
      <w:r>
        <w:t xml:space="preserve">Bower, G. H. (1981). Mood and memory.</w:t>
      </w:r>
      <w:r>
        <w:t xml:space="preserve"> </w:t>
      </w:r>
      <w:r>
        <w:rPr>
          <w:iCs/>
          <w:i/>
        </w:rPr>
        <w:t xml:space="preserve">American Psychologist</w:t>
      </w:r>
      <w:r>
        <w:t xml:space="preserve">,</w:t>
      </w:r>
      <w:r>
        <w:t xml:space="preserve"> </w:t>
      </w:r>
      <w:r>
        <w:rPr>
          <w:iCs/>
          <w:i/>
        </w:rPr>
        <w:t xml:space="preserve">36</w:t>
      </w:r>
      <w:r>
        <w:t xml:space="preserve">(2), 129–148.</w:t>
      </w:r>
      <w:r>
        <w:t xml:space="preserve"> </w:t>
      </w:r>
      <w:hyperlink r:id="rId99">
        <w:r>
          <w:rPr>
            <w:rStyle w:val="Hyperlink"/>
          </w:rPr>
          <w:t xml:space="preserve">https://doi.org/10.1037/0003-066X.36.2.129</w:t>
        </w:r>
      </w:hyperlink>
    </w:p>
    <w:bookmarkEnd w:id="100"/>
    <w:bookmarkStart w:id="101" w:name="ref-braghieriSocialmediamental2022"/>
    <w:p>
      <w:pPr>
        <w:pStyle w:val="Bibliography"/>
      </w:pPr>
      <w:r>
        <w:t xml:space="preserve">Braghieri, L., Levy, R., &amp; Makarin, A. (2022). Social media and mental health.</w:t>
      </w:r>
      <w:r>
        <w:t xml:space="preserve"> </w:t>
      </w:r>
      <w:r>
        <w:rPr>
          <w:iCs/>
          <w:i/>
        </w:rPr>
        <w:t xml:space="preserve">American Economic Review</w:t>
      </w:r>
      <w:r>
        <w:t xml:space="preserve">,</w:t>
      </w:r>
      <w:r>
        <w:t xml:space="preserve"> </w:t>
      </w:r>
      <w:r>
        <w:rPr>
          <w:iCs/>
          <w:i/>
        </w:rPr>
        <w:t xml:space="preserve">112</w:t>
      </w:r>
      <w:r>
        <w:t xml:space="preserve">(11), 3660–3693.</w:t>
      </w:r>
    </w:p>
    <w:bookmarkEnd w:id="101"/>
    <w:bookmarkStart w:id="103" w:name="ref-brodyCommentAssessmentPolicy1972"/>
    <w:p>
      <w:pPr>
        <w:pStyle w:val="Bibliography"/>
      </w:pPr>
      <w:r>
        <w:t xml:space="preserve">Brody, R. A., &amp; Page, B. I. (1972). Comment:</w:t>
      </w:r>
      <w:r>
        <w:t xml:space="preserve"> </w:t>
      </w:r>
      <w:r>
        <w:t xml:space="preserve">The Assessment</w:t>
      </w:r>
      <w:r>
        <w:t xml:space="preserve"> </w:t>
      </w:r>
      <w:r>
        <w:t xml:space="preserve">of</w:t>
      </w:r>
      <w:r>
        <w:t xml:space="preserve"> </w:t>
      </w:r>
      <w:r>
        <w:t xml:space="preserve">Policy Voting</w:t>
      </w:r>
      <w:r>
        <w:t xml:space="preserve">.</w:t>
      </w:r>
      <w:r>
        <w:t xml:space="preserve"> </w:t>
      </w:r>
      <w:r>
        <w:rPr>
          <w:iCs/>
          <w:i/>
        </w:rPr>
        <w:t xml:space="preserve">The American Political Science Review</w:t>
      </w:r>
      <w:r>
        <w:t xml:space="preserve">,</w:t>
      </w:r>
      <w:r>
        <w:t xml:space="preserve"> </w:t>
      </w:r>
      <w:r>
        <w:rPr>
          <w:iCs/>
          <w:i/>
        </w:rPr>
        <w:t xml:space="preserve">66</w:t>
      </w:r>
      <w:r>
        <w:t xml:space="preserve">(2), 450–458.</w:t>
      </w:r>
      <w:r>
        <w:t xml:space="preserve"> </w:t>
      </w:r>
      <w:hyperlink r:id="rId102">
        <w:r>
          <w:rPr>
            <w:rStyle w:val="Hyperlink"/>
          </w:rPr>
          <w:t xml:space="preserve">https://doi.org/10.2307/1957788</w:t>
        </w:r>
      </w:hyperlink>
    </w:p>
    <w:bookmarkEnd w:id="103"/>
    <w:bookmarkStart w:id="105" w:name="ref-broockmancausaleffectselite2017"/>
    <w:p>
      <w:pPr>
        <w:pStyle w:val="Bibliography"/>
      </w:pPr>
      <w:r>
        <w:t xml:space="preserve">Broockman, D. E., &amp; Butler, D. M. (2017). The causal effects of elite position-taking on voter attitudes: Field experiments with elite communication.</w:t>
      </w:r>
      <w:r>
        <w:t xml:space="preserve"> </w:t>
      </w:r>
      <w:r>
        <w:rPr>
          <w:iCs/>
          <w:i/>
        </w:rPr>
        <w:t xml:space="preserve">American Journal of Political Science</w:t>
      </w:r>
      <w:r>
        <w:t xml:space="preserve">,</w:t>
      </w:r>
      <w:r>
        <w:t xml:space="preserve"> </w:t>
      </w:r>
      <w:r>
        <w:rPr>
          <w:iCs/>
          <w:i/>
        </w:rPr>
        <w:t xml:space="preserve">61</w:t>
      </w:r>
      <w:r>
        <w:t xml:space="preserve">(1), 208–221.</w:t>
      </w:r>
      <w:r>
        <w:t xml:space="preserve"> </w:t>
      </w:r>
      <w:hyperlink r:id="rId104">
        <w:r>
          <w:rPr>
            <w:rStyle w:val="Hyperlink"/>
          </w:rPr>
          <w:t xml:space="preserve">https://doi.org/10.1111/ajps.12243</w:t>
        </w:r>
      </w:hyperlink>
    </w:p>
    <w:bookmarkEnd w:id="105"/>
    <w:bookmarkStart w:id="107" w:name="ref-bullockEliteInfluencePublic2011"/>
    <w:p>
      <w:pPr>
        <w:pStyle w:val="Bibliography"/>
      </w:pPr>
      <w:r>
        <w:t xml:space="preserve">Bullock, J. G. (2011). Elite</w:t>
      </w:r>
      <w:r>
        <w:t xml:space="preserve"> </w:t>
      </w:r>
      <w:r>
        <w:t xml:space="preserve">Influence</w:t>
      </w:r>
      <w:r>
        <w:t xml:space="preserve"> </w:t>
      </w:r>
      <w:r>
        <w:t xml:space="preserve">on</w:t>
      </w:r>
      <w:r>
        <w:t xml:space="preserve"> </w:t>
      </w:r>
      <w:r>
        <w:t xml:space="preserve">Public Opinion</w:t>
      </w:r>
      <w:r>
        <w:t xml:space="preserve"> </w:t>
      </w:r>
      <w:r>
        <w:t xml:space="preserve">in an</w:t>
      </w:r>
      <w:r>
        <w:t xml:space="preserve"> </w:t>
      </w:r>
      <w:r>
        <w:t xml:space="preserve">Informed Electorate</w:t>
      </w:r>
      <w:r>
        <w:t xml:space="preserve">.</w:t>
      </w:r>
      <w:r>
        <w:t xml:space="preserve"> </w:t>
      </w:r>
      <w:r>
        <w:rPr>
          <w:iCs/>
          <w:i/>
        </w:rPr>
        <w:t xml:space="preserve">American Political Science Review</w:t>
      </w:r>
      <w:r>
        <w:t xml:space="preserve">,</w:t>
      </w:r>
      <w:r>
        <w:t xml:space="preserve"> </w:t>
      </w:r>
      <w:r>
        <w:rPr>
          <w:iCs/>
          <w:i/>
        </w:rPr>
        <w:t xml:space="preserve">105</w:t>
      </w:r>
      <w:r>
        <w:t xml:space="preserve">(3), 496–515.</w:t>
      </w:r>
      <w:r>
        <w:t xml:space="preserve"> </w:t>
      </w:r>
      <w:hyperlink r:id="rId106">
        <w:r>
          <w:rPr>
            <w:rStyle w:val="Hyperlink"/>
          </w:rPr>
          <w:t xml:space="preserve">https://doi.org/10.1017/S0003055411000165</w:t>
        </w:r>
      </w:hyperlink>
    </w:p>
    <w:bookmarkEnd w:id="107"/>
    <w:bookmarkStart w:id="109" w:name="ref-burdaNoteFiringCosts1992"/>
    <w:p>
      <w:pPr>
        <w:pStyle w:val="Bibliography"/>
      </w:pPr>
      <w:r>
        <w:t xml:space="preserve">Burda, M. C. (1992). A</w:t>
      </w:r>
      <w:r>
        <w:t xml:space="preserve"> </w:t>
      </w:r>
      <w:r>
        <w:t xml:space="preserve">Note</w:t>
      </w:r>
      <w:r>
        <w:t xml:space="preserve"> </w:t>
      </w:r>
      <w:r>
        <w:t xml:space="preserve">on</w:t>
      </w:r>
      <w:r>
        <w:t xml:space="preserve"> </w:t>
      </w:r>
      <w:r>
        <w:t xml:space="preserve">Firing Costs</w:t>
      </w:r>
      <w:r>
        <w:t xml:space="preserve"> </w:t>
      </w:r>
      <w:r>
        <w:t xml:space="preserve">and</w:t>
      </w:r>
      <w:r>
        <w:t xml:space="preserve"> </w:t>
      </w:r>
      <w:r>
        <w:t xml:space="preserve">Severance Benefits</w:t>
      </w:r>
      <w:r>
        <w:t xml:space="preserve"> </w:t>
      </w:r>
      <w:r>
        <w:t xml:space="preserve">in</w:t>
      </w:r>
      <w:r>
        <w:t xml:space="preserve"> </w:t>
      </w:r>
      <w:r>
        <w:t xml:space="preserve">Equilibrium Unemployment</w:t>
      </w:r>
      <w:r>
        <w:t xml:space="preserve">.</w:t>
      </w:r>
      <w:r>
        <w:t xml:space="preserve"> </w:t>
      </w:r>
      <w:r>
        <w:rPr>
          <w:iCs/>
          <w:i/>
        </w:rPr>
        <w:t xml:space="preserve">The Scandinavian Journal of Economics</w:t>
      </w:r>
      <w:r>
        <w:t xml:space="preserve">,</w:t>
      </w:r>
      <w:r>
        <w:t xml:space="preserve"> </w:t>
      </w:r>
      <w:r>
        <w:rPr>
          <w:iCs/>
          <w:i/>
        </w:rPr>
        <w:t xml:space="preserve">94</w:t>
      </w:r>
      <w:r>
        <w:t xml:space="preserve">(3), 479–489.</w:t>
      </w:r>
      <w:r>
        <w:t xml:space="preserve"> </w:t>
      </w:r>
      <w:hyperlink r:id="rId108">
        <w:r>
          <w:rPr>
            <w:rStyle w:val="Hyperlink"/>
          </w:rPr>
          <w:t xml:space="preserve">https://doi.org/10.2307/3440074</w:t>
        </w:r>
      </w:hyperlink>
    </w:p>
    <w:bookmarkEnd w:id="109"/>
    <w:bookmarkStart w:id="110" w:name="X0e5e4c9ba63e1ba432468a1e9c6dda92074bb46"/>
    <w:p>
      <w:pPr>
        <w:pStyle w:val="Bibliography"/>
      </w:pPr>
      <w:r>
        <w:t xml:space="preserve">Caliendo, M., &amp; Kopeinig, S. (2008). Some</w:t>
      </w:r>
      <w:r>
        <w:t xml:space="preserve"> </w:t>
      </w:r>
      <w:r>
        <w:t xml:space="preserve">Practical Guidance</w:t>
      </w:r>
      <w:r>
        <w:t xml:space="preserve"> </w:t>
      </w:r>
      <w:r>
        <w:t xml:space="preserve">for the</w:t>
      </w:r>
      <w:r>
        <w:t xml:space="preserve"> </w:t>
      </w:r>
      <w:r>
        <w:t xml:space="preserve">Implementation</w:t>
      </w:r>
      <w:r>
        <w:t xml:space="preserve"> </w:t>
      </w:r>
      <w:r>
        <w:t xml:space="preserve">of</w:t>
      </w:r>
      <w:r>
        <w:t xml:space="preserve"> </w:t>
      </w:r>
      <w:r>
        <w:t xml:space="preserve">Propensity Score Matching</w:t>
      </w:r>
      <w:r>
        <w:t xml:space="preserve">.</w:t>
      </w:r>
      <w:r>
        <w:t xml:space="preserve"> </w:t>
      </w:r>
      <w:r>
        <w:rPr>
          <w:iCs/>
          <w:i/>
        </w:rPr>
        <w:t xml:space="preserve">Journal of Economic Surveys</w:t>
      </w:r>
      <w:r>
        <w:t xml:space="preserve">,</w:t>
      </w:r>
      <w:r>
        <w:t xml:space="preserve"> </w:t>
      </w:r>
      <w:r>
        <w:rPr>
          <w:iCs/>
          <w:i/>
        </w:rPr>
        <w:t xml:space="preserve">22</w:t>
      </w:r>
      <w:r>
        <w:t xml:space="preserve">(1), 31–72.</w:t>
      </w:r>
    </w:p>
    <w:bookmarkEnd w:id="110"/>
    <w:bookmarkStart w:id="112" w:name="X35df1f3fe5eb3f1ba03f16c419df8cc93215e5e"/>
    <w:p>
      <w:pPr>
        <w:pStyle w:val="Bibliography"/>
      </w:pPr>
      <w:r>
        <w:t xml:space="preserve">Callaway, B., &amp; Sant’Anna, P. H. C. (2021). Difference-in-</w:t>
      </w:r>
      <w:r>
        <w:t xml:space="preserve">Differences</w:t>
      </w:r>
      <w:r>
        <w:t xml:space="preserve"> </w:t>
      </w:r>
      <w:r>
        <w:t xml:space="preserve">with multiple time periods.</w:t>
      </w:r>
      <w:r>
        <w:t xml:space="preserve"> </w:t>
      </w:r>
      <w:r>
        <w:rPr>
          <w:iCs/>
          <w:i/>
        </w:rPr>
        <w:t xml:space="preserve">Journal of Econometrics</w:t>
      </w:r>
      <w:r>
        <w:t xml:space="preserve">,</w:t>
      </w:r>
      <w:r>
        <w:t xml:space="preserve"> </w:t>
      </w:r>
      <w:r>
        <w:rPr>
          <w:iCs/>
          <w:i/>
        </w:rPr>
        <w:t xml:space="preserve">225</w:t>
      </w:r>
      <w:r>
        <w:t xml:space="preserve">(2), 200–230.</w:t>
      </w:r>
      <w:r>
        <w:t xml:space="preserve"> </w:t>
      </w:r>
      <w:hyperlink r:id="rId111">
        <w:r>
          <w:rPr>
            <w:rStyle w:val="Hyperlink"/>
          </w:rPr>
          <w:t xml:space="preserve">https://doi.org/10.1016/j.jeconom.2020.12.001</w:t>
        </w:r>
      </w:hyperlink>
    </w:p>
    <w:bookmarkEnd w:id="112"/>
    <w:bookmarkStart w:id="114" w:name="ref-campolietiMinimumWageEffects2014"/>
    <w:p>
      <w:pPr>
        <w:pStyle w:val="Bibliography"/>
      </w:pPr>
      <w:r>
        <w:t xml:space="preserve">Campolieti, M., Gunderson, M., &amp; Lee, B. (2014). Minimum</w:t>
      </w:r>
      <w:r>
        <w:t xml:space="preserve"> </w:t>
      </w:r>
      <w:r>
        <w:t xml:space="preserve">Wage Effects</w:t>
      </w:r>
      <w:r>
        <w:t xml:space="preserve"> </w:t>
      </w:r>
      <w:r>
        <w:t xml:space="preserve">on</w:t>
      </w:r>
      <w:r>
        <w:t xml:space="preserve"> </w:t>
      </w:r>
      <w:r>
        <w:t xml:space="preserve">Permanent Versus Temporary Minimum Wage Employment</w:t>
      </w:r>
      <w:r>
        <w:t xml:space="preserve">.</w:t>
      </w:r>
      <w:r>
        <w:t xml:space="preserve"> </w:t>
      </w:r>
      <w:r>
        <w:rPr>
          <w:iCs/>
          <w:i/>
        </w:rPr>
        <w:t xml:space="preserve">Contemporary Economic Policy</w:t>
      </w:r>
      <w:r>
        <w:t xml:space="preserve">,</w:t>
      </w:r>
      <w:r>
        <w:t xml:space="preserve"> </w:t>
      </w:r>
      <w:r>
        <w:rPr>
          <w:iCs/>
          <w:i/>
        </w:rPr>
        <w:t xml:space="preserve">32</w:t>
      </w:r>
      <w:r>
        <w:t xml:space="preserve">(3), 578–591.</w:t>
      </w:r>
      <w:r>
        <w:t xml:space="preserve"> </w:t>
      </w:r>
      <w:hyperlink r:id="rId113">
        <w:r>
          <w:rPr>
            <w:rStyle w:val="Hyperlink"/>
          </w:rPr>
          <w:t xml:space="preserve">https://doi.org/10.1111/coep.12036</w:t>
        </w:r>
      </w:hyperlink>
    </w:p>
    <w:bookmarkEnd w:id="114"/>
    <w:bookmarkStart w:id="116" w:name="ref-campolietiMinimumWageImpacts2006"/>
    <w:p>
      <w:pPr>
        <w:pStyle w:val="Bibliography"/>
      </w:pPr>
      <w:r>
        <w:t xml:space="preserve">Campolieti, M., Gunderson, M., &amp; Riddell, C. (2006). Minimum</w:t>
      </w:r>
      <w:r>
        <w:t xml:space="preserve"> </w:t>
      </w:r>
      <w:r>
        <w:t xml:space="preserve">Wage Impacts</w:t>
      </w:r>
      <w:r>
        <w:t xml:space="preserve"> </w:t>
      </w:r>
      <w:r>
        <w:t xml:space="preserve">from a</w:t>
      </w:r>
      <w:r>
        <w:t xml:space="preserve"> </w:t>
      </w:r>
      <w:r>
        <w:t xml:space="preserve">Prespecified Research Design</w:t>
      </w:r>
      <w:r>
        <w:t xml:space="preserve">:</w:t>
      </w:r>
      <w:r>
        <w:t xml:space="preserve"> </w:t>
      </w:r>
      <w:r>
        <w:t xml:space="preserve">Canada</w:t>
      </w:r>
      <w:r>
        <w:t xml:space="preserve"> </w:t>
      </w:r>
      <w:r>
        <w:t xml:space="preserve">1981–1997.</w:t>
      </w:r>
      <w:r>
        <w:t xml:space="preserve"> </w:t>
      </w:r>
      <w:r>
        <w:rPr>
          <w:iCs/>
          <w:i/>
        </w:rPr>
        <w:t xml:space="preserve">Industrial Relations: A Journal of Economy and Society</w:t>
      </w:r>
      <w:r>
        <w:t xml:space="preserve">,</w:t>
      </w:r>
      <w:r>
        <w:t xml:space="preserve"> </w:t>
      </w:r>
      <w:r>
        <w:rPr>
          <w:iCs/>
          <w:i/>
        </w:rPr>
        <w:t xml:space="preserve">45</w:t>
      </w:r>
      <w:r>
        <w:t xml:space="preserve">(2), 195–216.</w:t>
      </w:r>
      <w:r>
        <w:t xml:space="preserve"> </w:t>
      </w:r>
      <w:hyperlink r:id="rId115">
        <w:r>
          <w:rPr>
            <w:rStyle w:val="Hyperlink"/>
          </w:rPr>
          <w:t xml:space="preserve">https://doi.org/10.1111/j.1468-232X.2006.00424.x</w:t>
        </w:r>
      </w:hyperlink>
    </w:p>
    <w:bookmarkEnd w:id="116"/>
    <w:bookmarkStart w:id="117" w:name="ref-cardimpactMarielboatlift1990"/>
    <w:p>
      <w:pPr>
        <w:pStyle w:val="Bibliography"/>
      </w:pPr>
      <w:r>
        <w:t xml:space="preserve">Card, D. (1990). The impact of the</w:t>
      </w:r>
      <w:r>
        <w:t xml:space="preserve"> </w:t>
      </w:r>
      <w:r>
        <w:t xml:space="preserve">Mariel</w:t>
      </w:r>
      <w:r>
        <w:t xml:space="preserve"> </w:t>
      </w:r>
      <w:r>
        <w:t xml:space="preserve">boatlift on the</w:t>
      </w:r>
      <w:r>
        <w:t xml:space="preserve"> </w:t>
      </w:r>
      <w:r>
        <w:t xml:space="preserve">Miami</w:t>
      </w:r>
      <w:r>
        <w:t xml:space="preserve"> </w:t>
      </w:r>
      <w:r>
        <w:t xml:space="preserve">labor market.</w:t>
      </w:r>
      <w:r>
        <w:t xml:space="preserve"> </w:t>
      </w:r>
      <w:r>
        <w:rPr>
          <w:iCs/>
          <w:i/>
        </w:rPr>
        <w:t xml:space="preserve">Ilr Review</w:t>
      </w:r>
      <w:r>
        <w:t xml:space="preserve">,</w:t>
      </w:r>
      <w:r>
        <w:t xml:space="preserve"> </w:t>
      </w:r>
      <w:r>
        <w:rPr>
          <w:iCs/>
          <w:i/>
        </w:rPr>
        <w:t xml:space="preserve">43</w:t>
      </w:r>
      <w:r>
        <w:t xml:space="preserve">(2), 245–257.</w:t>
      </w:r>
    </w:p>
    <w:bookmarkEnd w:id="117"/>
    <w:bookmarkStart w:id="119" w:name="ref-cardMinimumWagesEmployment2000"/>
    <w:p>
      <w:pPr>
        <w:pStyle w:val="Bibliography"/>
      </w:pPr>
      <w:r>
        <w:t xml:space="preserve">Card, D., &amp; Krueger, A. B. (2000). Minimum</w:t>
      </w:r>
      <w:r>
        <w:t xml:space="preserve"> </w:t>
      </w:r>
      <w:r>
        <w:t xml:space="preserve">Wages</w:t>
      </w:r>
      <w:r>
        <w:t xml:space="preserve"> </w:t>
      </w:r>
      <w:r>
        <w:t xml:space="preserve">and</w:t>
      </w:r>
      <w:r>
        <w:t xml:space="preserve"> </w:t>
      </w:r>
      <w:r>
        <w:t xml:space="preserve">Employment</w:t>
      </w:r>
      <w:r>
        <w:t xml:space="preserve">:</w:t>
      </w:r>
      <w:r>
        <w:t xml:space="preserve"> </w:t>
      </w:r>
      <w:r>
        <w:t xml:space="preserve">A Case Study</w:t>
      </w:r>
      <w:r>
        <w:t xml:space="preserve"> </w:t>
      </w:r>
      <w:r>
        <w:t xml:space="preserve">of the</w:t>
      </w:r>
      <w:r>
        <w:t xml:space="preserve"> </w:t>
      </w:r>
      <w:r>
        <w:t xml:space="preserve">Fast-Food Industry</w:t>
      </w:r>
      <w:r>
        <w:t xml:space="preserve"> </w:t>
      </w:r>
      <w:r>
        <w:t xml:space="preserve">in</w:t>
      </w:r>
      <w:r>
        <w:t xml:space="preserve"> </w:t>
      </w:r>
      <w:r>
        <w:t xml:space="preserve">New Jersey</w:t>
      </w:r>
      <w:r>
        <w:t xml:space="preserve"> </w:t>
      </w:r>
      <w:r>
        <w:t xml:space="preserve">and</w:t>
      </w:r>
      <w:r>
        <w:t xml:space="preserve"> </w:t>
      </w:r>
      <w:r>
        <w:t xml:space="preserve">Pennsylvania</w:t>
      </w:r>
      <w:r>
        <w:t xml:space="preserve">.</w:t>
      </w:r>
      <w:r>
        <w:t xml:space="preserve"> </w:t>
      </w:r>
      <w:r>
        <w:rPr>
          <w:iCs/>
          <w:i/>
        </w:rPr>
        <w:t xml:space="preserve">The American Economic Review</w:t>
      </w:r>
      <w:r>
        <w:t xml:space="preserve">,</w:t>
      </w:r>
      <w:r>
        <w:t xml:space="preserve"> </w:t>
      </w:r>
      <w:r>
        <w:rPr>
          <w:iCs/>
          <w:i/>
        </w:rPr>
        <w:t xml:space="preserve">90</w:t>
      </w:r>
      <w:r>
        <w:t xml:space="preserve">(5), 1397–1420.</w:t>
      </w:r>
      <w:r>
        <w:t xml:space="preserve"> </w:t>
      </w:r>
      <w:hyperlink r:id="rId118">
        <w:r>
          <w:rPr>
            <w:rStyle w:val="Hyperlink"/>
          </w:rPr>
          <w:t xml:space="preserve">https://www.jstor.org/stable/2677856</w:t>
        </w:r>
      </w:hyperlink>
    </w:p>
    <w:bookmarkEnd w:id="119"/>
    <w:bookmarkStart w:id="120" w:name="ref-cardMythMeasurement2015"/>
    <w:p>
      <w:pPr>
        <w:pStyle w:val="Bibliography"/>
      </w:pPr>
      <w:r>
        <w:t xml:space="preserve">Card, D., &amp; Krueger, A. B. (2015).</w:t>
      </w:r>
      <w:r>
        <w:t xml:space="preserve"> </w:t>
      </w:r>
      <w:r>
        <w:rPr>
          <w:iCs/>
          <w:i/>
        </w:rPr>
        <w:t xml:space="preserve">Myth and measurement</w:t>
      </w:r>
      <w:r>
        <w:t xml:space="preserve"> </w:t>
      </w:r>
      <w:r>
        <w:t xml:space="preserve">(20th Anniversary, Vol. 1). Princeton University Press.</w:t>
      </w:r>
    </w:p>
    <w:bookmarkEnd w:id="120"/>
    <w:bookmarkStart w:id="121" w:name="Xef55a7beb4e8bd8921f9dcb61f7c6d317c423b5"/>
    <w:p>
      <w:pPr>
        <w:pStyle w:val="Bibliography"/>
      </w:pPr>
      <w:r>
        <w:t xml:space="preserve">Cavaille, C., &amp; Marshall, J. (2019). Education and</w:t>
      </w:r>
      <w:r>
        <w:t xml:space="preserve"> </w:t>
      </w:r>
      <w:r>
        <w:t xml:space="preserve">Anti-Immigration Attitudes</w:t>
      </w:r>
      <w:r>
        <w:t xml:space="preserve">:</w:t>
      </w:r>
      <w:r>
        <w:t xml:space="preserve"> </w:t>
      </w:r>
      <w:r>
        <w:t xml:space="preserve">Evidence</w:t>
      </w:r>
      <w:r>
        <w:t xml:space="preserve"> </w:t>
      </w:r>
      <w:r>
        <w:t xml:space="preserve">from</w:t>
      </w:r>
      <w:r>
        <w:t xml:space="preserve"> </w:t>
      </w:r>
      <w:r>
        <w:t xml:space="preserve">Compulsory Schooling Reforms</w:t>
      </w:r>
      <w:r>
        <w:t xml:space="preserve"> </w:t>
      </w:r>
      <w:r>
        <w:t xml:space="preserve">across</w:t>
      </w:r>
      <w:r>
        <w:t xml:space="preserve"> </w:t>
      </w:r>
      <w:r>
        <w:t xml:space="preserve">Western Europe</w:t>
      </w:r>
      <w:r>
        <w:t xml:space="preserve">.</w:t>
      </w:r>
      <w:r>
        <w:t xml:space="preserve"> </w:t>
      </w:r>
      <w:r>
        <w:rPr>
          <w:iCs/>
          <w:i/>
        </w:rPr>
        <w:t xml:space="preserve">American Political Science Review</w:t>
      </w:r>
      <w:r>
        <w:t xml:space="preserve">,</w:t>
      </w:r>
      <w:r>
        <w:t xml:space="preserve"> </w:t>
      </w:r>
      <w:r>
        <w:rPr>
          <w:iCs/>
          <w:i/>
        </w:rPr>
        <w:t xml:space="preserve">113</w:t>
      </w:r>
      <w:r>
        <w:t xml:space="preserve">(1), 254–263.</w:t>
      </w:r>
    </w:p>
    <w:bookmarkEnd w:id="121"/>
    <w:bookmarkStart w:id="123" w:name="ref-cerdaEconomicgrowthpolitical2023"/>
    <w:p>
      <w:pPr>
        <w:pStyle w:val="Bibliography"/>
      </w:pPr>
      <w:r>
        <w:t xml:space="preserve">Cerda, R., &amp; Vergara, R. (2023). Economic growth and political approval ratings: Evidence from</w:t>
      </w:r>
      <w:r>
        <w:t xml:space="preserve"> </w:t>
      </w:r>
      <w:r>
        <w:t xml:space="preserve">Latin America</w:t>
      </w:r>
      <w:r>
        <w:t xml:space="preserve">.</w:t>
      </w:r>
      <w:r>
        <w:t xml:space="preserve"> </w:t>
      </w:r>
      <w:r>
        <w:rPr>
          <w:iCs/>
          <w:i/>
        </w:rPr>
        <w:t xml:space="preserve">Political Behavior</w:t>
      </w:r>
      <w:r>
        <w:t xml:space="preserve">,</w:t>
      </w:r>
      <w:r>
        <w:t xml:space="preserve"> </w:t>
      </w:r>
      <w:r>
        <w:rPr>
          <w:iCs/>
          <w:i/>
        </w:rPr>
        <w:t xml:space="preserve">45</w:t>
      </w:r>
      <w:r>
        <w:t xml:space="preserve">(4), 1735–1758.</w:t>
      </w:r>
      <w:r>
        <w:t xml:space="preserve"> </w:t>
      </w:r>
      <w:hyperlink r:id="rId122">
        <w:r>
          <w:rPr>
            <w:rStyle w:val="Hyperlink"/>
          </w:rPr>
          <w:t xml:space="preserve">https://doi.org/10.1007/s11109-022-09798-y</w:t>
        </w:r>
      </w:hyperlink>
    </w:p>
    <w:bookmarkEnd w:id="123"/>
    <w:bookmarkStart w:id="125" w:name="ref-chettySocialInsuranceConnecting2013"/>
    <w:p>
      <w:pPr>
        <w:pStyle w:val="Bibliography"/>
      </w:pPr>
      <w:r>
        <w:t xml:space="preserve">Chetty, R., &amp; Finkelstein, A. (2013). Social</w:t>
      </w:r>
      <w:r>
        <w:t xml:space="preserve"> </w:t>
      </w:r>
      <w:r>
        <w:t xml:space="preserve">Insurance</w:t>
      </w:r>
      <w:r>
        <w:t xml:space="preserve">:</w:t>
      </w:r>
      <w:r>
        <w:t xml:space="preserve"> </w:t>
      </w:r>
      <w:r>
        <w:t xml:space="preserve">Connecting Theory</w:t>
      </w:r>
      <w:r>
        <w:t xml:space="preserve"> </w:t>
      </w:r>
      <w:r>
        <w:t xml:space="preserve">to</w:t>
      </w:r>
      <w:r>
        <w:t xml:space="preserve"> </w:t>
      </w:r>
      <w:r>
        <w:t xml:space="preserve">Data</w:t>
      </w:r>
      <w:r>
        <w:t xml:space="preserve">. In</w:t>
      </w:r>
      <w:r>
        <w:t xml:space="preserve"> </w:t>
      </w:r>
      <w:r>
        <w:rPr>
          <w:iCs/>
          <w:i/>
        </w:rPr>
        <w:t xml:space="preserve">Handbook of</w:t>
      </w:r>
      <w:r>
        <w:rPr>
          <w:iCs/>
          <w:i/>
        </w:rPr>
        <w:t xml:space="preserve"> </w:t>
      </w:r>
      <w:r>
        <w:rPr>
          <w:iCs/>
          <w:i/>
        </w:rPr>
        <w:t xml:space="preserve">Public Economics</w:t>
      </w:r>
      <w:r>
        <w:t xml:space="preserve"> </w:t>
      </w:r>
      <w:r>
        <w:t xml:space="preserve">(Vol. 5, pp. 111–193). Elsevier.</w:t>
      </w:r>
      <w:r>
        <w:t xml:space="preserve"> </w:t>
      </w:r>
      <w:hyperlink r:id="rId124">
        <w:r>
          <w:rPr>
            <w:rStyle w:val="Hyperlink"/>
          </w:rPr>
          <w:t xml:space="preserve">https://doi.org/10.1016/B978-0-444-53759-1.00003-0</w:t>
        </w:r>
      </w:hyperlink>
    </w:p>
    <w:bookmarkEnd w:id="125"/>
    <w:bookmarkStart w:id="127" w:name="ref-chettyNewEvidenceLongTerm2011"/>
    <w:p>
      <w:pPr>
        <w:pStyle w:val="Bibliography"/>
      </w:pPr>
      <w:r>
        <w:t xml:space="preserve">Chetty, R., Friedman, J. N., &amp; Rockoff, J. (2011). New</w:t>
      </w:r>
      <w:r>
        <w:t xml:space="preserve"> </w:t>
      </w:r>
      <w:r>
        <w:t xml:space="preserve">Evidence</w:t>
      </w:r>
      <w:r>
        <w:t xml:space="preserve"> </w:t>
      </w:r>
      <w:r>
        <w:t xml:space="preserve">on the</w:t>
      </w:r>
      <w:r>
        <w:t xml:space="preserve"> </w:t>
      </w:r>
      <w:r>
        <w:t xml:space="preserve">Long-Term Impacts</w:t>
      </w:r>
      <w:r>
        <w:t xml:space="preserve"> </w:t>
      </w:r>
      <w:r>
        <w:t xml:space="preserve">of</w:t>
      </w:r>
      <w:r>
        <w:t xml:space="preserve"> </w:t>
      </w:r>
      <w:r>
        <w:t xml:space="preserve">Tax Credits</w:t>
      </w:r>
      <w:r>
        <w:t xml:space="preserve">.</w:t>
      </w:r>
      <w:r>
        <w:t xml:space="preserve"> </w:t>
      </w:r>
      <w:r>
        <w:rPr>
          <w:iCs/>
          <w:i/>
        </w:rPr>
        <w:t xml:space="preserve">Proceedings. Annual Conference on Taxation and Minutes of the Annual Meeting of the National Tax Association</w:t>
      </w:r>
      <w:r>
        <w:t xml:space="preserve">,</w:t>
      </w:r>
      <w:r>
        <w:t xml:space="preserve"> </w:t>
      </w:r>
      <w:r>
        <w:rPr>
          <w:iCs/>
          <w:i/>
        </w:rPr>
        <w:t xml:space="preserve">104</w:t>
      </w:r>
      <w:r>
        <w:t xml:space="preserve">, 116–124.</w:t>
      </w:r>
      <w:r>
        <w:t xml:space="preserve"> </w:t>
      </w:r>
      <w:hyperlink r:id="rId126">
        <w:r>
          <w:rPr>
            <w:rStyle w:val="Hyperlink"/>
          </w:rPr>
          <w:t xml:space="preserve">https://www.jstor.org/stable/prancotamamnta.104.116</w:t>
        </w:r>
      </w:hyperlink>
    </w:p>
    <w:bookmarkEnd w:id="127"/>
    <w:bookmarkStart w:id="129" w:name="ref-chipmanFoundationsUtility1960"/>
    <w:p>
      <w:pPr>
        <w:pStyle w:val="Bibliography"/>
      </w:pPr>
      <w:r>
        <w:t xml:space="preserve">Chipman, J. S. (1960). The</w:t>
      </w:r>
      <w:r>
        <w:t xml:space="preserve"> </w:t>
      </w:r>
      <w:r>
        <w:t xml:space="preserve">Foundations</w:t>
      </w:r>
      <w:r>
        <w:t xml:space="preserve"> </w:t>
      </w:r>
      <w:r>
        <w:t xml:space="preserve">of</w:t>
      </w:r>
      <w:r>
        <w:t xml:space="preserve"> </w:t>
      </w:r>
      <w:r>
        <w:t xml:space="preserve">Utility</w:t>
      </w:r>
      <w:r>
        <w:t xml:space="preserve">.</w:t>
      </w:r>
      <w:r>
        <w:t xml:space="preserve"> </w:t>
      </w:r>
      <w:r>
        <w:rPr>
          <w:iCs/>
          <w:i/>
        </w:rPr>
        <w:t xml:space="preserve">Econometrica</w:t>
      </w:r>
      <w:r>
        <w:t xml:space="preserve">,</w:t>
      </w:r>
      <w:r>
        <w:t xml:space="preserve"> </w:t>
      </w:r>
      <w:r>
        <w:rPr>
          <w:iCs/>
          <w:i/>
        </w:rPr>
        <w:t xml:space="preserve">28</w:t>
      </w:r>
      <w:r>
        <w:t xml:space="preserve">(2), 193–224.</w:t>
      </w:r>
      <w:r>
        <w:t xml:space="preserve"> </w:t>
      </w:r>
      <w:hyperlink r:id="rId128">
        <w:r>
          <w:rPr>
            <w:rStyle w:val="Hyperlink"/>
          </w:rPr>
          <w:t xml:space="preserve">https://doi.org/10.2307/1907717</w:t>
        </w:r>
      </w:hyperlink>
    </w:p>
    <w:bookmarkEnd w:id="129"/>
    <w:bookmarkStart w:id="131" w:name="ref-choIssuesSpatialTheory2003"/>
    <w:p>
      <w:pPr>
        <w:pStyle w:val="Bibliography"/>
      </w:pPr>
      <w:r>
        <w:t xml:space="preserve">Cho, S., &amp; Endersby, J. W. (2003). Issues, the</w:t>
      </w:r>
      <w:r>
        <w:t xml:space="preserve"> </w:t>
      </w:r>
      <w:r>
        <w:t xml:space="preserve">Spatial Theory</w:t>
      </w:r>
      <w:r>
        <w:t xml:space="preserve"> </w:t>
      </w:r>
      <w:r>
        <w:t xml:space="preserve">of</w:t>
      </w:r>
      <w:r>
        <w:t xml:space="preserve"> </w:t>
      </w:r>
      <w:r>
        <w:t xml:space="preserve">Voting</w:t>
      </w:r>
      <w:r>
        <w:t xml:space="preserve">, and</w:t>
      </w:r>
      <w:r>
        <w:t xml:space="preserve"> </w:t>
      </w:r>
      <w:r>
        <w:t xml:space="preserve">British General Elections</w:t>
      </w:r>
      <w:r>
        <w:t xml:space="preserve">:</w:t>
      </w:r>
      <w:r>
        <w:t xml:space="preserve"> </w:t>
      </w:r>
      <w:r>
        <w:t xml:space="preserve">A Comparison</w:t>
      </w:r>
      <w:r>
        <w:t xml:space="preserve"> </w:t>
      </w:r>
      <w:r>
        <w:t xml:space="preserve">of</w:t>
      </w:r>
      <w:r>
        <w:t xml:space="preserve"> </w:t>
      </w:r>
      <w:r>
        <w:t xml:space="preserve">Proximity</w:t>
      </w:r>
      <w:r>
        <w:t xml:space="preserve"> </w:t>
      </w:r>
      <w:r>
        <w:t xml:space="preserve">and</w:t>
      </w:r>
      <w:r>
        <w:t xml:space="preserve"> </w:t>
      </w:r>
      <w:r>
        <w:t xml:space="preserve">Directional Models</w:t>
      </w:r>
      <w:r>
        <w:t xml:space="preserve">.</w:t>
      </w:r>
      <w:r>
        <w:t xml:space="preserve"> </w:t>
      </w:r>
      <w:r>
        <w:rPr>
          <w:iCs/>
          <w:i/>
        </w:rPr>
        <w:t xml:space="preserve">Public Choice</w:t>
      </w:r>
      <w:r>
        <w:t xml:space="preserve">,</w:t>
      </w:r>
      <w:r>
        <w:t xml:space="preserve"> </w:t>
      </w:r>
      <w:r>
        <w:rPr>
          <w:iCs/>
          <w:i/>
        </w:rPr>
        <w:t xml:space="preserve">114</w:t>
      </w:r>
      <w:r>
        <w:t xml:space="preserve">(3/4), 275–293.</w:t>
      </w:r>
      <w:r>
        <w:t xml:space="preserve"> </w:t>
      </w:r>
      <w:hyperlink r:id="rId130">
        <w:r>
          <w:rPr>
            <w:rStyle w:val="Hyperlink"/>
          </w:rPr>
          <w:t xml:space="preserve">https://www.jstor.org/stable/30025956</w:t>
        </w:r>
      </w:hyperlink>
    </w:p>
    <w:bookmarkEnd w:id="131"/>
    <w:bookmarkStart w:id="133" w:name="ref-chongFramingPublicOpinion2007"/>
    <w:p>
      <w:pPr>
        <w:pStyle w:val="Bibliography"/>
      </w:pPr>
      <w:r>
        <w:t xml:space="preserve">Chong, D., &amp; Druckman, J. N. (2007). Framing</w:t>
      </w:r>
      <w:r>
        <w:t xml:space="preserve"> </w:t>
      </w:r>
      <w:r>
        <w:t xml:space="preserve">Public Opinion</w:t>
      </w:r>
      <w:r>
        <w:t xml:space="preserve"> </w:t>
      </w:r>
      <w:r>
        <w:t xml:space="preserve">in</w:t>
      </w:r>
      <w:r>
        <w:t xml:space="preserve"> </w:t>
      </w:r>
      <w:r>
        <w:t xml:space="preserve">Competitive Democracies</w:t>
      </w:r>
      <w:r>
        <w:t xml:space="preserve">.</w:t>
      </w:r>
      <w:r>
        <w:t xml:space="preserve"> </w:t>
      </w:r>
      <w:r>
        <w:rPr>
          <w:iCs/>
          <w:i/>
        </w:rPr>
        <w:t xml:space="preserve">American Political Science Review</w:t>
      </w:r>
      <w:r>
        <w:t xml:space="preserve">,</w:t>
      </w:r>
      <w:r>
        <w:t xml:space="preserve"> </w:t>
      </w:r>
      <w:r>
        <w:rPr>
          <w:iCs/>
          <w:i/>
        </w:rPr>
        <w:t xml:space="preserve">101</w:t>
      </w:r>
      <w:r>
        <w:t xml:space="preserve">(4), 637–655.</w:t>
      </w:r>
      <w:r>
        <w:t xml:space="preserve"> </w:t>
      </w:r>
      <w:hyperlink r:id="rId132">
        <w:r>
          <w:rPr>
            <w:rStyle w:val="Hyperlink"/>
          </w:rPr>
          <w:t xml:space="preserve">https://doi.org/10.1017/S0003055407070554</w:t>
        </w:r>
      </w:hyperlink>
    </w:p>
    <w:bookmarkEnd w:id="133"/>
    <w:bookmarkStart w:id="134" w:name="X22a703942838f02bfb299064b5ff096e8ad86b8"/>
    <w:p>
      <w:pPr>
        <w:pStyle w:val="Bibliography"/>
      </w:pPr>
      <w:r>
        <w:t xml:space="preserve">Christopher H Achen author. (2016).</w:t>
      </w:r>
      <w:r>
        <w:t xml:space="preserve"> </w:t>
      </w:r>
      <w:r>
        <w:rPr>
          <w:iCs/>
          <w:i/>
        </w:rPr>
        <w:t xml:space="preserve">Democracy for realists: Why elections do not produce responsive government /</w:t>
      </w:r>
      <w:r>
        <w:rPr>
          <w:iCs/>
          <w:i/>
        </w:rPr>
        <w:t xml:space="preserve"> </w:t>
      </w:r>
      <w:r>
        <w:rPr>
          <w:iCs/>
          <w:i/>
        </w:rPr>
        <w:t xml:space="preserve">Christopher H</w:t>
      </w:r>
      <w:r>
        <w:rPr>
          <w:iCs/>
          <w:i/>
        </w:rPr>
        <w:t xml:space="preserve">.</w:t>
      </w:r>
      <w:r>
        <w:rPr>
          <w:iCs/>
          <w:i/>
        </w:rPr>
        <w:t xml:space="preserve"> </w:t>
      </w:r>
      <w:r>
        <w:rPr>
          <w:iCs/>
          <w:i/>
        </w:rPr>
        <w:t xml:space="preserve">Achen</w:t>
      </w:r>
      <w:r>
        <w:rPr>
          <w:iCs/>
          <w:i/>
        </w:rPr>
        <w:t xml:space="preserve">,</w:t>
      </w:r>
      <w:r>
        <w:rPr>
          <w:iCs/>
          <w:i/>
        </w:rPr>
        <w:t xml:space="preserve"> </w:t>
      </w:r>
      <w:r>
        <w:rPr>
          <w:iCs/>
          <w:i/>
        </w:rPr>
        <w:t xml:space="preserve">Larry M</w:t>
      </w:r>
      <w:r>
        <w:rPr>
          <w:iCs/>
          <w:i/>
        </w:rPr>
        <w:t xml:space="preserve">.</w:t>
      </w:r>
      <w:r>
        <w:rPr>
          <w:iCs/>
          <w:i/>
        </w:rPr>
        <w:t xml:space="preserve"> </w:t>
      </w:r>
      <w:r>
        <w:rPr>
          <w:iCs/>
          <w:i/>
        </w:rPr>
        <w:t xml:space="preserve">Bartels</w:t>
      </w:r>
      <w:r>
        <w:rPr>
          <w:iCs/>
          <w:i/>
        </w:rPr>
        <w:t xml:space="preserve">.</w:t>
      </w:r>
      <w:r>
        <w:t xml:space="preserve"> Princeton University Press.</w:t>
      </w:r>
    </w:p>
    <w:bookmarkEnd w:id="134"/>
    <w:bookmarkStart w:id="135" w:name="ref-citrinPublicOpinionImmigration1997"/>
    <w:p>
      <w:pPr>
        <w:pStyle w:val="Bibliography"/>
      </w:pPr>
      <w:r>
        <w:t xml:space="preserve">Citrin, J., Green, D. P., Muste, C., &amp; Wong, C. (1997). Public</w:t>
      </w:r>
      <w:r>
        <w:t xml:space="preserve"> </w:t>
      </w:r>
      <w:r>
        <w:t xml:space="preserve">Opinion Toward Immigration Reform</w:t>
      </w:r>
      <w:r>
        <w:t xml:space="preserve">:</w:t>
      </w:r>
      <w:r>
        <w:t xml:space="preserve"> </w:t>
      </w:r>
      <w:r>
        <w:t xml:space="preserve">The Role</w:t>
      </w:r>
      <w:r>
        <w:t xml:space="preserve"> </w:t>
      </w:r>
      <w:r>
        <w:t xml:space="preserve">of</w:t>
      </w:r>
      <w:r>
        <w:t xml:space="preserve"> </w:t>
      </w:r>
      <w:r>
        <w:t xml:space="preserve">Economic Motivations</w:t>
      </w:r>
      <w:r>
        <w:t xml:space="preserve">.</w:t>
      </w:r>
      <w:r>
        <w:t xml:space="preserve"> </w:t>
      </w:r>
      <w:r>
        <w:rPr>
          <w:iCs/>
          <w:i/>
        </w:rPr>
        <w:t xml:space="preserve">The Journal of Politics</w:t>
      </w:r>
      <w:r>
        <w:t xml:space="preserve">,</w:t>
      </w:r>
      <w:r>
        <w:t xml:space="preserve"> </w:t>
      </w:r>
      <w:r>
        <w:rPr>
          <w:iCs/>
          <w:i/>
        </w:rPr>
        <w:t xml:space="preserve">59</w:t>
      </w:r>
      <w:r>
        <w:t xml:space="preserve">(3), 858–881.</w:t>
      </w:r>
    </w:p>
    <w:bookmarkEnd w:id="135"/>
    <w:bookmarkStart w:id="137" w:name="ref-clarkJobSatisfactionGender1997"/>
    <w:p>
      <w:pPr>
        <w:pStyle w:val="Bibliography"/>
      </w:pPr>
      <w:r>
        <w:t xml:space="preserve">Clark, A. E. (1997). Job satisfaction and gender:</w:t>
      </w:r>
      <w:r>
        <w:t xml:space="preserve"> </w:t>
      </w:r>
      <w:r>
        <w:t xml:space="preserve">Why</w:t>
      </w:r>
      <w:r>
        <w:t xml:space="preserve"> </w:t>
      </w:r>
      <w:r>
        <w:t xml:space="preserve">are women so happy at work?</w:t>
      </w:r>
      <w:r>
        <w:t xml:space="preserve"> </w:t>
      </w:r>
      <w:r>
        <w:rPr>
          <w:iCs/>
          <w:i/>
        </w:rPr>
        <w:t xml:space="preserve">Labour Economics</w:t>
      </w:r>
      <w:r>
        <w:t xml:space="preserve">,</w:t>
      </w:r>
      <w:r>
        <w:t xml:space="preserve"> </w:t>
      </w:r>
      <w:r>
        <w:rPr>
          <w:iCs/>
          <w:i/>
        </w:rPr>
        <w:t xml:space="preserve">4</w:t>
      </w:r>
      <w:r>
        <w:t xml:space="preserve">(4), 341–372.</w:t>
      </w:r>
      <w:r>
        <w:t xml:space="preserve"> </w:t>
      </w:r>
      <w:hyperlink r:id="rId136">
        <w:r>
          <w:rPr>
            <w:rStyle w:val="Hyperlink"/>
          </w:rPr>
          <w:t xml:space="preserve">https://doi.org/10.1016/S0927-5371(97)00010-9</w:t>
        </w:r>
      </w:hyperlink>
    </w:p>
    <w:bookmarkEnd w:id="137"/>
    <w:bookmarkStart w:id="139" w:name="ref-clarkeEconomicevaluationsprime1995"/>
    <w:p>
      <w:pPr>
        <w:pStyle w:val="Bibliography"/>
      </w:pPr>
      <w:r>
        <w:t xml:space="preserve">Clarke, H. D., &amp; Stewart, M. C. (1995). Economic evaluations, prime ministerial approval and governing party support: Rival models reconsidered.</w:t>
      </w:r>
      <w:r>
        <w:t xml:space="preserve"> </w:t>
      </w:r>
      <w:r>
        <w:rPr>
          <w:iCs/>
          <w:i/>
        </w:rPr>
        <w:t xml:space="preserve">British Journal of Political Science</w:t>
      </w:r>
      <w:r>
        <w:t xml:space="preserve">,</w:t>
      </w:r>
      <w:r>
        <w:t xml:space="preserve"> </w:t>
      </w:r>
      <w:r>
        <w:rPr>
          <w:iCs/>
          <w:i/>
        </w:rPr>
        <w:t xml:space="preserve">25</w:t>
      </w:r>
      <w:r>
        <w:t xml:space="preserve">(2), 145–170.</w:t>
      </w:r>
      <w:r>
        <w:t xml:space="preserve"> </w:t>
      </w:r>
      <w:hyperlink r:id="rId138">
        <w:r>
          <w:rPr>
            <w:rStyle w:val="Hyperlink"/>
          </w:rPr>
          <w:t xml:space="preserve">https://doi.org/10.1017/S0007123400007134</w:t>
        </w:r>
      </w:hyperlink>
    </w:p>
    <w:bookmarkEnd w:id="139"/>
    <w:bookmarkStart w:id="141" w:name="ref-daleEstimatingPayoffAttending2002"/>
    <w:p>
      <w:pPr>
        <w:pStyle w:val="Bibliography"/>
      </w:pPr>
      <w:r>
        <w:t xml:space="preserve">Dale, S. B., &amp; Krueger, A. B. (2002). Estimating the</w:t>
      </w:r>
      <w:r>
        <w:t xml:space="preserve"> </w:t>
      </w:r>
      <w:r>
        <w:t xml:space="preserve">Payoff</w:t>
      </w:r>
      <w:r>
        <w:t xml:space="preserve"> </w:t>
      </w:r>
      <w:r>
        <w:t xml:space="preserve">to</w:t>
      </w:r>
      <w:r>
        <w:t xml:space="preserve"> </w:t>
      </w:r>
      <w:r>
        <w:t xml:space="preserve">Attending</w:t>
      </w:r>
      <w:r>
        <w:t xml:space="preserve"> </w:t>
      </w:r>
      <w:r>
        <w:t xml:space="preserve">a</w:t>
      </w:r>
      <w:r>
        <w:t xml:space="preserve"> </w:t>
      </w:r>
      <w:r>
        <w:t xml:space="preserve">More Selective College</w:t>
      </w:r>
      <w:r>
        <w:t xml:space="preserve">:</w:t>
      </w:r>
      <w:r>
        <w:t xml:space="preserve"> </w:t>
      </w:r>
      <w:r>
        <w:t xml:space="preserve">An Application</w:t>
      </w:r>
      <w:r>
        <w:t xml:space="preserve"> </w:t>
      </w:r>
      <w:r>
        <w:t xml:space="preserve">of</w:t>
      </w:r>
      <w:r>
        <w:t xml:space="preserve"> </w:t>
      </w:r>
      <w:r>
        <w:t xml:space="preserve">Selection</w:t>
      </w:r>
      <w:r>
        <w:t xml:space="preserve"> </w:t>
      </w:r>
      <w:r>
        <w:t xml:space="preserve">on</w:t>
      </w:r>
      <w:r>
        <w:t xml:space="preserve"> </w:t>
      </w:r>
      <w:r>
        <w:t xml:space="preserve">Observables</w:t>
      </w:r>
      <w:r>
        <w:t xml:space="preserve"> </w:t>
      </w:r>
      <w:r>
        <w:t xml:space="preserve">and</w:t>
      </w:r>
      <w:r>
        <w:t xml:space="preserve"> </w:t>
      </w:r>
      <w:r>
        <w:t xml:space="preserve">Unobservables</w:t>
      </w:r>
      <w:r>
        <w:t xml:space="preserve">*.</w:t>
      </w:r>
      <w:r>
        <w:t xml:space="preserve"> </w:t>
      </w:r>
      <w:r>
        <w:rPr>
          <w:iCs/>
          <w:i/>
        </w:rPr>
        <w:t xml:space="preserve">The Quarterly Journal of Economics</w:t>
      </w:r>
      <w:r>
        <w:t xml:space="preserve">,</w:t>
      </w:r>
      <w:r>
        <w:t xml:space="preserve"> </w:t>
      </w:r>
      <w:r>
        <w:rPr>
          <w:iCs/>
          <w:i/>
        </w:rPr>
        <w:t xml:space="preserve">117</w:t>
      </w:r>
      <w:r>
        <w:t xml:space="preserve">(4), 1491–1527.</w:t>
      </w:r>
      <w:r>
        <w:t xml:space="preserve"> </w:t>
      </w:r>
      <w:hyperlink r:id="rId140">
        <w:r>
          <w:rPr>
            <w:rStyle w:val="Hyperlink"/>
          </w:rPr>
          <w:t xml:space="preserve">https://doi.org/10.1162/003355302320935089</w:t>
        </w:r>
      </w:hyperlink>
    </w:p>
    <w:bookmarkEnd w:id="141"/>
    <w:bookmarkStart w:id="143" w:name="ref-dellereffectweathersubjective2022"/>
    <w:p>
      <w:pPr>
        <w:pStyle w:val="Bibliography"/>
      </w:pPr>
      <w:r>
        <w:t xml:space="preserve">Deller, C., &amp; Michels, J. (2022, June 20).</w:t>
      </w:r>
      <w:r>
        <w:t xml:space="preserve"> </w:t>
      </w:r>
      <w:r>
        <w:rPr>
          <w:iCs/>
          <w:i/>
        </w:rPr>
        <w:t xml:space="preserve">The effect of weather on subjective performance evaluation</w:t>
      </w:r>
      <w:r>
        <w:t xml:space="preserve"> </w:t>
      </w:r>
      <w:r>
        <w:t xml:space="preserve">(SSRN Scholarly Paper 3780405).</w:t>
      </w:r>
      <w:r>
        <w:t xml:space="preserve"> </w:t>
      </w:r>
      <w:hyperlink r:id="rId142">
        <w:r>
          <w:rPr>
            <w:rStyle w:val="Hyperlink"/>
          </w:rPr>
          <w:t xml:space="preserve">https://doi.org/10.2139/ssrn.3780405</w:t>
        </w:r>
      </w:hyperlink>
    </w:p>
    <w:bookmarkEnd w:id="143"/>
    <w:bookmarkStart w:id="145" w:name="ref-DemocracyRealistsPrinceton2016"/>
    <w:p>
      <w:pPr>
        <w:pStyle w:val="Bibliography"/>
      </w:pPr>
      <w:r>
        <w:rPr>
          <w:iCs/>
          <w:i/>
        </w:rPr>
        <w:t xml:space="preserve">Democracy for</w:t>
      </w:r>
      <w:r>
        <w:rPr>
          <w:iCs/>
          <w:i/>
        </w:rPr>
        <w:t xml:space="preserve"> </w:t>
      </w:r>
      <w:r>
        <w:rPr>
          <w:iCs/>
          <w:i/>
        </w:rPr>
        <w:t xml:space="preserve">Realists</w:t>
      </w:r>
      <w:r>
        <w:rPr>
          <w:iCs/>
          <w:i/>
        </w:rPr>
        <w:t xml:space="preserve"> </w:t>
      </w:r>
      <w:r>
        <w:rPr>
          <w:iCs/>
          <w:i/>
        </w:rPr>
        <w:t xml:space="preserve">|</w:t>
      </w:r>
      <w:r>
        <w:rPr>
          <w:iCs/>
          <w:i/>
        </w:rPr>
        <w:t xml:space="preserve"> </w:t>
      </w:r>
      <w:r>
        <w:rPr>
          <w:iCs/>
          <w:i/>
        </w:rPr>
        <w:t xml:space="preserve">Princeton University Press</w:t>
      </w:r>
      <w:r>
        <w:t xml:space="preserve">. (Tue, 04/19/2016 - 12:00, Tue, 04/19/2016 - 12:00).</w:t>
      </w:r>
      <w:r>
        <w:t xml:space="preserve"> </w:t>
      </w:r>
      <w:hyperlink r:id="rId144">
        <w:r>
          <w:rPr>
            <w:rStyle w:val="Hyperlink"/>
          </w:rPr>
          <w:t xml:space="preserve">https://press.princeton.edu/books/hardcover/9780691169446/democracy-for-realists</w:t>
        </w:r>
      </w:hyperlink>
    </w:p>
    <w:bookmarkEnd w:id="145"/>
    <w:bookmarkStart w:id="147" w:name="ref-DemocracyRealistsWhy"/>
    <w:p>
      <w:pPr>
        <w:pStyle w:val="Bibliography"/>
      </w:pPr>
      <w:r>
        <w:rPr>
          <w:iCs/>
          <w:i/>
        </w:rPr>
        <w:t xml:space="preserve">Democracy for</w:t>
      </w:r>
      <w:r>
        <w:rPr>
          <w:iCs/>
          <w:i/>
        </w:rPr>
        <w:t xml:space="preserve"> </w:t>
      </w:r>
      <w:r>
        <w:rPr>
          <w:iCs/>
          <w:i/>
        </w:rPr>
        <w:t xml:space="preserve">Realists</w:t>
      </w:r>
      <w:r>
        <w:rPr>
          <w:iCs/>
          <w:i/>
        </w:rPr>
        <w:t xml:space="preserve">:</w:t>
      </w:r>
      <w:r>
        <w:rPr>
          <w:iCs/>
          <w:i/>
        </w:rPr>
        <w:t xml:space="preserve"> </w:t>
      </w:r>
      <w:r>
        <w:rPr>
          <w:iCs/>
          <w:i/>
        </w:rPr>
        <w:t xml:space="preserve">Why Elections Do Not Produce Responsive Government</w:t>
      </w:r>
      <w:r>
        <w:rPr>
          <w:iCs/>
          <w:i/>
        </w:rPr>
        <w:t xml:space="preserve">:</w:t>
      </w:r>
      <w:r>
        <w:rPr>
          <w:iCs/>
          <w:i/>
        </w:rPr>
        <w:t xml:space="preserve"> </w:t>
      </w:r>
      <w:r>
        <w:rPr>
          <w:iCs/>
          <w:i/>
        </w:rPr>
        <w:t xml:space="preserve">Achen</w:t>
      </w:r>
      <w:r>
        <w:rPr>
          <w:iCs/>
          <w:i/>
        </w:rPr>
        <w:t xml:space="preserve">,</w:t>
      </w:r>
      <w:r>
        <w:rPr>
          <w:iCs/>
          <w:i/>
        </w:rPr>
        <w:t xml:space="preserve"> </w:t>
      </w:r>
      <w:r>
        <w:rPr>
          <w:iCs/>
          <w:i/>
        </w:rPr>
        <w:t xml:space="preserve">Christopher H</w:t>
      </w:r>
      <w:r>
        <w:rPr>
          <w:iCs/>
          <w:i/>
        </w:rPr>
        <w:t xml:space="preserve">.,</w:t>
      </w:r>
      <w:r>
        <w:rPr>
          <w:iCs/>
          <w:i/>
        </w:rPr>
        <w:t xml:space="preserve"> </w:t>
      </w:r>
      <w:r>
        <w:rPr>
          <w:iCs/>
          <w:i/>
        </w:rPr>
        <w:t xml:space="preserve">Bartels</w:t>
      </w:r>
      <w:r>
        <w:rPr>
          <w:iCs/>
          <w:i/>
        </w:rPr>
        <w:t xml:space="preserve">,</w:t>
      </w:r>
      <w:r>
        <w:rPr>
          <w:iCs/>
          <w:i/>
        </w:rPr>
        <w:t xml:space="preserve"> </w:t>
      </w:r>
      <w:r>
        <w:rPr>
          <w:iCs/>
          <w:i/>
        </w:rPr>
        <w:t xml:space="preserve">Larry M</w:t>
      </w:r>
      <w:r>
        <w:rPr>
          <w:iCs/>
          <w:i/>
        </w:rPr>
        <w:t xml:space="preserve">.,</w:t>
      </w:r>
      <w:r>
        <w:rPr>
          <w:iCs/>
          <w:i/>
        </w:rPr>
        <w:t xml:space="preserve"> </w:t>
      </w:r>
      <w:r>
        <w:rPr>
          <w:iCs/>
          <w:i/>
        </w:rPr>
        <w:t xml:space="preserve">Achen</w:t>
      </w:r>
      <w:r>
        <w:rPr>
          <w:iCs/>
          <w:i/>
        </w:rPr>
        <w:t xml:space="preserve">,</w:t>
      </w:r>
      <w:r>
        <w:rPr>
          <w:iCs/>
          <w:i/>
        </w:rPr>
        <w:t xml:space="preserve"> </w:t>
      </w:r>
      <w:r>
        <w:rPr>
          <w:iCs/>
          <w:i/>
        </w:rPr>
        <w:t xml:space="preserve">Christopher H</w:t>
      </w:r>
      <w:r>
        <w:rPr>
          <w:iCs/>
          <w:i/>
        </w:rPr>
        <w:t xml:space="preserve">.,</w:t>
      </w:r>
      <w:r>
        <w:rPr>
          <w:iCs/>
          <w:i/>
        </w:rPr>
        <w:t xml:space="preserve"> </w:t>
      </w:r>
      <w:r>
        <w:rPr>
          <w:iCs/>
          <w:i/>
        </w:rPr>
        <w:t xml:space="preserve">Bartels</w:t>
      </w:r>
      <w:r>
        <w:rPr>
          <w:iCs/>
          <w:i/>
        </w:rPr>
        <w:t xml:space="preserve">,</w:t>
      </w:r>
      <w:r>
        <w:rPr>
          <w:iCs/>
          <w:i/>
        </w:rPr>
        <w:t xml:space="preserve"> </w:t>
      </w:r>
      <w:r>
        <w:rPr>
          <w:iCs/>
          <w:i/>
        </w:rPr>
        <w:t xml:space="preserve">Larry M</w:t>
      </w:r>
      <w:r>
        <w:rPr>
          <w:iCs/>
          <w:i/>
        </w:rPr>
        <w:t xml:space="preserve">.: 9780691178240</w:t>
      </w:r>
      <w:r>
        <w:rPr>
          <w:iCs/>
          <w:i/>
        </w:rPr>
        <w:t xml:space="preserve"> </w:t>
      </w:r>
      <m:oMath>
        <m:r>
          <m:rPr>
            <m:sty m:val="p"/>
          </m:rPr>
          <m:t>&lt;</m:t>
        </m:r>
      </m:oMath>
      <w:r>
        <w:rPr>
          <w:iCs/>
          <w:i/>
        </w:rPr>
        <w:t xml:space="preserve">a href="javascript:"</w:t>
      </w:r>
      <m:oMath>
        <m:r>
          <m:rPr>
            <m:sty m:val="p"/>
          </m:rPr>
          <m:t>&gt;</m:t>
        </m:r>
        <m:r>
          <m:rPr>
            <m:sty m:val="p"/>
          </m:rPr>
          <m:t>&lt;</m:t>
        </m:r>
      </m:oMath>
      <w:r>
        <w:rPr>
          <w:iCs/>
          <w:i/>
        </w:rPr>
        <w:t xml:space="preserve">img class="citavipicker" identifier="9780691178240" identifiertype="2" src="data:image/png;Base64,</w:t>
      </w:r>
      <w:r>
        <w:rPr>
          <w:iCs/>
          <w:i/>
        </w:rPr>
        <w:t xml:space="preserve">iVBORw0KGgoAAAANSUhEUgAAABAAAAAQCAYAAAAf8</w:t>
      </w:r>
      <w:r>
        <w:rPr>
          <w:iCs/>
          <w:i/>
        </w:rPr>
        <w:t xml:space="preserve">/</w:t>
      </w:r>
      <w:r>
        <w:rPr>
          <w:iCs/>
          <w:i/>
        </w:rPr>
        <w:t xml:space="preserve">9hAAAAGXRFWHRTb2Z0d2FyZQBBZG9iZSBJbWFnZVJlYWR5ccllPAAAARpJREFUeNpiZEAD1zX4E4BUPBA7oEkdAOKFmjc</w:t>
      </w:r>
      <w:r>
        <w:rPr>
          <w:iCs/>
          <w:i/>
        </w:rPr>
        <w:t xml:space="preserve">+</w:t>
      </w:r>
      <w:r>
        <w:rPr>
          <w:iCs/>
          <w:i/>
        </w:rPr>
        <w:t xml:space="preserve">LkAWZETSqACk1gOxAb</w:t>
      </w:r>
      <w:r>
        <w:rPr>
          <w:iCs/>
          <w:i/>
        </w:rPr>
        <w:t xml:space="preserve">/</w:t>
      </w:r>
      <w:r>
        <w:rPr>
          <w:iCs/>
          <w:i/>
        </w:rPr>
        <w:t xml:space="preserve">lLwZegz8MTJz</w:t>
      </w:r>
      <w:r>
        <w:rPr>
          <w:iCs/>
          <w:i/>
        </w:rPr>
        <w:t xml:space="preserve">/</w:t>
      </w:r>
      <w:r>
        <w:rPr>
          <w:iCs/>
          <w:i/>
        </w:rPr>
        <w:t xml:space="preserve">wXL</w:t>
      </w:r>
      <w:r>
        <w:rPr>
          <w:iCs/>
          <w:i/>
        </w:rPr>
        <w:t xml:space="preserve">/</w:t>
      </w:r>
      <w:r>
        <w:rPr>
          <w:iCs/>
          <w:i/>
        </w:rPr>
        <w:t xml:space="preserve">vjMyfL7AwvDxOBuIewGIA4EGPYAbANV8nkP2r4Bk</w:t>
      </w:r>
      <w:r>
        <w:rPr>
          <w:iCs/>
          <w:i/>
        </w:rPr>
        <w:t xml:space="preserve">/</w:t>
      </w:r>
      <w:r>
        <w:rPr>
          <w:iCs/>
          <w:i/>
        </w:rPr>
        <w:t xml:space="preserve">HcGdpm</w:t>
      </w:r>
      <w:r>
        <w:rPr>
          <w:iCs/>
          <w:i/>
        </w:rPr>
        <w:t xml:space="preserve">/</w:t>
      </w:r>
      <w:r>
        <w:rPr>
          <w:iCs/>
          <w:i/>
        </w:rPr>
        <w:t xml:space="preserve">DNjAzyfMDM8XcjL8eMz8Acg1BBnCBJVbD9IsV</w:t>
      </w:r>
      <w:r>
        <w:rPr>
          <w:iCs/>
          <w:i/>
        </w:rPr>
        <w:t xml:space="preserve">/</w:t>
      </w:r>
      <w:r>
        <w:rPr>
          <w:iCs/>
          <w:i/>
        </w:rPr>
        <w:t xml:space="preserve">QVp2YQAMmB1IDUQl3LwAT1swHIZpiT8QGQGpBakB6QXpAL4kF</w:t>
      </w:r>
      <w:r>
        <w:rPr>
          <w:iCs/>
          <w:i/>
        </w:rPr>
        <w:t xml:space="preserve">+</w:t>
      </w:r>
      <w:r>
        <w:rPr>
          <w:iCs/>
          <w:i/>
        </w:rPr>
        <w:t xml:space="preserve">xmczNpeA9ID0ggxwAAUYqQCqx4EJ5ixSAUwP2ABmLtINgBsEIn6</w:t>
      </w:r>
      <w:r>
        <w:rPr>
          <w:iCs/>
          <w:i/>
        </w:rPr>
        <w:t xml:space="preserve">/</w:t>
      </w:r>
      <w:r>
        <w:rPr>
          <w:iCs/>
          <w:i/>
        </w:rPr>
        <w:t xml:space="preserve">ZSJZIyhtwAw4AEokpAKongMgAxaCUhgokRALQGqhqXIhEzRtXwClMJizCDkdpBakB6QX5vlAUPJ81MeN1yUgOZAaaFIOJCozgWIIFMh4MxMl2RkgwACxPIMc1tjE2wAAAABJRU5ErkJggg</w:t>
      </w:r>
      <w:r>
        <w:rPr>
          <w:iCs/>
          <w:i/>
        </w:rPr>
        <w:t xml:space="preserve">==" style="border: 0px none!important;width: 16px!important;height: 16px!important;margin-left:1px !important;margin-right:1px !important;" title="</w:t>
      </w:r>
      <w:r>
        <w:rPr>
          <w:iCs/>
          <w:i/>
        </w:rPr>
        <w:t xml:space="preserve">Add</w:t>
      </w:r>
      <w:r>
        <w:rPr>
          <w:iCs/>
          <w:i/>
        </w:rPr>
        <w:t xml:space="preserve"> </w:t>
      </w:r>
      <w:r>
        <w:rPr>
          <w:iCs/>
          <w:i/>
        </w:rPr>
        <w:t xml:space="preserve">to</w:t>
      </w:r>
      <w:r>
        <w:rPr>
          <w:iCs/>
          <w:i/>
        </w:rPr>
        <w:t xml:space="preserve"> </w:t>
      </w:r>
      <w:r>
        <w:rPr>
          <w:iCs/>
          <w:i/>
        </w:rPr>
        <w:t xml:space="preserve">Citavi</w:t>
      </w:r>
      <w:r>
        <w:rPr>
          <w:iCs/>
          <w:i/>
        </w:rPr>
        <w:t xml:space="preserve"> </w:t>
      </w:r>
      <w:r>
        <w:rPr>
          <w:iCs/>
          <w:i/>
        </w:rPr>
        <w:t xml:space="preserve">project by</w:t>
      </w:r>
      <w:r>
        <w:rPr>
          <w:iCs/>
          <w:i/>
        </w:rPr>
        <w:t xml:space="preserve"> </w:t>
      </w:r>
      <w:r>
        <w:rPr>
          <w:iCs/>
          <w:i/>
        </w:rPr>
        <w:t xml:space="preserve">ISBN</w:t>
      </w:r>
      <w:r>
        <w:rPr>
          <w:iCs/>
          <w:i/>
        </w:rPr>
        <w:t xml:space="preserve">"</w:t>
      </w:r>
      <m:oMath>
        <m:r>
          <m:rPr>
            <m:sty m:val="p"/>
          </m:rPr>
          <m:t>&gt;</m:t>
        </m:r>
        <m:r>
          <m:rPr>
            <m:sty m:val="p"/>
          </m:rPr>
          <m:t>&lt;</m:t>
        </m:r>
      </m:oMath>
      <w:r>
        <w:rPr>
          <w:iCs/>
          <w:i/>
        </w:rPr>
        <w:t xml:space="preserve">/a</w:t>
      </w:r>
      <m:oMath>
        <m:r>
          <m:rPr>
            <m:sty m:val="p"/>
          </m:rPr>
          <m:t>&gt;</m:t>
        </m:r>
      </m:oMath>
      <w:r>
        <w:rPr>
          <w:iCs/>
          <w:i/>
        </w:rPr>
        <w:t xml:space="preserve">:</w:t>
      </w:r>
      <w:r>
        <w:rPr>
          <w:iCs/>
          <w:i/>
        </w:rPr>
        <w:t xml:space="preserve"> </w:t>
      </w:r>
      <w:r>
        <w:rPr>
          <w:iCs/>
          <w:i/>
        </w:rPr>
        <w:t xml:space="preserve">Books</w:t>
      </w:r>
      <w:r>
        <w:rPr>
          <w:iCs/>
          <w:i/>
        </w:rPr>
        <w:t xml:space="preserve"> </w:t>
      </w:r>
      <w:r>
        <w:rPr>
          <w:iCs/>
          <w:i/>
        </w:rPr>
        <w:t xml:space="preserve">-</w:t>
      </w:r>
      <w:r>
        <w:rPr>
          <w:iCs/>
          <w:i/>
        </w:rPr>
        <w:t xml:space="preserve"> </w:t>
      </w:r>
      <w:r>
        <w:rPr>
          <w:iCs/>
          <w:i/>
        </w:rPr>
        <w:t xml:space="preserve">Amazon</w:t>
      </w:r>
      <w:r>
        <w:rPr>
          <w:iCs/>
          <w:i/>
        </w:rPr>
        <w:t xml:space="preserve">.ca</w:t>
      </w:r>
      <w:r>
        <w:t xml:space="preserve">. (n.d.). Retrieved January 29, 2024, from</w:t>
      </w:r>
      <w:r>
        <w:t xml:space="preserve"> </w:t>
      </w:r>
      <w:hyperlink r:id="rId146">
        <w:r>
          <w:rPr>
            <w:rStyle w:val="Hyperlink"/>
          </w:rPr>
          <w:t xml:space="preserve">https://www.amazon.ca/Democracy-Realists-Elections-Responsive-Government/dp/0691178240</w:t>
        </w:r>
      </w:hyperlink>
    </w:p>
    <w:bookmarkEnd w:id="147"/>
    <w:bookmarkStart w:id="149" w:name="ref-derryMinimumWageCanada1922"/>
    <w:p>
      <w:pPr>
        <w:pStyle w:val="Bibliography"/>
      </w:pPr>
      <w:r>
        <w:t xml:space="preserve">Derry, K., &amp; Douglas, P. H. (1922). The</w:t>
      </w:r>
      <w:r>
        <w:t xml:space="preserve"> </w:t>
      </w:r>
      <w:r>
        <w:t xml:space="preserve">Minimum Wage</w:t>
      </w:r>
      <w:r>
        <w:t xml:space="preserve"> </w:t>
      </w:r>
      <w:r>
        <w:t xml:space="preserve">in</w:t>
      </w:r>
      <w:r>
        <w:t xml:space="preserve"> </w:t>
      </w:r>
      <w:r>
        <w:t xml:space="preserve">Canada</w:t>
      </w:r>
      <w:r>
        <w:t xml:space="preserve">.</w:t>
      </w:r>
      <w:r>
        <w:t xml:space="preserve"> </w:t>
      </w:r>
      <w:r>
        <w:rPr>
          <w:iCs/>
          <w:i/>
        </w:rPr>
        <w:t xml:space="preserve">Journal of Political Economy</w:t>
      </w:r>
      <w:r>
        <w:t xml:space="preserve">,</w:t>
      </w:r>
      <w:r>
        <w:t xml:space="preserve"> </w:t>
      </w:r>
      <w:r>
        <w:rPr>
          <w:iCs/>
          <w:i/>
        </w:rPr>
        <w:t xml:space="preserve">30</w:t>
      </w:r>
      <w:r>
        <w:t xml:space="preserve">(2), 155–188.</w:t>
      </w:r>
      <w:r>
        <w:t xml:space="preserve"> </w:t>
      </w:r>
      <w:hyperlink r:id="rId148">
        <w:r>
          <w:rPr>
            <w:rStyle w:val="Hyperlink"/>
          </w:rPr>
          <w:t xml:space="preserve">https://doi.org/10.1086/253422</w:t>
        </w:r>
      </w:hyperlink>
    </w:p>
    <w:bookmarkEnd w:id="149"/>
    <w:bookmarkStart w:id="151" w:name="ref-ditellaConsequencesLaborMarket2005"/>
    <w:p>
      <w:pPr>
        <w:pStyle w:val="Bibliography"/>
      </w:pPr>
      <w:r>
        <w:t xml:space="preserve">Di Tella, R., &amp; MacCulloch, R. (2005). The consequences of labor market flexibility:</w:t>
      </w:r>
      <w:r>
        <w:t xml:space="preserve"> </w:t>
      </w:r>
      <w:r>
        <w:t xml:space="preserve">Panel</w:t>
      </w:r>
      <w:r>
        <w:t xml:space="preserve"> </w:t>
      </w:r>
      <w:r>
        <w:t xml:space="preserve">evidence based on survey data.</w:t>
      </w:r>
      <w:r>
        <w:t xml:space="preserve"> </w:t>
      </w:r>
      <w:r>
        <w:rPr>
          <w:iCs/>
          <w:i/>
        </w:rPr>
        <w:t xml:space="preserve">European Economic Review</w:t>
      </w:r>
      <w:r>
        <w:t xml:space="preserve">,</w:t>
      </w:r>
      <w:r>
        <w:t xml:space="preserve"> </w:t>
      </w:r>
      <w:r>
        <w:rPr>
          <w:iCs/>
          <w:i/>
        </w:rPr>
        <w:t xml:space="preserve">49</w:t>
      </w:r>
      <w:r>
        <w:t xml:space="preserve">(5), 1225–1259.</w:t>
      </w:r>
      <w:r>
        <w:t xml:space="preserve"> </w:t>
      </w:r>
      <w:hyperlink r:id="rId150">
        <w:r>
          <w:rPr>
            <w:rStyle w:val="Hyperlink"/>
          </w:rPr>
          <w:t xml:space="preserve">https://doi.org/10.1016/j.euroecorev.2003.11.002</w:t>
        </w:r>
      </w:hyperlink>
    </w:p>
    <w:bookmarkEnd w:id="151"/>
    <w:bookmarkStart w:id="153" w:name="ref-donovanMotivatedreasoningpublic2020"/>
    <w:p>
      <w:pPr>
        <w:pStyle w:val="Bibliography"/>
      </w:pPr>
      <w:r>
        <w:t xml:space="preserve">Donovan, K., Kellstedt, P. M., Key, E. M., &amp; Lebo, M. J. (2020). Motivated reasoning, public opinion, and presidential approval.</w:t>
      </w:r>
      <w:r>
        <w:t xml:space="preserve"> </w:t>
      </w:r>
      <w:r>
        <w:rPr>
          <w:iCs/>
          <w:i/>
        </w:rPr>
        <w:t xml:space="preserve">Political Behavior</w:t>
      </w:r>
      <w:r>
        <w:t xml:space="preserve">,</w:t>
      </w:r>
      <w:r>
        <w:t xml:space="preserve"> </w:t>
      </w:r>
      <w:r>
        <w:rPr>
          <w:iCs/>
          <w:i/>
        </w:rPr>
        <w:t xml:space="preserve">42</w:t>
      </w:r>
      <w:r>
        <w:t xml:space="preserve">(4), 1201–1221.</w:t>
      </w:r>
      <w:r>
        <w:t xml:space="preserve"> </w:t>
      </w:r>
      <w:hyperlink r:id="rId152">
        <w:r>
          <w:rPr>
            <w:rStyle w:val="Hyperlink"/>
          </w:rPr>
          <w:t xml:space="preserve">https://doi.org/10.1007/s11109-019-09539-8</w:t>
        </w:r>
      </w:hyperlink>
    </w:p>
    <w:bookmarkEnd w:id="153"/>
    <w:bookmarkStart w:id="154" w:name="ref-downseconomictheorydemocracy1957"/>
    <w:p>
      <w:pPr>
        <w:pStyle w:val="Bibliography"/>
      </w:pPr>
      <w:r>
        <w:t xml:space="preserve">Downs, A. (1957).</w:t>
      </w:r>
      <w:r>
        <w:t xml:space="preserve"> </w:t>
      </w:r>
      <w:r>
        <w:rPr>
          <w:iCs/>
          <w:i/>
        </w:rPr>
        <w:t xml:space="preserve">An economic theory of democracy</w:t>
      </w:r>
      <w:r>
        <w:t xml:space="preserve"> </w:t>
      </w:r>
      <w:r>
        <w:t xml:space="preserve">(First Edition).</w:t>
      </w:r>
      <w:r>
        <w:t xml:space="preserve"> </w:t>
      </w:r>
      <w:r>
        <w:t xml:space="preserve">Harper and Row</w:t>
      </w:r>
      <w:r>
        <w:t xml:space="preserve">.</w:t>
      </w:r>
    </w:p>
    <w:bookmarkEnd w:id="154"/>
    <w:bookmarkStart w:id="155" w:name="ref-ducheconomicvotehow2008"/>
    <w:p>
      <w:pPr>
        <w:pStyle w:val="Bibliography"/>
      </w:pPr>
      <w:r>
        <w:t xml:space="preserve">Duch, R. M., &amp; Stevenson, R. T. (2008).</w:t>
      </w:r>
      <w:r>
        <w:t xml:space="preserve"> </w:t>
      </w:r>
      <w:r>
        <w:rPr>
          <w:iCs/>
          <w:i/>
        </w:rPr>
        <w:t xml:space="preserve">The economic vote: How political and economic institutions condition election results</w:t>
      </w:r>
      <w:r>
        <w:t xml:space="preserve">. Cambridge University Press.</w:t>
      </w:r>
    </w:p>
    <w:bookmarkEnd w:id="155"/>
    <w:bookmarkStart w:id="157" w:name="ref-dumanMusicWeMove2022"/>
    <w:p>
      <w:pPr>
        <w:pStyle w:val="Bibliography"/>
      </w:pPr>
      <w:r>
        <w:t xml:space="preserve">Duman, D., Neto, P., Mavrolampados, A., Toiviainen, P., &amp; Luck, G. (2022). Music we move to:</w:t>
      </w:r>
      <w:r>
        <w:t xml:space="preserve"> </w:t>
      </w:r>
      <w:r>
        <w:t xml:space="preserve">Spotify</w:t>
      </w:r>
      <w:r>
        <w:t xml:space="preserve"> </w:t>
      </w:r>
      <w:r>
        <w:t xml:space="preserve">audio features and reasons for listening.</w:t>
      </w:r>
      <w:r>
        <w:t xml:space="preserve"> </w:t>
      </w:r>
      <w:r>
        <w:rPr>
          <w:iCs/>
          <w:i/>
        </w:rPr>
        <w:t xml:space="preserve">PLOS ONE</w:t>
      </w:r>
      <w:r>
        <w:t xml:space="preserve">,</w:t>
      </w:r>
      <w:r>
        <w:t xml:space="preserve"> </w:t>
      </w:r>
      <w:r>
        <w:rPr>
          <w:iCs/>
          <w:i/>
        </w:rPr>
        <w:t xml:space="preserve">17</w:t>
      </w:r>
      <w:r>
        <w:t xml:space="preserve">(9), e0275228.</w:t>
      </w:r>
      <w:r>
        <w:t xml:space="preserve"> </w:t>
      </w:r>
      <w:hyperlink r:id="rId156">
        <w:r>
          <w:rPr>
            <w:rStyle w:val="Hyperlink"/>
          </w:rPr>
          <w:t xml:space="preserve">https://doi.org/10.1371/journal.pone.0275228</w:t>
        </w:r>
      </w:hyperlink>
    </w:p>
    <w:bookmarkEnd w:id="157"/>
    <w:bookmarkStart w:id="159" w:name="ref-EconomicGrowthPolitical"/>
    <w:p>
      <w:pPr>
        <w:pStyle w:val="Bibliography"/>
      </w:pPr>
      <w:r>
        <w:rPr>
          <w:iCs/>
          <w:i/>
        </w:rPr>
        <w:t xml:space="preserve">Economic</w:t>
      </w:r>
      <w:r>
        <w:rPr>
          <w:iCs/>
          <w:i/>
        </w:rPr>
        <w:t xml:space="preserve"> </w:t>
      </w:r>
      <w:r>
        <w:rPr>
          <w:iCs/>
          <w:i/>
        </w:rPr>
        <w:t xml:space="preserve">Growth</w:t>
      </w:r>
      <w:r>
        <w:rPr>
          <w:iCs/>
          <w:i/>
        </w:rPr>
        <w:t xml:space="preserve"> </w:t>
      </w:r>
      <w:r>
        <w:rPr>
          <w:iCs/>
          <w:i/>
        </w:rPr>
        <w:t xml:space="preserve">and</w:t>
      </w:r>
      <w:r>
        <w:rPr>
          <w:iCs/>
          <w:i/>
        </w:rPr>
        <w:t xml:space="preserve"> </w:t>
      </w:r>
      <w:r>
        <w:rPr>
          <w:iCs/>
          <w:i/>
        </w:rPr>
        <w:t xml:space="preserve">Political Approval Ratings</w:t>
      </w:r>
      <w:r>
        <w:rPr>
          <w:iCs/>
          <w:i/>
        </w:rPr>
        <w:t xml:space="preserve">:</w:t>
      </w:r>
      <w:r>
        <w:rPr>
          <w:iCs/>
          <w:i/>
        </w:rPr>
        <w:t xml:space="preserve"> </w:t>
      </w:r>
      <w:r>
        <w:rPr>
          <w:iCs/>
          <w:i/>
        </w:rPr>
        <w:t xml:space="preserve">Evidence</w:t>
      </w:r>
      <w:r>
        <w:rPr>
          <w:iCs/>
          <w:i/>
        </w:rPr>
        <w:t xml:space="preserve"> </w:t>
      </w:r>
      <w:r>
        <w:rPr>
          <w:iCs/>
          <w:i/>
        </w:rPr>
        <w:t xml:space="preserve">from</w:t>
      </w:r>
      <w:r>
        <w:rPr>
          <w:iCs/>
          <w:i/>
        </w:rPr>
        <w:t xml:space="preserve"> </w:t>
      </w:r>
      <w:r>
        <w:rPr>
          <w:iCs/>
          <w:i/>
        </w:rPr>
        <w:t xml:space="preserve">Latin America</w:t>
      </w:r>
      <w:r>
        <w:rPr>
          <w:iCs/>
          <w:i/>
        </w:rPr>
        <w:t xml:space="preserve"> </w:t>
      </w:r>
      <w:r>
        <w:rPr>
          <w:iCs/>
          <w:i/>
        </w:rPr>
        <w:t xml:space="preserve">|</w:t>
      </w:r>
      <w:r>
        <w:rPr>
          <w:iCs/>
          <w:i/>
        </w:rPr>
        <w:t xml:space="preserve"> </w:t>
      </w:r>
      <w:r>
        <w:rPr>
          <w:iCs/>
          <w:i/>
        </w:rPr>
        <w:t xml:space="preserve">Political Behavior</w:t>
      </w:r>
      <w:r>
        <w:t xml:space="preserve">. (n.d.). Retrieved March 11, 2024, from</w:t>
      </w:r>
      <w:r>
        <w:t xml:space="preserve"> </w:t>
      </w:r>
      <w:hyperlink r:id="rId158">
        <w:r>
          <w:rPr>
            <w:rStyle w:val="Hyperlink"/>
          </w:rPr>
          <w:t xml:space="preserve">https://link.springer.com/article/10.1007/s11109-022-09798-y</w:t>
        </w:r>
      </w:hyperlink>
    </w:p>
    <w:bookmarkEnd w:id="159"/>
    <w:bookmarkStart w:id="161" w:name="ref-enelowAdvancesSpatialTheory1990"/>
    <w:p>
      <w:pPr>
        <w:pStyle w:val="Bibliography"/>
      </w:pPr>
      <w:r>
        <w:t xml:space="preserve">Enelow, J. M., &amp; Hinich, M. J. (Eds.). (1990).</w:t>
      </w:r>
      <w:r>
        <w:t xml:space="preserve"> </w:t>
      </w:r>
      <w:r>
        <w:rPr>
          <w:iCs/>
          <w:i/>
        </w:rPr>
        <w:t xml:space="preserve">Advances in the</w:t>
      </w:r>
      <w:r>
        <w:rPr>
          <w:iCs/>
          <w:i/>
        </w:rPr>
        <w:t xml:space="preserve"> </w:t>
      </w:r>
      <w:r>
        <w:rPr>
          <w:iCs/>
          <w:i/>
        </w:rPr>
        <w:t xml:space="preserve">Spatial Theory</w:t>
      </w:r>
      <w:r>
        <w:rPr>
          <w:iCs/>
          <w:i/>
        </w:rPr>
        <w:t xml:space="preserve"> </w:t>
      </w:r>
      <w:r>
        <w:rPr>
          <w:iCs/>
          <w:i/>
        </w:rPr>
        <w:t xml:space="preserve">of</w:t>
      </w:r>
      <w:r>
        <w:rPr>
          <w:iCs/>
          <w:i/>
        </w:rPr>
        <w:t xml:space="preserve"> </w:t>
      </w:r>
      <w:r>
        <w:rPr>
          <w:iCs/>
          <w:i/>
        </w:rPr>
        <w:t xml:space="preserve">Voting</w:t>
      </w:r>
      <w:r>
        <w:t xml:space="preserve">. Cambridge University Press.</w:t>
      </w:r>
      <w:r>
        <w:t xml:space="preserve"> </w:t>
      </w:r>
      <w:hyperlink r:id="rId160">
        <w:r>
          <w:rPr>
            <w:rStyle w:val="Hyperlink"/>
          </w:rPr>
          <w:t xml:space="preserve">https://doi.org/10.1017/CBO9780511896606</w:t>
        </w:r>
      </w:hyperlink>
    </w:p>
    <w:bookmarkEnd w:id="161"/>
    <w:bookmarkStart w:id="163" w:name="ref-epicaEpicaSeifDin"/>
    <w:p>
      <w:pPr>
        <w:pStyle w:val="Bibliography"/>
      </w:pPr>
      <w:r>
        <w:rPr>
          <w:iCs/>
          <w:i/>
        </w:rPr>
        <w:t xml:space="preserve">Epica –</w:t>
      </w:r>
      <w:r>
        <w:rPr>
          <w:iCs/>
          <w:i/>
        </w:rPr>
        <w:t xml:space="preserve"> </w:t>
      </w:r>
      <w:r>
        <w:rPr>
          <w:iCs/>
          <w:i/>
        </w:rPr>
        <w:t xml:space="preserve">Seif Al Din</w:t>
      </w:r>
      <w:r>
        <w:rPr>
          <w:iCs/>
          <w:i/>
        </w:rPr>
        <w:t xml:space="preserve"> </w:t>
      </w:r>
      <w:r>
        <w:rPr>
          <w:iCs/>
          <w:i/>
        </w:rPr>
        <w:t xml:space="preserve">(</w:t>
      </w:r>
      <w:r>
        <w:rPr>
          <w:iCs/>
          <w:i/>
        </w:rPr>
        <w:t xml:space="preserve">“</w:t>
      </w:r>
      <w:r>
        <w:rPr>
          <w:iCs/>
          <w:i/>
        </w:rPr>
        <w:t xml:space="preserve">The Embrace That Smothers</w:t>
      </w:r>
      <w:r>
        <w:rPr>
          <w:iCs/>
          <w:i/>
        </w:rPr>
        <w:t xml:space="preserve"> </w:t>
      </w:r>
      <w:r>
        <w:rPr>
          <w:iCs/>
          <w:i/>
        </w:rPr>
        <w:t xml:space="preserve">-</w:t>
      </w:r>
      <w:r>
        <w:rPr>
          <w:iCs/>
          <w:i/>
        </w:rPr>
        <w:t xml:space="preserve"> </w:t>
      </w:r>
      <w:r>
        <w:rPr>
          <w:iCs/>
          <w:i/>
        </w:rPr>
        <w:t xml:space="preserve">Part VI</w:t>
      </w:r>
      <w:r>
        <w:rPr>
          <w:iCs/>
          <w:i/>
        </w:rPr>
        <w:t xml:space="preserve">”</w:t>
      </w:r>
      <w:r>
        <w:rPr>
          <w:iCs/>
          <w:i/>
        </w:rPr>
        <w:t xml:space="preserve">)</w:t>
      </w:r>
      <w:r>
        <w:t xml:space="preserve">. (n.d.). Retrieved July 20, 2023, from</w:t>
      </w:r>
      <w:r>
        <w:t xml:space="preserve"> </w:t>
      </w:r>
      <w:hyperlink r:id="rId162">
        <w:r>
          <w:rPr>
            <w:rStyle w:val="Hyperlink"/>
          </w:rPr>
          <w:t xml:space="preserve">https://genius.com/Epica-seif-al-din-the-embrace-that-smothers-part-vi-lyrics</w:t>
        </w:r>
      </w:hyperlink>
    </w:p>
    <w:bookmarkEnd w:id="163"/>
    <w:bookmarkStart w:id="165" w:name="ref-fangMinimumWageImpacts2009"/>
    <w:p>
      <w:pPr>
        <w:pStyle w:val="Bibliography"/>
      </w:pPr>
      <w:r>
        <w:t xml:space="preserve">Fang, T., &amp; Gunderson, M. (2009). Minimum</w:t>
      </w:r>
      <w:r>
        <w:t xml:space="preserve"> </w:t>
      </w:r>
      <w:r>
        <w:t xml:space="preserve">Wage Impacts</w:t>
      </w:r>
      <w:r>
        <w:t xml:space="preserve"> </w:t>
      </w:r>
      <w:r>
        <w:t xml:space="preserve">on</w:t>
      </w:r>
      <w:r>
        <w:t xml:space="preserve"> </w:t>
      </w:r>
      <w:r>
        <w:t xml:space="preserve">Older Workers</w:t>
      </w:r>
      <w:r>
        <w:t xml:space="preserve">:</w:t>
      </w:r>
      <w:r>
        <w:t xml:space="preserve"> </w:t>
      </w:r>
      <w:r>
        <w:t xml:space="preserve">Longitudinal Estimates</w:t>
      </w:r>
      <w:r>
        <w:t xml:space="preserve"> </w:t>
      </w:r>
      <w:r>
        <w:t xml:space="preserve">from</w:t>
      </w:r>
      <w:r>
        <w:t xml:space="preserve"> </w:t>
      </w:r>
      <w:r>
        <w:t xml:space="preserve">Canada</w:t>
      </w:r>
      <w:r>
        <w:t xml:space="preserve">.</w:t>
      </w:r>
      <w:r>
        <w:t xml:space="preserve"> </w:t>
      </w:r>
      <w:r>
        <w:rPr>
          <w:iCs/>
          <w:i/>
        </w:rPr>
        <w:t xml:space="preserve">British Journal of Industrial Relations</w:t>
      </w:r>
      <w:r>
        <w:t xml:space="preserve">,</w:t>
      </w:r>
      <w:r>
        <w:t xml:space="preserve"> </w:t>
      </w:r>
      <w:r>
        <w:rPr>
          <w:iCs/>
          <w:i/>
        </w:rPr>
        <w:t xml:space="preserve">47</w:t>
      </w:r>
      <w:r>
        <w:t xml:space="preserve">(2), 371–387.</w:t>
      </w:r>
      <w:r>
        <w:t xml:space="preserve"> </w:t>
      </w:r>
      <w:hyperlink r:id="rId164">
        <w:r>
          <w:rPr>
            <w:rStyle w:val="Hyperlink"/>
          </w:rPr>
          <w:t xml:space="preserve">https://doi.org/10.1111/j.1467-8543.2009.00724.x</w:t>
        </w:r>
      </w:hyperlink>
    </w:p>
    <w:bookmarkEnd w:id="165"/>
    <w:bookmarkStart w:id="167" w:name="ref-feddersenRationalChoiceTheory2004"/>
    <w:p>
      <w:pPr>
        <w:pStyle w:val="Bibliography"/>
      </w:pPr>
      <w:r>
        <w:t xml:space="preserve">Feddersen, T. J. (2004). Rational</w:t>
      </w:r>
      <w:r>
        <w:t xml:space="preserve"> </w:t>
      </w:r>
      <w:r>
        <w:t xml:space="preserve">Choice Theory</w:t>
      </w:r>
      <w:r>
        <w:t xml:space="preserve"> </w:t>
      </w:r>
      <w:r>
        <w:t xml:space="preserve">and the</w:t>
      </w:r>
      <w:r>
        <w:t xml:space="preserve"> </w:t>
      </w:r>
      <w:r>
        <w:t xml:space="preserve">Paradox</w:t>
      </w:r>
      <w:r>
        <w:t xml:space="preserve"> </w:t>
      </w:r>
      <w:r>
        <w:t xml:space="preserve">of</w:t>
      </w:r>
      <w:r>
        <w:t xml:space="preserve"> </w:t>
      </w:r>
      <w:r>
        <w:t xml:space="preserve">Not Voting</w:t>
      </w:r>
      <w:r>
        <w:t xml:space="preserve">.</w:t>
      </w:r>
      <w:r>
        <w:t xml:space="preserve"> </w:t>
      </w:r>
      <w:r>
        <w:rPr>
          <w:iCs/>
          <w:i/>
        </w:rPr>
        <w:t xml:space="preserve">Journal of Economic Perspectives</w:t>
      </w:r>
      <w:r>
        <w:t xml:space="preserve">,</w:t>
      </w:r>
      <w:r>
        <w:t xml:space="preserve"> </w:t>
      </w:r>
      <w:r>
        <w:rPr>
          <w:iCs/>
          <w:i/>
        </w:rPr>
        <w:t xml:space="preserve">18</w:t>
      </w:r>
      <w:r>
        <w:t xml:space="preserve">(1), 99–112.</w:t>
      </w:r>
      <w:r>
        <w:t xml:space="preserve"> </w:t>
      </w:r>
      <w:hyperlink r:id="rId166">
        <w:r>
          <w:rPr>
            <w:rStyle w:val="Hyperlink"/>
          </w:rPr>
          <w:t xml:space="preserve">https://doi.org/10.1257/089533004773563458</w:t>
        </w:r>
      </w:hyperlink>
    </w:p>
    <w:bookmarkEnd w:id="167"/>
    <w:bookmarkStart w:id="168" w:name="X96a8bf6df1d3e261891bf883020ff503b96fab4"/>
    <w:p>
      <w:pPr>
        <w:pStyle w:val="Bibliography"/>
      </w:pPr>
      <w:r>
        <w:t xml:space="preserve">Ferejohn, J. (1986). Incumbent performance and electoral control.</w:t>
      </w:r>
      <w:r>
        <w:t xml:space="preserve"> </w:t>
      </w:r>
      <w:r>
        <w:rPr>
          <w:iCs/>
          <w:i/>
        </w:rPr>
        <w:t xml:space="preserve">Public Choice</w:t>
      </w:r>
      <w:r>
        <w:t xml:space="preserve">, 5–25.</w:t>
      </w:r>
    </w:p>
    <w:bookmarkEnd w:id="168"/>
    <w:bookmarkStart w:id="170" w:name="ref-WantNailNegative"/>
    <w:p>
      <w:pPr>
        <w:pStyle w:val="Bibliography"/>
      </w:pPr>
      <w:r>
        <w:rPr>
          <w:iCs/>
          <w:i/>
        </w:rPr>
        <w:t xml:space="preserve">For want of a nail:</w:t>
      </w:r>
      <w:r>
        <w:rPr>
          <w:iCs/>
          <w:i/>
        </w:rPr>
        <w:t xml:space="preserve"> </w:t>
      </w:r>
      <w:r>
        <w:rPr>
          <w:iCs/>
          <w:i/>
        </w:rPr>
        <w:t xml:space="preserve">Negative</w:t>
      </w:r>
      <w:r>
        <w:rPr>
          <w:iCs/>
          <w:i/>
        </w:rPr>
        <w:t xml:space="preserve"> </w:t>
      </w:r>
      <w:r>
        <w:rPr>
          <w:iCs/>
          <w:i/>
        </w:rPr>
        <w:t xml:space="preserve">persuasion in a party leadership race -</w:t>
      </w:r>
      <w:r>
        <w:rPr>
          <w:iCs/>
          <w:i/>
        </w:rPr>
        <w:t xml:space="preserve"> </w:t>
      </w:r>
      <w:r>
        <w:rPr>
          <w:iCs/>
          <w:i/>
        </w:rPr>
        <w:t xml:space="preserve">Peter John Loewen</w:t>
      </w:r>
      <w:r>
        <w:rPr>
          <w:iCs/>
          <w:i/>
        </w:rPr>
        <w:t xml:space="preserve">,</w:t>
      </w:r>
      <w:r>
        <w:rPr>
          <w:iCs/>
          <w:i/>
        </w:rPr>
        <w:t xml:space="preserve"> </w:t>
      </w:r>
      <w:r>
        <w:rPr>
          <w:iCs/>
          <w:i/>
        </w:rPr>
        <w:t xml:space="preserve">Daniel Rubenson</w:t>
      </w:r>
      <w:r>
        <w:rPr>
          <w:iCs/>
          <w:i/>
        </w:rPr>
        <w:t xml:space="preserve">, 2011</w:t>
      </w:r>
      <w:r>
        <w:t xml:space="preserve">. (n.d.). Retrieved February 23, 2024, from</w:t>
      </w:r>
      <w:r>
        <w:t xml:space="preserve"> </w:t>
      </w:r>
      <w:hyperlink r:id="rId169">
        <w:r>
          <w:rPr>
            <w:rStyle w:val="Hyperlink"/>
          </w:rPr>
          <w:t xml:space="preserve">https://journals-sagepub-com.proxy.lib.sfu.ca/doi/abs/10.1177/1354068810372564</w:t>
        </w:r>
      </w:hyperlink>
    </w:p>
    <w:bookmarkEnd w:id="170"/>
    <w:bookmarkStart w:id="172" w:name="X1c003cefb315f92906b83fea587414b7a2fab90"/>
    <w:p>
      <w:pPr>
        <w:pStyle w:val="Bibliography"/>
      </w:pPr>
      <w:r>
        <w:t xml:space="preserve">Fournier, P., Blais, A., Nadeau, R., Gidengil, E., &amp; Nevitte, N. (2003). Issue</w:t>
      </w:r>
      <w:r>
        <w:t xml:space="preserve"> </w:t>
      </w:r>
      <w:r>
        <w:t xml:space="preserve">Importance</w:t>
      </w:r>
      <w:r>
        <w:t xml:space="preserve"> </w:t>
      </w:r>
      <w:r>
        <w:t xml:space="preserve">and</w:t>
      </w:r>
      <w:r>
        <w:t xml:space="preserve"> </w:t>
      </w:r>
      <w:r>
        <w:t xml:space="preserve">Performance Voting</w:t>
      </w:r>
      <w:r>
        <w:t xml:space="preserve">.</w:t>
      </w:r>
      <w:r>
        <w:t xml:space="preserve"> </w:t>
      </w:r>
      <w:r>
        <w:rPr>
          <w:iCs/>
          <w:i/>
        </w:rPr>
        <w:t xml:space="preserve">Political Behavior</w:t>
      </w:r>
      <w:r>
        <w:t xml:space="preserve">,</w:t>
      </w:r>
      <w:r>
        <w:t xml:space="preserve"> </w:t>
      </w:r>
      <w:r>
        <w:rPr>
          <w:iCs/>
          <w:i/>
        </w:rPr>
        <w:t xml:space="preserve">25</w:t>
      </w:r>
      <w:r>
        <w:t xml:space="preserve">(1), 51–67.</w:t>
      </w:r>
      <w:r>
        <w:t xml:space="preserve"> </w:t>
      </w:r>
      <w:hyperlink r:id="rId171">
        <w:r>
          <w:rPr>
            <w:rStyle w:val="Hyperlink"/>
          </w:rPr>
          <w:t xml:space="preserve">https://www.jstor.org/stable/3657314</w:t>
        </w:r>
      </w:hyperlink>
    </w:p>
    <w:bookmarkEnd w:id="172"/>
    <w:bookmarkStart w:id="174" w:name="ref-francisUseLogisticModel1977"/>
    <w:p>
      <w:pPr>
        <w:pStyle w:val="Bibliography"/>
      </w:pPr>
      <w:r>
        <w:t xml:space="preserve">Francis, J. G., &amp; Payne, C. (1977). The</w:t>
      </w:r>
      <w:r>
        <w:t xml:space="preserve"> </w:t>
      </w:r>
      <w:r>
        <w:t xml:space="preserve">Use</w:t>
      </w:r>
      <w:r>
        <w:t xml:space="preserve"> </w:t>
      </w:r>
      <w:r>
        <w:t xml:space="preserve">of the</w:t>
      </w:r>
      <w:r>
        <w:t xml:space="preserve"> </w:t>
      </w:r>
      <w:r>
        <w:t xml:space="preserve">Logistic Model In Political Science</w:t>
      </w:r>
      <w:r>
        <w:t xml:space="preserve">:</w:t>
      </w:r>
      <w:r>
        <w:t xml:space="preserve"> </w:t>
      </w:r>
      <w:r>
        <w:t xml:space="preserve">British Elections</w:t>
      </w:r>
      <w:r>
        <w:t xml:space="preserve">, 1964-1970.</w:t>
      </w:r>
      <w:r>
        <w:t xml:space="preserve"> </w:t>
      </w:r>
      <w:r>
        <w:rPr>
          <w:iCs/>
          <w:i/>
        </w:rPr>
        <w:t xml:space="preserve">Political Methodology</w:t>
      </w:r>
      <w:r>
        <w:t xml:space="preserve">,</w:t>
      </w:r>
      <w:r>
        <w:t xml:space="preserve"> </w:t>
      </w:r>
      <w:r>
        <w:rPr>
          <w:iCs/>
          <w:i/>
        </w:rPr>
        <w:t xml:space="preserve">4</w:t>
      </w:r>
      <w:r>
        <w:t xml:space="preserve">(3), 233–270.</w:t>
      </w:r>
      <w:r>
        <w:t xml:space="preserve"> </w:t>
      </w:r>
      <w:hyperlink r:id="rId173">
        <w:r>
          <w:rPr>
            <w:rStyle w:val="Hyperlink"/>
          </w:rPr>
          <w:t xml:space="preserve">https://www.jstor.org/stable/25791500</w:t>
        </w:r>
      </w:hyperlink>
    </w:p>
    <w:bookmarkEnd w:id="174"/>
    <w:bookmarkStart w:id="176" w:name="ref-friesenResponseWagesProtective1996"/>
    <w:p>
      <w:pPr>
        <w:pStyle w:val="Bibliography"/>
      </w:pPr>
      <w:r>
        <w:t xml:space="preserve">Friesen, J. (1996). The</w:t>
      </w:r>
      <w:r>
        <w:t xml:space="preserve"> </w:t>
      </w:r>
      <w:r>
        <w:t xml:space="preserve">Response</w:t>
      </w:r>
      <w:r>
        <w:t xml:space="preserve"> </w:t>
      </w:r>
      <w:r>
        <w:t xml:space="preserve">of</w:t>
      </w:r>
      <w:r>
        <w:t xml:space="preserve"> </w:t>
      </w:r>
      <w:r>
        <w:t xml:space="preserve">Wages</w:t>
      </w:r>
      <w:r>
        <w:t xml:space="preserve"> </w:t>
      </w:r>
      <w:r>
        <w:t xml:space="preserve">to</w:t>
      </w:r>
      <w:r>
        <w:t xml:space="preserve"> </w:t>
      </w:r>
      <w:r>
        <w:t xml:space="preserve">Protective Labor Legislation</w:t>
      </w:r>
      <w:r>
        <w:t xml:space="preserve">:</w:t>
      </w:r>
      <w:r>
        <w:t xml:space="preserve"> </w:t>
      </w:r>
      <w:r>
        <w:t xml:space="preserve">Evidence</w:t>
      </w:r>
      <w:r>
        <w:t xml:space="preserve"> </w:t>
      </w:r>
      <w:r>
        <w:t xml:space="preserve">from</w:t>
      </w:r>
      <w:r>
        <w:t xml:space="preserve"> </w:t>
      </w:r>
      <w:r>
        <w:t xml:space="preserve">Canada</w:t>
      </w:r>
      <w:r>
        <w:t xml:space="preserve">.</w:t>
      </w:r>
      <w:r>
        <w:t xml:space="preserve"> </w:t>
      </w:r>
      <w:r>
        <w:rPr>
          <w:iCs/>
          <w:i/>
        </w:rPr>
        <w:t xml:space="preserve">Industrial and Labor Relations Review</w:t>
      </w:r>
      <w:r>
        <w:t xml:space="preserve">,</w:t>
      </w:r>
      <w:r>
        <w:t xml:space="preserve"> </w:t>
      </w:r>
      <w:r>
        <w:rPr>
          <w:iCs/>
          <w:i/>
        </w:rPr>
        <w:t xml:space="preserve">49</w:t>
      </w:r>
      <w:r>
        <w:t xml:space="preserve">(2), 243–255.</w:t>
      </w:r>
      <w:r>
        <w:t xml:space="preserve"> </w:t>
      </w:r>
      <w:hyperlink r:id="rId175">
        <w:r>
          <w:rPr>
            <w:rStyle w:val="Hyperlink"/>
          </w:rPr>
          <w:t xml:space="preserve">https://doi.org/10.2307/2524941</w:t>
        </w:r>
      </w:hyperlink>
    </w:p>
    <w:bookmarkEnd w:id="176"/>
    <w:bookmarkStart w:id="178" w:name="ref-friesenStatutoryFiringCosts2005"/>
    <w:p>
      <w:pPr>
        <w:pStyle w:val="Bibliography"/>
      </w:pPr>
      <w:r>
        <w:t xml:space="preserve">Friesen, J. (2005). Statutory firing costs and lay-offs in</w:t>
      </w:r>
      <w:r>
        <w:t xml:space="preserve"> </w:t>
      </w:r>
      <w:r>
        <w:t xml:space="preserve">Canada</w:t>
      </w:r>
      <w:r>
        <w:t xml:space="preserve">.</w:t>
      </w:r>
      <w:r>
        <w:t xml:space="preserve"> </w:t>
      </w:r>
      <w:r>
        <w:rPr>
          <w:iCs/>
          <w:i/>
        </w:rPr>
        <w:t xml:space="preserve">Labour Economics</w:t>
      </w:r>
      <w:r>
        <w:t xml:space="preserve">,</w:t>
      </w:r>
      <w:r>
        <w:t xml:space="preserve"> </w:t>
      </w:r>
      <w:r>
        <w:rPr>
          <w:iCs/>
          <w:i/>
        </w:rPr>
        <w:t xml:space="preserve">12</w:t>
      </w:r>
      <w:r>
        <w:t xml:space="preserve">(2), 147–168.</w:t>
      </w:r>
      <w:r>
        <w:t xml:space="preserve"> </w:t>
      </w:r>
      <w:hyperlink r:id="rId177">
        <w:r>
          <w:rPr>
            <w:rStyle w:val="Hyperlink"/>
          </w:rPr>
          <w:t xml:space="preserve">https://doi.org/10.1016/j.labeco.2003.02.001</w:t>
        </w:r>
      </w:hyperlink>
    </w:p>
    <w:bookmarkEnd w:id="178"/>
    <w:bookmarkStart w:id="180" w:name="ref-gachetRiseMiddleClass2017"/>
    <w:p>
      <w:pPr>
        <w:pStyle w:val="Bibliography"/>
      </w:pPr>
      <w:r>
        <w:t xml:space="preserve">Gachet, I., Grijalva, D. F., Ponce, P., Rodríguez, D., Gachet, I., Grijalva, D. F., Ponce, P., &amp; Rodríguez, D. (2017). The rise of the middle class in</w:t>
      </w:r>
      <w:r>
        <w:t xml:space="preserve"> </w:t>
      </w:r>
      <w:r>
        <w:t xml:space="preserve">Ecuador</w:t>
      </w:r>
      <w:r>
        <w:t xml:space="preserve"> </w:t>
      </w:r>
      <w:r>
        <w:t xml:space="preserve">during the oil boom.</w:t>
      </w:r>
      <w:r>
        <w:t xml:space="preserve"> </w:t>
      </w:r>
      <w:r>
        <w:rPr>
          <w:iCs/>
          <w:i/>
        </w:rPr>
        <w:t xml:space="preserve">Cuadernos de Economía</w:t>
      </w:r>
      <w:r>
        <w:t xml:space="preserve">,</w:t>
      </w:r>
      <w:r>
        <w:t xml:space="preserve"> </w:t>
      </w:r>
      <w:r>
        <w:rPr>
          <w:iCs/>
          <w:i/>
        </w:rPr>
        <w:t xml:space="preserve">36</w:t>
      </w:r>
      <w:r>
        <w:t xml:space="preserve">, 327–352.</w:t>
      </w:r>
      <w:r>
        <w:t xml:space="preserve"> </w:t>
      </w:r>
      <w:hyperlink r:id="rId179">
        <w:r>
          <w:rPr>
            <w:rStyle w:val="Hyperlink"/>
          </w:rPr>
          <w:t xml:space="preserve">https://doi.org/10.15446/cuad.econ.v36n72.65821</w:t>
        </w:r>
      </w:hyperlink>
    </w:p>
    <w:bookmarkEnd w:id="180"/>
    <w:bookmarkStart w:id="182" w:name="X62d326d796bcca887a664b383507f511ae3dced"/>
    <w:p>
      <w:pPr>
        <w:pStyle w:val="Bibliography"/>
      </w:pPr>
      <w:r>
        <w:t xml:space="preserve">Gilljam, M. (1997). Symposium.</w:t>
      </w:r>
      <w:r>
        <w:t xml:space="preserve"> </w:t>
      </w:r>
      <w:r>
        <w:t xml:space="preserve">The Directional Theory</w:t>
      </w:r>
      <w:r>
        <w:t xml:space="preserve"> </w:t>
      </w:r>
      <w:r>
        <w:t xml:space="preserve">of</w:t>
      </w:r>
      <w:r>
        <w:t xml:space="preserve"> </w:t>
      </w:r>
      <w:r>
        <w:t xml:space="preserve">Issue Voting</w:t>
      </w:r>
      <w:r>
        <w:t xml:space="preserve">:</w:t>
      </w:r>
      <w:r>
        <w:t xml:space="preserve"> </w:t>
      </w:r>
      <w:r>
        <w:t xml:space="preserve">I</w:t>
      </w:r>
      <w:r>
        <w:t xml:space="preserve">:</w:t>
      </w:r>
      <w:r>
        <w:t xml:space="preserve"> </w:t>
      </w:r>
      <w:r>
        <w:t xml:space="preserve">The Directional Theory</w:t>
      </w:r>
      <w:r>
        <w:t xml:space="preserve"> </w:t>
      </w:r>
      <w:r>
        <w:t xml:space="preserve">under the</w:t>
      </w:r>
      <w:r>
        <w:t xml:space="preserve"> </w:t>
      </w:r>
      <w:r>
        <w:t xml:space="preserve">Magnifying Glass</w:t>
      </w:r>
      <w:r>
        <w:t xml:space="preserve">:</w:t>
      </w:r>
      <w:r>
        <w:t xml:space="preserve"> </w:t>
      </w:r>
      <w:r>
        <w:t xml:space="preserve">A Reappraisal</w:t>
      </w:r>
      <w:r>
        <w:t xml:space="preserve">.</w:t>
      </w:r>
      <w:r>
        <w:t xml:space="preserve"> </w:t>
      </w:r>
      <w:r>
        <w:rPr>
          <w:iCs/>
          <w:i/>
        </w:rPr>
        <w:t xml:space="preserve">Journal of Theoretical Politics</w:t>
      </w:r>
      <w:r>
        <w:t xml:space="preserve">,</w:t>
      </w:r>
      <w:r>
        <w:t xml:space="preserve"> </w:t>
      </w:r>
      <w:r>
        <w:rPr>
          <w:iCs/>
          <w:i/>
        </w:rPr>
        <w:t xml:space="preserve">9</w:t>
      </w:r>
      <w:r>
        <w:t xml:space="preserve">(1), 5–12.</w:t>
      </w:r>
      <w:r>
        <w:t xml:space="preserve"> </w:t>
      </w:r>
      <w:hyperlink r:id="rId181">
        <w:r>
          <w:rPr>
            <w:rStyle w:val="Hyperlink"/>
          </w:rPr>
          <w:t xml:space="preserve">https://doi.org/10.1177/0951692897009001001</w:t>
        </w:r>
      </w:hyperlink>
    </w:p>
    <w:bookmarkEnd w:id="182"/>
    <w:bookmarkStart w:id="184" w:name="X168f2aba8e43fa6ab68739e3bac38fa48aea5ee"/>
    <w:p>
      <w:pPr>
        <w:pStyle w:val="Bibliography"/>
      </w:pPr>
      <w:r>
        <w:t xml:space="preserve">Gimpelson, V., Kapelyushnikov, R., &amp; Lukyanova, A. (2010). Employment</w:t>
      </w:r>
      <w:r>
        <w:t xml:space="preserve"> </w:t>
      </w:r>
      <w:r>
        <w:t xml:space="preserve">Protection Legislation</w:t>
      </w:r>
      <w:r>
        <w:t xml:space="preserve"> </w:t>
      </w:r>
      <w:r>
        <w:t xml:space="preserve">in</w:t>
      </w:r>
      <w:r>
        <w:t xml:space="preserve"> </w:t>
      </w:r>
      <w:r>
        <w:t xml:space="preserve">Russia</w:t>
      </w:r>
      <w:r>
        <w:t xml:space="preserve">:</w:t>
      </w:r>
      <w:r>
        <w:t xml:space="preserve"> </w:t>
      </w:r>
      <w:r>
        <w:t xml:space="preserve">Regional Enforcement</w:t>
      </w:r>
      <w:r>
        <w:t xml:space="preserve"> </w:t>
      </w:r>
      <w:r>
        <w:t xml:space="preserve">and</w:t>
      </w:r>
      <w:r>
        <w:t xml:space="preserve"> </w:t>
      </w:r>
      <w:r>
        <w:t xml:space="preserve">Labor Market Outcomes</w:t>
      </w:r>
      <w:r>
        <w:t xml:space="preserve">.</w:t>
      </w:r>
      <w:r>
        <w:t xml:space="preserve"> </w:t>
      </w:r>
      <w:r>
        <w:rPr>
          <w:iCs/>
          <w:i/>
        </w:rPr>
        <w:t xml:space="preserve">Comparative Economic Studies</w:t>
      </w:r>
      <w:r>
        <w:t xml:space="preserve">,</w:t>
      </w:r>
      <w:r>
        <w:t xml:space="preserve"> </w:t>
      </w:r>
      <w:r>
        <w:rPr>
          <w:iCs/>
          <w:i/>
        </w:rPr>
        <w:t xml:space="preserve">52</w:t>
      </w:r>
      <w:r>
        <w:t xml:space="preserve">(4), 611–636.</w:t>
      </w:r>
      <w:r>
        <w:t xml:space="preserve"> </w:t>
      </w:r>
      <w:hyperlink r:id="rId183">
        <w:r>
          <w:rPr>
            <w:rStyle w:val="Hyperlink"/>
          </w:rPr>
          <w:t xml:space="preserve">https://doi.org/10.1057/ces.2010.19</w:t>
        </w:r>
      </w:hyperlink>
    </w:p>
    <w:bookmarkEnd w:id="184"/>
    <w:bookmarkStart w:id="186" w:name="ref-glaeserUrbanPublicFinance2013"/>
    <w:p>
      <w:pPr>
        <w:pStyle w:val="Bibliography"/>
      </w:pPr>
      <w:r>
        <w:t xml:space="preserve">Glaeser, E. L. (2013). Urban</w:t>
      </w:r>
      <w:r>
        <w:t xml:space="preserve"> </w:t>
      </w:r>
      <w:r>
        <w:t xml:space="preserve">Public Finance</w:t>
      </w:r>
      <w:r>
        <w:t xml:space="preserve">. In</w:t>
      </w:r>
      <w:r>
        <w:t xml:space="preserve"> </w:t>
      </w:r>
      <w:r>
        <w:rPr>
          <w:iCs/>
          <w:i/>
        </w:rPr>
        <w:t xml:space="preserve">Handbook of</w:t>
      </w:r>
      <w:r>
        <w:rPr>
          <w:iCs/>
          <w:i/>
        </w:rPr>
        <w:t xml:space="preserve"> </w:t>
      </w:r>
      <w:r>
        <w:rPr>
          <w:iCs/>
          <w:i/>
        </w:rPr>
        <w:t xml:space="preserve">Public Economics</w:t>
      </w:r>
      <w:r>
        <w:t xml:space="preserve"> </w:t>
      </w:r>
      <w:r>
        <w:t xml:space="preserve">(Vol. 5, pp. 195–256). Elsevier.</w:t>
      </w:r>
      <w:r>
        <w:t xml:space="preserve"> </w:t>
      </w:r>
      <w:hyperlink r:id="rId185">
        <w:r>
          <w:rPr>
            <w:rStyle w:val="Hyperlink"/>
          </w:rPr>
          <w:t xml:space="preserve">https://doi.org/10.1016/B978-0-444-53759-1.00004-2</w:t>
        </w:r>
      </w:hyperlink>
    </w:p>
    <w:bookmarkEnd w:id="186"/>
    <w:bookmarkStart w:id="188" w:name="ref-goldPromisePatentCanada2013"/>
    <w:p>
      <w:pPr>
        <w:pStyle w:val="Bibliography"/>
      </w:pPr>
      <w:r>
        <w:t xml:space="preserve">Gold, E. R., &amp; Shortt, M. (2013, November 24).</w:t>
      </w:r>
      <w:r>
        <w:t xml:space="preserve"> </w:t>
      </w:r>
      <w:r>
        <w:rPr>
          <w:iCs/>
          <w:i/>
        </w:rPr>
        <w:t xml:space="preserve">The</w:t>
      </w:r>
      <w:r>
        <w:rPr>
          <w:iCs/>
          <w:i/>
        </w:rPr>
        <w:t xml:space="preserve"> </w:t>
      </w:r>
      <w:r>
        <w:rPr>
          <w:iCs/>
          <w:i/>
        </w:rPr>
        <w:t xml:space="preserve">Promise</w:t>
      </w:r>
      <w:r>
        <w:rPr>
          <w:iCs/>
          <w:i/>
        </w:rPr>
        <w:t xml:space="preserve"> </w:t>
      </w:r>
      <w:r>
        <w:rPr>
          <w:iCs/>
          <w:i/>
        </w:rPr>
        <w:t xml:space="preserve">of the</w:t>
      </w:r>
      <w:r>
        <w:rPr>
          <w:iCs/>
          <w:i/>
        </w:rPr>
        <w:t xml:space="preserve"> </w:t>
      </w:r>
      <w:r>
        <w:rPr>
          <w:iCs/>
          <w:i/>
        </w:rPr>
        <w:t xml:space="preserve">Patent</w:t>
      </w:r>
      <w:r>
        <w:rPr>
          <w:iCs/>
          <w:i/>
        </w:rPr>
        <w:t xml:space="preserve"> </w:t>
      </w:r>
      <w:r>
        <w:rPr>
          <w:iCs/>
          <w:i/>
        </w:rPr>
        <w:t xml:space="preserve">in</w:t>
      </w:r>
      <w:r>
        <w:rPr>
          <w:iCs/>
          <w:i/>
        </w:rPr>
        <w:t xml:space="preserve"> </w:t>
      </w:r>
      <w:r>
        <w:rPr>
          <w:iCs/>
          <w:i/>
        </w:rPr>
        <w:t xml:space="preserve">Canada</w:t>
      </w:r>
      <w:r>
        <w:rPr>
          <w:iCs/>
          <w:i/>
        </w:rPr>
        <w:t xml:space="preserve"> </w:t>
      </w:r>
      <w:r>
        <w:rPr>
          <w:iCs/>
          <w:i/>
        </w:rPr>
        <w:t xml:space="preserve">and</w:t>
      </w:r>
      <w:r>
        <w:rPr>
          <w:iCs/>
          <w:i/>
        </w:rPr>
        <w:t xml:space="preserve"> </w:t>
      </w:r>
      <w:r>
        <w:rPr>
          <w:iCs/>
          <w:i/>
        </w:rPr>
        <w:t xml:space="preserve">Around</w:t>
      </w:r>
      <w:r>
        <w:rPr>
          <w:iCs/>
          <w:i/>
        </w:rPr>
        <w:t xml:space="preserve"> </w:t>
      </w:r>
      <w:r>
        <w:rPr>
          <w:iCs/>
          <w:i/>
        </w:rPr>
        <w:t xml:space="preserve">the</w:t>
      </w:r>
      <w:r>
        <w:rPr>
          <w:iCs/>
          <w:i/>
        </w:rPr>
        <w:t xml:space="preserve"> </w:t>
      </w:r>
      <w:r>
        <w:rPr>
          <w:iCs/>
          <w:i/>
        </w:rPr>
        <w:t xml:space="preserve">World</w:t>
      </w:r>
      <w:r>
        <w:t xml:space="preserve"> </w:t>
      </w:r>
      <w:r>
        <w:t xml:space="preserve">(SSRN Scholarly Paper 2361146).</w:t>
      </w:r>
      <w:r>
        <w:t xml:space="preserve"> </w:t>
      </w:r>
      <w:hyperlink r:id="rId187">
        <w:r>
          <w:rPr>
            <w:rStyle w:val="Hyperlink"/>
          </w:rPr>
          <w:t xml:space="preserve">https://doi.org/10.2139/ssrn.2361146</w:t>
        </w:r>
      </w:hyperlink>
    </w:p>
    <w:bookmarkEnd w:id="188"/>
    <w:bookmarkStart w:id="190" w:name="ref-greenPartisanHeartsMinds2002"/>
    <w:p>
      <w:pPr>
        <w:pStyle w:val="Bibliography"/>
      </w:pPr>
      <w:r>
        <w:t xml:space="preserve">Green, D., Palmquist, B., &amp; Schickler, E. (2002).</w:t>
      </w:r>
      <w:r>
        <w:t xml:space="preserve"> </w:t>
      </w:r>
      <w:r>
        <w:rPr>
          <w:iCs/>
          <w:i/>
        </w:rPr>
        <w:t xml:space="preserve">Partisan</w:t>
      </w:r>
      <w:r>
        <w:rPr>
          <w:iCs/>
          <w:i/>
        </w:rPr>
        <w:t xml:space="preserve"> </w:t>
      </w:r>
      <w:r>
        <w:rPr>
          <w:iCs/>
          <w:i/>
        </w:rPr>
        <w:t xml:space="preserve">Hearts</w:t>
      </w:r>
      <w:r>
        <w:rPr>
          <w:iCs/>
          <w:i/>
        </w:rPr>
        <w:t xml:space="preserve"> </w:t>
      </w:r>
      <w:r>
        <w:rPr>
          <w:iCs/>
          <w:i/>
        </w:rPr>
        <w:t xml:space="preserve">and</w:t>
      </w:r>
      <w:r>
        <w:rPr>
          <w:iCs/>
          <w:i/>
        </w:rPr>
        <w:t xml:space="preserve"> </w:t>
      </w:r>
      <w:r>
        <w:rPr>
          <w:iCs/>
          <w:i/>
        </w:rPr>
        <w:t xml:space="preserve">Minds</w:t>
      </w:r>
      <w:r>
        <w:rPr>
          <w:iCs/>
          <w:i/>
        </w:rPr>
        <w:t xml:space="preserve">:</w:t>
      </w:r>
      <w:r>
        <w:rPr>
          <w:iCs/>
          <w:i/>
        </w:rPr>
        <w:t xml:space="preserve"> </w:t>
      </w:r>
      <w:r>
        <w:rPr>
          <w:iCs/>
          <w:i/>
        </w:rPr>
        <w:t xml:space="preserve">Political Parties</w:t>
      </w:r>
      <w:r>
        <w:rPr>
          <w:iCs/>
          <w:i/>
        </w:rPr>
        <w:t xml:space="preserve"> </w:t>
      </w:r>
      <w:r>
        <w:rPr>
          <w:iCs/>
          <w:i/>
        </w:rPr>
        <w:t xml:space="preserve">and the</w:t>
      </w:r>
      <w:r>
        <w:rPr>
          <w:iCs/>
          <w:i/>
        </w:rPr>
        <w:t xml:space="preserve"> </w:t>
      </w:r>
      <w:r>
        <w:rPr>
          <w:iCs/>
          <w:i/>
        </w:rPr>
        <w:t xml:space="preserve">Social Identities</w:t>
      </w:r>
      <w:r>
        <w:rPr>
          <w:iCs/>
          <w:i/>
        </w:rPr>
        <w:t xml:space="preserve"> </w:t>
      </w:r>
      <w:r>
        <w:rPr>
          <w:iCs/>
          <w:i/>
        </w:rPr>
        <w:t xml:space="preserve">of</w:t>
      </w:r>
      <w:r>
        <w:rPr>
          <w:iCs/>
          <w:i/>
        </w:rPr>
        <w:t xml:space="preserve"> </w:t>
      </w:r>
      <w:r>
        <w:rPr>
          <w:iCs/>
          <w:i/>
        </w:rPr>
        <w:t xml:space="preserve">Voters</w:t>
      </w:r>
      <w:r>
        <w:t xml:space="preserve">. Yale University Press.</w:t>
      </w:r>
      <w:r>
        <w:t xml:space="preserve"> </w:t>
      </w:r>
      <w:hyperlink r:id="rId189">
        <w:r>
          <w:rPr>
            <w:rStyle w:val="Hyperlink"/>
          </w:rPr>
          <w:t xml:space="preserve">https://www.jstor.org/stable/j.ctt1npp6m</w:t>
        </w:r>
      </w:hyperlink>
    </w:p>
    <w:bookmarkEnd w:id="190"/>
    <w:bookmarkStart w:id="192" w:name="X41cb31d8be92c532ee7c1b109f16a4253fd33a2"/>
    <w:p>
      <w:pPr>
        <w:pStyle w:val="Bibliography"/>
      </w:pPr>
      <w:r>
        <w:t xml:space="preserve">Griliches, Z. (1988). Productivity</w:t>
      </w:r>
      <w:r>
        <w:t xml:space="preserve"> </w:t>
      </w:r>
      <w:r>
        <w:t xml:space="preserve">Puzzles</w:t>
      </w:r>
      <w:r>
        <w:t xml:space="preserve"> </w:t>
      </w:r>
      <w:r>
        <w:t xml:space="preserve">and</w:t>
      </w:r>
      <w:r>
        <w:t xml:space="preserve"> </w:t>
      </w:r>
      <w:r>
        <w:t xml:space="preserve">R</w:t>
      </w:r>
      <w:r>
        <w:t xml:space="preserve">&amp;</w:t>
      </w:r>
      <w:r>
        <w:t xml:space="preserve">D</w:t>
      </w:r>
      <w:r>
        <w:t xml:space="preserve">:</w:t>
      </w:r>
      <w:r>
        <w:t xml:space="preserve"> </w:t>
      </w:r>
      <w:r>
        <w:t xml:space="preserve">Another Nonexplanation</w:t>
      </w:r>
      <w:r>
        <w:t xml:space="preserve">.</w:t>
      </w:r>
      <w:r>
        <w:t xml:space="preserve"> </w:t>
      </w:r>
      <w:r>
        <w:rPr>
          <w:iCs/>
          <w:i/>
        </w:rPr>
        <w:t xml:space="preserve">Journal of Economic Perspectives</w:t>
      </w:r>
      <w:r>
        <w:t xml:space="preserve">,</w:t>
      </w:r>
      <w:r>
        <w:t xml:space="preserve"> </w:t>
      </w:r>
      <w:r>
        <w:rPr>
          <w:iCs/>
          <w:i/>
        </w:rPr>
        <w:t xml:space="preserve">2</w:t>
      </w:r>
      <w:r>
        <w:t xml:space="preserve">(4), 9–21.</w:t>
      </w:r>
      <w:r>
        <w:t xml:space="preserve"> </w:t>
      </w:r>
      <w:hyperlink r:id="rId191">
        <w:r>
          <w:rPr>
            <w:rStyle w:val="Hyperlink"/>
          </w:rPr>
          <w:t xml:space="preserve">https://doi.org/10.1257/jep.2.4.9</w:t>
        </w:r>
      </w:hyperlink>
    </w:p>
    <w:bookmarkEnd w:id="192"/>
    <w:bookmarkStart w:id="194" w:name="ref-guceriWillRealEmployees2018"/>
    <w:p>
      <w:pPr>
        <w:pStyle w:val="Bibliography"/>
      </w:pPr>
      <w:r>
        <w:t xml:space="preserve">Guceri, I. (2018). Will the real</w:t>
      </w:r>
      <w:r>
        <w:t xml:space="preserve"> </w:t>
      </w:r>
      <w:r>
        <w:t xml:space="preserve">R</w:t>
      </w:r>
      <w:r>
        <w:t xml:space="preserve">&amp;</w:t>
      </w:r>
      <w:r>
        <w:t xml:space="preserve">D</w:t>
      </w:r>
      <w:r>
        <w:t xml:space="preserve"> </w:t>
      </w:r>
      <w:r>
        <w:t xml:space="preserve">employees please stand up?</w:t>
      </w:r>
      <w:r>
        <w:t xml:space="preserve"> </w:t>
      </w:r>
      <w:r>
        <w:t xml:space="preserve">Effects</w:t>
      </w:r>
      <w:r>
        <w:t xml:space="preserve"> </w:t>
      </w:r>
      <w:r>
        <w:t xml:space="preserve">of tax breaks on firm-level outcomes.</w:t>
      </w:r>
      <w:r>
        <w:t xml:space="preserve"> </w:t>
      </w:r>
      <w:r>
        <w:rPr>
          <w:iCs/>
          <w:i/>
        </w:rPr>
        <w:t xml:space="preserve">International Tax and Public Finance</w:t>
      </w:r>
      <w:r>
        <w:t xml:space="preserve">,</w:t>
      </w:r>
      <w:r>
        <w:t xml:space="preserve"> </w:t>
      </w:r>
      <w:r>
        <w:rPr>
          <w:iCs/>
          <w:i/>
        </w:rPr>
        <w:t xml:space="preserve">25</w:t>
      </w:r>
      <w:r>
        <w:t xml:space="preserve">(1), 1–63.</w:t>
      </w:r>
      <w:r>
        <w:t xml:space="preserve"> </w:t>
      </w:r>
      <w:hyperlink r:id="rId193">
        <w:r>
          <w:rPr>
            <w:rStyle w:val="Hyperlink"/>
          </w:rPr>
          <w:t xml:space="preserve">https://doi.org/10.1007/s10797-017-9438-3</w:t>
        </w:r>
      </w:hyperlink>
    </w:p>
    <w:bookmarkEnd w:id="194"/>
    <w:bookmarkStart w:id="196" w:name="ref-HandbookPublicEconomics"/>
    <w:p>
      <w:pPr>
        <w:pStyle w:val="Bibliography"/>
      </w:pPr>
      <w:r>
        <w:rPr>
          <w:iCs/>
          <w:i/>
        </w:rPr>
        <w:t xml:space="preserve">Handbook of</w:t>
      </w:r>
      <w:r>
        <w:rPr>
          <w:iCs/>
          <w:i/>
        </w:rPr>
        <w:t xml:space="preserve"> </w:t>
      </w:r>
      <w:r>
        <w:rPr>
          <w:iCs/>
          <w:i/>
        </w:rPr>
        <w:t xml:space="preserve">Public Economics</w:t>
      </w:r>
      <w:r>
        <w:rPr>
          <w:iCs/>
          <w:i/>
        </w:rPr>
        <w:t xml:space="preserve">,</w:t>
      </w:r>
      <w:r>
        <w:rPr>
          <w:iCs/>
          <w:i/>
        </w:rPr>
        <w:t xml:space="preserve"> </w:t>
      </w:r>
      <w:r>
        <w:rPr>
          <w:iCs/>
          <w:i/>
        </w:rPr>
        <w:t xml:space="preserve">Volume</w:t>
      </w:r>
      <w:r>
        <w:rPr>
          <w:iCs/>
          <w:i/>
        </w:rPr>
        <w:t xml:space="preserve"> </w:t>
      </w:r>
      <w:r>
        <w:rPr>
          <w:iCs/>
          <w:i/>
        </w:rPr>
        <w:t xml:space="preserve">5 - 1st</w:t>
      </w:r>
      <w:r>
        <w:rPr>
          <w:iCs/>
          <w:i/>
        </w:rPr>
        <w:t xml:space="preserve"> </w:t>
      </w:r>
      <w:r>
        <w:rPr>
          <w:iCs/>
          <w:i/>
        </w:rPr>
        <w:t xml:space="preserve">Edition</w:t>
      </w:r>
      <w:r>
        <w:t xml:space="preserve">. (n.d.). Retrieved January 22, 2024, from</w:t>
      </w:r>
      <w:r>
        <w:t xml:space="preserve"> </w:t>
      </w:r>
      <w:hyperlink r:id="rId195">
        <w:r>
          <w:rPr>
            <w:rStyle w:val="Hyperlink"/>
          </w:rPr>
          <w:t xml:space="preserve">https://shop.elsevier.com/books/handbook-of-public-economics/auerbach/978-0-444-53759-1</w:t>
        </w:r>
      </w:hyperlink>
    </w:p>
    <w:bookmarkEnd w:id="196"/>
    <w:bookmarkStart w:id="198" w:name="ref-hanelUseIntelectualProperty2008"/>
    <w:p>
      <w:pPr>
        <w:pStyle w:val="Bibliography"/>
      </w:pPr>
      <w:r>
        <w:t xml:space="preserve">Hanel, P. (2008). The</w:t>
      </w:r>
      <w:r>
        <w:t xml:space="preserve"> </w:t>
      </w:r>
      <w:r>
        <w:t xml:space="preserve">Use</w:t>
      </w:r>
      <w:r>
        <w:t xml:space="preserve"> </w:t>
      </w:r>
      <w:r>
        <w:t xml:space="preserve">of</w:t>
      </w:r>
      <w:r>
        <w:t xml:space="preserve"> </w:t>
      </w:r>
      <w:r>
        <w:t xml:space="preserve">Intelectual Property Rights</w:t>
      </w:r>
      <w:r>
        <w:t xml:space="preserve"> </w:t>
      </w:r>
      <w:r>
        <w:t xml:space="preserve">and</w:t>
      </w:r>
      <w:r>
        <w:t xml:space="preserve"> </w:t>
      </w:r>
      <w:r>
        <w:t xml:space="preserve">Innovation</w:t>
      </w:r>
      <w:r>
        <w:t xml:space="preserve"> </w:t>
      </w:r>
      <w:r>
        <w:t xml:space="preserve">by</w:t>
      </w:r>
      <w:r>
        <w:t xml:space="preserve"> </w:t>
      </w:r>
      <w:r>
        <w:t xml:space="preserve">Manufacturing Firms</w:t>
      </w:r>
      <w:r>
        <w:t xml:space="preserve"> </w:t>
      </w:r>
      <w:r>
        <w:t xml:space="preserve">in</w:t>
      </w:r>
      <w:r>
        <w:t xml:space="preserve"> </w:t>
      </w:r>
      <w:r>
        <w:t xml:space="preserve">Canada</w:t>
      </w:r>
      <w:r>
        <w:t xml:space="preserve">.</w:t>
      </w:r>
      <w:r>
        <w:t xml:space="preserve"> </w:t>
      </w:r>
      <w:r>
        <w:rPr>
          <w:iCs/>
          <w:i/>
        </w:rPr>
        <w:t xml:space="preserve">Economics of Innovation and New Technology</w:t>
      </w:r>
      <w:r>
        <w:t xml:space="preserve">,</w:t>
      </w:r>
      <w:r>
        <w:t xml:space="preserve"> </w:t>
      </w:r>
      <w:r>
        <w:rPr>
          <w:iCs/>
          <w:i/>
        </w:rPr>
        <w:t xml:space="preserve">17</w:t>
      </w:r>
      <w:r>
        <w:t xml:space="preserve">(4), 285–309.</w:t>
      </w:r>
      <w:r>
        <w:t xml:space="preserve"> </w:t>
      </w:r>
      <w:hyperlink r:id="rId197">
        <w:r>
          <w:rPr>
            <w:rStyle w:val="Hyperlink"/>
          </w:rPr>
          <w:t xml:space="preserve">https://doi.org/10.1080/10438590701581481</w:t>
        </w:r>
      </w:hyperlink>
    </w:p>
    <w:bookmarkEnd w:id="198"/>
    <w:bookmarkStart w:id="200" w:name="ref-hartQualitycontrolexperiments2023"/>
    <w:p>
      <w:pPr>
        <w:pStyle w:val="Bibliography"/>
      </w:pPr>
      <w:r>
        <w:t xml:space="preserve">Hart, A. R., &amp; Matthews, J. S. (2023).</w:t>
      </w:r>
      <w:r>
        <w:t xml:space="preserve"> </w:t>
      </w:r>
      <w:r>
        <w:rPr>
          <w:iCs/>
          <w:i/>
        </w:rPr>
        <w:t xml:space="preserve">Quality control: Experiments on the microfoundations of retrospective voting</w:t>
      </w:r>
      <w:r>
        <w:t xml:space="preserve">. Cambridge University Press.</w:t>
      </w:r>
      <w:r>
        <w:t xml:space="preserve"> </w:t>
      </w:r>
      <w:hyperlink r:id="rId199">
        <w:r>
          <w:rPr>
            <w:rStyle w:val="Hyperlink"/>
          </w:rPr>
          <w:t xml:space="preserve">https://www.cambridge.org/core/elements/quality-control/8D48763B8D1EEC440BA728B3456F51D1</w:t>
        </w:r>
      </w:hyperlink>
    </w:p>
    <w:bookmarkEnd w:id="200"/>
    <w:bookmarkStart w:id="202" w:name="ref-healyIrrelevanteventsaffect2010"/>
    <w:p>
      <w:pPr>
        <w:pStyle w:val="Bibliography"/>
      </w:pPr>
      <w:r>
        <w:t xml:space="preserve">Healy, A. J., Malhotra, N., Mo, C. H., &amp; Laitin, D. (2010). Irrelevant events affect voters’ evaluations of government performance.</w:t>
      </w:r>
      <w:r>
        <w:t xml:space="preserve"> </w:t>
      </w:r>
      <w:r>
        <w:rPr>
          <w:iCs/>
          <w:i/>
        </w:rPr>
        <w:t xml:space="preserve">Proceedings of the National Academy of Sciences of the United States of America</w:t>
      </w:r>
      <w:r>
        <w:t xml:space="preserve">,</w:t>
      </w:r>
      <w:r>
        <w:t xml:space="preserve"> </w:t>
      </w:r>
      <w:r>
        <w:rPr>
          <w:iCs/>
          <w:i/>
        </w:rPr>
        <w:t xml:space="preserve">107</w:t>
      </w:r>
      <w:r>
        <w:t xml:space="preserve">(29), 12804–12809.</w:t>
      </w:r>
      <w:r>
        <w:t xml:space="preserve"> </w:t>
      </w:r>
      <w:hyperlink r:id="rId201">
        <w:r>
          <w:rPr>
            <w:rStyle w:val="Hyperlink"/>
          </w:rPr>
          <w:t xml:space="preserve">https://www.jstor.org/stable/25708619</w:t>
        </w:r>
      </w:hyperlink>
    </w:p>
    <w:bookmarkEnd w:id="202"/>
    <w:bookmarkStart w:id="204" w:name="ref-healyMyopicvotersnatural2009"/>
    <w:p>
      <w:pPr>
        <w:pStyle w:val="Bibliography"/>
      </w:pPr>
      <w:r>
        <w:t xml:space="preserve">Healy, A., &amp; Malhotra, N. (2009). Myopic voters and natural disaster policy.</w:t>
      </w:r>
      <w:r>
        <w:t xml:space="preserve"> </w:t>
      </w:r>
      <w:r>
        <w:rPr>
          <w:iCs/>
          <w:i/>
        </w:rPr>
        <w:t xml:space="preserve">American Political Science Review</w:t>
      </w:r>
      <w:r>
        <w:t xml:space="preserve">,</w:t>
      </w:r>
      <w:r>
        <w:t xml:space="preserve"> </w:t>
      </w:r>
      <w:r>
        <w:rPr>
          <w:iCs/>
          <w:i/>
        </w:rPr>
        <w:t xml:space="preserve">103</w:t>
      </w:r>
      <w:r>
        <w:t xml:space="preserve">(3), 387–406.</w:t>
      </w:r>
      <w:r>
        <w:t xml:space="preserve"> </w:t>
      </w:r>
      <w:hyperlink r:id="rId203">
        <w:r>
          <w:rPr>
            <w:rStyle w:val="Hyperlink"/>
          </w:rPr>
          <w:t xml:space="preserve">https://doi.org/10.1017/S0003055409990104</w:t>
        </w:r>
      </w:hyperlink>
    </w:p>
    <w:bookmarkEnd w:id="204"/>
    <w:bookmarkStart w:id="206" w:name="ref-healyRandomeventseconomic2010"/>
    <w:p>
      <w:pPr>
        <w:pStyle w:val="Bibliography"/>
      </w:pPr>
      <w:r>
        <w:t xml:space="preserve">Healy, A., &amp; Malhotra, N. (2010). Random events, economic losses, and retrospective voting: Implications for democratic competence.</w:t>
      </w:r>
      <w:r>
        <w:t xml:space="preserve"> </w:t>
      </w:r>
      <w:r>
        <w:rPr>
          <w:iCs/>
          <w:i/>
        </w:rPr>
        <w:t xml:space="preserve">Quarterly Journal of Political Science</w:t>
      </w:r>
      <w:r>
        <w:t xml:space="preserve">,</w:t>
      </w:r>
      <w:r>
        <w:t xml:space="preserve"> </w:t>
      </w:r>
      <w:r>
        <w:rPr>
          <w:iCs/>
          <w:i/>
        </w:rPr>
        <w:t xml:space="preserve">5</w:t>
      </w:r>
      <w:r>
        <w:t xml:space="preserve">(2), 193–208.</w:t>
      </w:r>
      <w:r>
        <w:t xml:space="preserve"> </w:t>
      </w:r>
      <w:hyperlink r:id="rId205">
        <w:r>
          <w:rPr>
            <w:rStyle w:val="Hyperlink"/>
          </w:rPr>
          <w:t xml:space="preserve">https://doi.org/10.1561/100.00009057</w:t>
        </w:r>
      </w:hyperlink>
    </w:p>
    <w:bookmarkEnd w:id="206"/>
    <w:bookmarkStart w:id="208" w:name="Xfa8e123f35740651f7b1f09f14d433692505f9a"/>
    <w:p>
      <w:pPr>
        <w:pStyle w:val="Bibliography"/>
      </w:pPr>
      <w:r>
        <w:t xml:space="preserve">Healy, A., &amp; Malhotra, N. (2013). Retrospective voting reconsidered.</w:t>
      </w:r>
      <w:r>
        <w:t xml:space="preserve"> </w:t>
      </w:r>
      <w:r>
        <w:rPr>
          <w:iCs/>
          <w:i/>
        </w:rPr>
        <w:t xml:space="preserve">Annual Review of Political Science</w:t>
      </w:r>
      <w:r>
        <w:t xml:space="preserve">,</w:t>
      </w:r>
      <w:r>
        <w:t xml:space="preserve"> </w:t>
      </w:r>
      <w:r>
        <w:rPr>
          <w:iCs/>
          <w:i/>
        </w:rPr>
        <w:t xml:space="preserve">16</w:t>
      </w:r>
      <w:r>
        <w:t xml:space="preserve">(1), 285–306.</w:t>
      </w:r>
      <w:r>
        <w:t xml:space="preserve"> </w:t>
      </w:r>
      <w:hyperlink r:id="rId207">
        <w:r>
          <w:rPr>
            <w:rStyle w:val="Hyperlink"/>
          </w:rPr>
          <w:t xml:space="preserve">https://doi.org/10.1146/annurev-polisci-032211-212920</w:t>
        </w:r>
      </w:hyperlink>
    </w:p>
    <w:bookmarkEnd w:id="208"/>
    <w:bookmarkStart w:id="210" w:name="ref-heckmanCostJobSecurity2000"/>
    <w:p>
      <w:pPr>
        <w:pStyle w:val="Bibliography"/>
      </w:pPr>
      <w:r>
        <w:t xml:space="preserve">Heckman, J., Pagés-Serra, C., Edwards, A. C., &amp; Guidotti, P. (2000). The</w:t>
      </w:r>
      <w:r>
        <w:t xml:space="preserve"> </w:t>
      </w:r>
      <w:r>
        <w:t xml:space="preserve">Cost</w:t>
      </w:r>
      <w:r>
        <w:t xml:space="preserve"> </w:t>
      </w:r>
      <w:r>
        <w:t xml:space="preserve">of</w:t>
      </w:r>
      <w:r>
        <w:t xml:space="preserve"> </w:t>
      </w:r>
      <w:r>
        <w:t xml:space="preserve">Job Security Regulation</w:t>
      </w:r>
      <w:r>
        <w:t xml:space="preserve">:</w:t>
      </w:r>
      <w:r>
        <w:t xml:space="preserve"> </w:t>
      </w:r>
      <w:r>
        <w:t xml:space="preserve">Evidence</w:t>
      </w:r>
      <w:r>
        <w:t xml:space="preserve"> </w:t>
      </w:r>
      <w:r>
        <w:t xml:space="preserve">from</w:t>
      </w:r>
      <w:r>
        <w:t xml:space="preserve"> </w:t>
      </w:r>
      <w:r>
        <w:t xml:space="preserve">Latin American Labor Markets</w:t>
      </w:r>
      <w:r>
        <w:t xml:space="preserve"> </w:t>
      </w:r>
      <w:r>
        <w:t xml:space="preserve">[with</w:t>
      </w:r>
      <w:r>
        <w:t xml:space="preserve"> </w:t>
      </w:r>
      <w:r>
        <w:t xml:space="preserve">Comments</w:t>
      </w:r>
      <w:r>
        <w:t xml:space="preserve">].</w:t>
      </w:r>
      <w:r>
        <w:t xml:space="preserve"> </w:t>
      </w:r>
      <w:r>
        <w:rPr>
          <w:iCs/>
          <w:i/>
        </w:rPr>
        <w:t xml:space="preserve">Economía</w:t>
      </w:r>
      <w:r>
        <w:t xml:space="preserve">,</w:t>
      </w:r>
      <w:r>
        <w:t xml:space="preserve"> </w:t>
      </w:r>
      <w:r>
        <w:rPr>
          <w:iCs/>
          <w:i/>
        </w:rPr>
        <w:t xml:space="preserve">1</w:t>
      </w:r>
      <w:r>
        <w:t xml:space="preserve">(1), 109–154.</w:t>
      </w:r>
      <w:r>
        <w:t xml:space="preserve"> </w:t>
      </w:r>
      <w:hyperlink r:id="rId209">
        <w:r>
          <w:rPr>
            <w:rStyle w:val="Hyperlink"/>
          </w:rPr>
          <w:t xml:space="preserve">https://www.jstor.org/stable/20065397</w:t>
        </w:r>
      </w:hyperlink>
    </w:p>
    <w:bookmarkEnd w:id="210"/>
    <w:bookmarkStart w:id="212" w:name="ref-huberCausalanalysisImpact2023"/>
    <w:p>
      <w:pPr>
        <w:pStyle w:val="Bibliography"/>
      </w:pPr>
      <w:r>
        <w:t xml:space="preserve">Huber, M. (2023).</w:t>
      </w:r>
      <w:r>
        <w:t xml:space="preserve"> </w:t>
      </w:r>
      <w:r>
        <w:rPr>
          <w:iCs/>
          <w:i/>
        </w:rPr>
        <w:t xml:space="preserve">Causal analysis:</w:t>
      </w:r>
      <w:r>
        <w:rPr>
          <w:iCs/>
          <w:i/>
        </w:rPr>
        <w:t xml:space="preserve"> </w:t>
      </w:r>
      <w:r>
        <w:rPr>
          <w:iCs/>
          <w:i/>
        </w:rPr>
        <w:t xml:space="preserve">Impact</w:t>
      </w:r>
      <w:r>
        <w:rPr>
          <w:iCs/>
          <w:i/>
        </w:rPr>
        <w:t xml:space="preserve"> </w:t>
      </w:r>
      <w:r>
        <w:rPr>
          <w:iCs/>
          <w:i/>
        </w:rPr>
        <w:t xml:space="preserve">evaluation and</w:t>
      </w:r>
      <w:r>
        <w:rPr>
          <w:iCs/>
          <w:i/>
        </w:rPr>
        <w:t xml:space="preserve"> </w:t>
      </w:r>
      <w:r>
        <w:rPr>
          <w:iCs/>
          <w:i/>
        </w:rPr>
        <w:t xml:space="preserve">Causal Machine Learning</w:t>
      </w:r>
      <w:r>
        <w:rPr>
          <w:iCs/>
          <w:i/>
        </w:rPr>
        <w:t xml:space="preserve"> </w:t>
      </w:r>
      <w:r>
        <w:rPr>
          <w:iCs/>
          <w:i/>
        </w:rPr>
        <w:t xml:space="preserve">with applications in</w:t>
      </w:r>
      <w:r>
        <w:rPr>
          <w:iCs/>
          <w:i/>
        </w:rPr>
        <w:t xml:space="preserve"> </w:t>
      </w:r>
      <w:r>
        <w:rPr>
          <w:iCs/>
          <w:i/>
        </w:rPr>
        <w:t xml:space="preserve">R</w:t>
      </w:r>
      <w:r>
        <w:t xml:space="preserve"> </w:t>
      </w:r>
      <w:r>
        <w:t xml:space="preserve">(1st ed., Vol. 1). The MIT Press.</w:t>
      </w:r>
      <w:r>
        <w:t xml:space="preserve"> </w:t>
      </w:r>
      <w:hyperlink r:id="rId211">
        <w:r>
          <w:rPr>
            <w:rStyle w:val="Hyperlink"/>
          </w:rPr>
          <w:t xml:space="preserve">https://mitpress.ublish.com/ebook/causal-analysis-impact-evaluation-and-causal-machine-learning-with-applications-in-r-preview/12759/Cover</w:t>
        </w:r>
      </w:hyperlink>
    </w:p>
    <w:bookmarkEnd w:id="212"/>
    <w:bookmarkStart w:id="213" w:name="X6aedfbbe51128676e7b70d3f7cdaf021973aec6"/>
    <w:p>
      <w:pPr>
        <w:pStyle w:val="Bibliography"/>
      </w:pPr>
      <w:r>
        <w:t xml:space="preserve">Huntington-Klein, N. (2022).</w:t>
      </w:r>
      <w:r>
        <w:t xml:space="preserve"> </w:t>
      </w:r>
      <w:r>
        <w:rPr>
          <w:iCs/>
          <w:i/>
        </w:rPr>
        <w:t xml:space="preserve">The</w:t>
      </w:r>
      <w:r>
        <w:rPr>
          <w:iCs/>
          <w:i/>
        </w:rPr>
        <w:t xml:space="preserve"> </w:t>
      </w:r>
      <w:r>
        <w:rPr>
          <w:iCs/>
          <w:i/>
        </w:rPr>
        <w:t xml:space="preserve">Effect</w:t>
      </w:r>
      <w:r>
        <w:rPr>
          <w:iCs/>
          <w:i/>
        </w:rPr>
        <w:t xml:space="preserve">:</w:t>
      </w:r>
      <w:r>
        <w:rPr>
          <w:iCs/>
          <w:i/>
        </w:rPr>
        <w:t xml:space="preserve"> </w:t>
      </w:r>
      <w:r>
        <w:rPr>
          <w:iCs/>
          <w:i/>
        </w:rPr>
        <w:t xml:space="preserve">An Introduction</w:t>
      </w:r>
      <w:r>
        <w:rPr>
          <w:iCs/>
          <w:i/>
        </w:rPr>
        <w:t xml:space="preserve"> </w:t>
      </w:r>
      <w:r>
        <w:rPr>
          <w:iCs/>
          <w:i/>
        </w:rPr>
        <w:t xml:space="preserve">to</w:t>
      </w:r>
      <w:r>
        <w:rPr>
          <w:iCs/>
          <w:i/>
        </w:rPr>
        <w:t xml:space="preserve"> </w:t>
      </w:r>
      <w:r>
        <w:rPr>
          <w:iCs/>
          <w:i/>
        </w:rPr>
        <w:t xml:space="preserve">Research Design</w:t>
      </w:r>
      <w:r>
        <w:rPr>
          <w:iCs/>
          <w:i/>
        </w:rPr>
        <w:t xml:space="preserve"> </w:t>
      </w:r>
      <w:r>
        <w:rPr>
          <w:iCs/>
          <w:i/>
        </w:rPr>
        <w:t xml:space="preserve">and</w:t>
      </w:r>
      <w:r>
        <w:rPr>
          <w:iCs/>
          <w:i/>
        </w:rPr>
        <w:t xml:space="preserve"> </w:t>
      </w:r>
      <w:r>
        <w:rPr>
          <w:iCs/>
          <w:i/>
        </w:rPr>
        <w:t xml:space="preserve">Causality</w:t>
      </w:r>
      <w:r>
        <w:t xml:space="preserve"> </w:t>
      </w:r>
      <w:r>
        <w:t xml:space="preserve">(1st edition).</w:t>
      </w:r>
      <w:r>
        <w:t xml:space="preserve"> </w:t>
      </w:r>
      <w:r>
        <w:t xml:space="preserve">Chapman and Hall/CRC</w:t>
      </w:r>
      <w:r>
        <w:t xml:space="preserve">.</w:t>
      </w:r>
    </w:p>
    <w:bookmarkEnd w:id="213"/>
    <w:bookmarkStart w:id="215" w:name="ref-INECGeoportal"/>
    <w:p>
      <w:pPr>
        <w:pStyle w:val="Bibliography"/>
      </w:pPr>
      <w:r>
        <w:t xml:space="preserve">Instituto Nacional de Estadística y Censos. (n.d.).</w:t>
      </w:r>
      <w:r>
        <w:t xml:space="preserve"> </w:t>
      </w:r>
      <w:r>
        <w:rPr>
          <w:iCs/>
          <w:i/>
        </w:rPr>
        <w:t xml:space="preserve">Clasificador</w:t>
      </w:r>
      <w:r>
        <w:rPr>
          <w:iCs/>
          <w:i/>
        </w:rPr>
        <w:t xml:space="preserve"> </w:t>
      </w:r>
      <w:r>
        <w:rPr>
          <w:iCs/>
          <w:i/>
        </w:rPr>
        <w:t xml:space="preserve">Geográfico Estadístico</w:t>
      </w:r>
      <w:r>
        <w:t xml:space="preserve"> </w:t>
      </w:r>
      <w:r>
        <w:t xml:space="preserve">[Map shapefiles with data dictionaries]. Geoportal INEC. Retrieved January 23, 2024, from</w:t>
      </w:r>
      <w:r>
        <w:t xml:space="preserve"> </w:t>
      </w:r>
      <w:hyperlink r:id="rId214">
        <w:r>
          <w:rPr>
            <w:rStyle w:val="Hyperlink"/>
          </w:rPr>
          <w:t xml:space="preserve">https://www.ecuadorencifras.gob.ec/documentos/web-inec/Geografia_Estadistica/Micrositio_geoportal/index.html#clasificador-geog-dpa</w:t>
        </w:r>
      </w:hyperlink>
    </w:p>
    <w:bookmarkEnd w:id="215"/>
    <w:bookmarkStart w:id="217" w:name="ref-IntroductionSeries2013"/>
    <w:p>
      <w:pPr>
        <w:pStyle w:val="Bibliography"/>
      </w:pPr>
      <w:r>
        <w:t xml:space="preserve">Introduction to the</w:t>
      </w:r>
      <w:r>
        <w:t xml:space="preserve"> </w:t>
      </w:r>
      <w:r>
        <w:t xml:space="preserve">Series</w:t>
      </w:r>
      <w:r>
        <w:t xml:space="preserve">. (2013). In</w:t>
      </w:r>
      <w:r>
        <w:t xml:space="preserve"> </w:t>
      </w:r>
      <w:r>
        <w:rPr>
          <w:iCs/>
          <w:i/>
        </w:rPr>
        <w:t xml:space="preserve">Handbook of</w:t>
      </w:r>
      <w:r>
        <w:rPr>
          <w:iCs/>
          <w:i/>
        </w:rPr>
        <w:t xml:space="preserve"> </w:t>
      </w:r>
      <w:r>
        <w:rPr>
          <w:iCs/>
          <w:i/>
        </w:rPr>
        <w:t xml:space="preserve">Public Economics</w:t>
      </w:r>
      <w:r>
        <w:t xml:space="preserve"> </w:t>
      </w:r>
      <w:r>
        <w:t xml:space="preserve">(Vol. 5, p. ix). Elsevier.</w:t>
      </w:r>
      <w:r>
        <w:t xml:space="preserve"> </w:t>
      </w:r>
      <w:hyperlink r:id="rId216">
        <w:r>
          <w:rPr>
            <w:rStyle w:val="Hyperlink"/>
          </w:rPr>
          <w:t xml:space="preserve">https://doi.org/10.1016/B978-0-444-53759-1.00015-7</w:t>
        </w:r>
      </w:hyperlink>
    </w:p>
    <w:bookmarkEnd w:id="217"/>
    <w:bookmarkStart w:id="219" w:name="ref-IntroductoryEconometricsModern"/>
    <w:p>
      <w:pPr>
        <w:pStyle w:val="Bibliography"/>
      </w:pPr>
      <w:r>
        <w:rPr>
          <w:iCs/>
          <w:i/>
        </w:rPr>
        <w:t xml:space="preserve">Introductory</w:t>
      </w:r>
      <w:r>
        <w:rPr>
          <w:iCs/>
          <w:i/>
        </w:rPr>
        <w:t xml:space="preserve"> </w:t>
      </w:r>
      <w:r>
        <w:rPr>
          <w:iCs/>
          <w:i/>
        </w:rPr>
        <w:t xml:space="preserve">Econometrics</w:t>
      </w:r>
      <w:r>
        <w:rPr>
          <w:iCs/>
          <w:i/>
        </w:rPr>
        <w:t xml:space="preserve">:</w:t>
      </w:r>
      <w:r>
        <w:rPr>
          <w:iCs/>
          <w:i/>
        </w:rPr>
        <w:t xml:space="preserve"> </w:t>
      </w:r>
      <w:r>
        <w:rPr>
          <w:iCs/>
          <w:i/>
        </w:rPr>
        <w:t xml:space="preserve">A Modern Approach</w:t>
      </w:r>
      <w:r>
        <w:rPr>
          <w:iCs/>
          <w:i/>
        </w:rPr>
        <w:t xml:space="preserve">, 7th</w:t>
      </w:r>
      <w:r>
        <w:rPr>
          <w:iCs/>
          <w:i/>
        </w:rPr>
        <w:t xml:space="preserve"> </w:t>
      </w:r>
      <w:r>
        <w:rPr>
          <w:iCs/>
          <w:i/>
        </w:rPr>
        <w:t xml:space="preserve">Edition</w:t>
      </w:r>
      <w:r>
        <w:rPr>
          <w:iCs/>
          <w:i/>
        </w:rPr>
        <w:t xml:space="preserve"> </w:t>
      </w:r>
      <w:r>
        <w:rPr>
          <w:iCs/>
          <w:i/>
        </w:rPr>
        <w:t xml:space="preserve">- 9781337558860 -</w:t>
      </w:r>
      <w:r>
        <w:rPr>
          <w:iCs/>
          <w:i/>
        </w:rPr>
        <w:t xml:space="preserve"> </w:t>
      </w:r>
      <w:r>
        <w:rPr>
          <w:iCs/>
          <w:i/>
        </w:rPr>
        <w:t xml:space="preserve">Cengage</w:t>
      </w:r>
      <w:r>
        <w:t xml:space="preserve">. (n.d.). Retrieved February 23, 2024, from</w:t>
      </w:r>
      <w:r>
        <w:t xml:space="preserve"> </w:t>
      </w:r>
      <w:hyperlink r:id="rId218">
        <w:r>
          <w:rPr>
            <w:rStyle w:val="Hyperlink"/>
          </w:rPr>
          <w:t xml:space="preserve">https://www.cengage.ca/c/introductory-econometrics-a-modern-approach-7e-wooldridge/9781337558860/</w:t>
        </w:r>
      </w:hyperlink>
    </w:p>
    <w:bookmarkEnd w:id="219"/>
    <w:bookmarkStart w:id="220" w:name="ref-IrrelevantEventsAffect"/>
    <w:p>
      <w:pPr>
        <w:pStyle w:val="Bibliography"/>
      </w:pPr>
      <w:r>
        <w:rPr>
          <w:iCs/>
          <w:i/>
        </w:rPr>
        <w:t xml:space="preserve">Irrelevant events affect voters’ evaluations of government performance</w:t>
      </w:r>
      <w:r>
        <w:t xml:space="preserve">. (n.d.).</w:t>
      </w:r>
    </w:p>
    <w:bookmarkEnd w:id="220"/>
    <w:bookmarkStart w:id="221" w:name="X74ed7035ab86e4c52d32cc48d0ffb7b6273fa82"/>
    <w:p>
      <w:pPr>
        <w:pStyle w:val="Bibliography"/>
      </w:pPr>
      <w:r>
        <w:t xml:space="preserve">Jacobsen, G. D., &amp; Parker, D. P. (2016). The</w:t>
      </w:r>
      <w:r>
        <w:t xml:space="preserve"> </w:t>
      </w:r>
      <w:r>
        <w:t xml:space="preserve">Economic Aftermath</w:t>
      </w:r>
      <w:r>
        <w:t xml:space="preserve"> </w:t>
      </w:r>
      <w:r>
        <w:t xml:space="preserve">of</w:t>
      </w:r>
      <w:r>
        <w:t xml:space="preserve"> </w:t>
      </w:r>
      <w:r>
        <w:t xml:space="preserve">Resource Booms</w:t>
      </w:r>
      <w:r>
        <w:t xml:space="preserve">:</w:t>
      </w:r>
      <w:r>
        <w:t xml:space="preserve"> </w:t>
      </w:r>
      <w:r>
        <w:t xml:space="preserve">Evidence</w:t>
      </w:r>
      <w:r>
        <w:t xml:space="preserve"> </w:t>
      </w:r>
      <w:r>
        <w:t xml:space="preserve">from</w:t>
      </w:r>
      <w:r>
        <w:t xml:space="preserve"> </w:t>
      </w:r>
      <w:r>
        <w:t xml:space="preserve">Boomtowns</w:t>
      </w:r>
      <w:r>
        <w:t xml:space="preserve"> </w:t>
      </w:r>
      <w:r>
        <w:t xml:space="preserve">in the</w:t>
      </w:r>
      <w:r>
        <w:t xml:space="preserve"> </w:t>
      </w:r>
      <w:r>
        <w:t xml:space="preserve">American West</w:t>
      </w:r>
      <w:r>
        <w:t xml:space="preserve">.</w:t>
      </w:r>
      <w:r>
        <w:t xml:space="preserve"> </w:t>
      </w:r>
      <w:r>
        <w:rPr>
          <w:iCs/>
          <w:i/>
        </w:rPr>
        <w:t xml:space="preserve">The Economic Journal</w:t>
      </w:r>
      <w:r>
        <w:t xml:space="preserve">,</w:t>
      </w:r>
      <w:r>
        <w:t xml:space="preserve"> </w:t>
      </w:r>
      <w:r>
        <w:rPr>
          <w:iCs/>
          <w:i/>
        </w:rPr>
        <w:t xml:space="preserve">126</w:t>
      </w:r>
      <w:r>
        <w:t xml:space="preserve">(593), 1092–1128.</w:t>
      </w:r>
    </w:p>
    <w:bookmarkEnd w:id="221"/>
    <w:bookmarkStart w:id="223" w:name="ref-jahnLookingBridgeEffect2014"/>
    <w:p>
      <w:pPr>
        <w:pStyle w:val="Bibliography"/>
      </w:pPr>
      <w:r>
        <w:t xml:space="preserve">Jahn, E. J., &amp; Rosholm, M. (2014). Looking beyond the bridge:</w:t>
      </w:r>
      <w:r>
        <w:t xml:space="preserve"> </w:t>
      </w:r>
      <w:r>
        <w:t xml:space="preserve">The</w:t>
      </w:r>
      <w:r>
        <w:t xml:space="preserve"> </w:t>
      </w:r>
      <w:r>
        <w:t xml:space="preserve">effect of temporary agency employment on labor market outcomes.</w:t>
      </w:r>
      <w:r>
        <w:t xml:space="preserve"> </w:t>
      </w:r>
      <w:r>
        <w:rPr>
          <w:iCs/>
          <w:i/>
        </w:rPr>
        <w:t xml:space="preserve">European Economic Review</w:t>
      </w:r>
      <w:r>
        <w:t xml:space="preserve">,</w:t>
      </w:r>
      <w:r>
        <w:t xml:space="preserve"> </w:t>
      </w:r>
      <w:r>
        <w:rPr>
          <w:iCs/>
          <w:i/>
        </w:rPr>
        <w:t xml:space="preserve">65</w:t>
      </w:r>
      <w:r>
        <w:t xml:space="preserve">, 108–125.</w:t>
      </w:r>
      <w:r>
        <w:t xml:space="preserve"> </w:t>
      </w:r>
      <w:hyperlink r:id="rId222">
        <w:r>
          <w:rPr>
            <w:rStyle w:val="Hyperlink"/>
          </w:rPr>
          <w:t xml:space="preserve">https://doi.org/10.1016/j.euroecorev.2013.11.001</w:t>
        </w:r>
      </w:hyperlink>
    </w:p>
    <w:bookmarkEnd w:id="223"/>
    <w:bookmarkStart w:id="225" w:name="X1f1ef17d72dac693f96624461f91328943cd3ce"/>
    <w:p>
      <w:pPr>
        <w:pStyle w:val="Bibliography"/>
      </w:pPr>
      <w:r>
        <w:t xml:space="preserve">Jung, J. W., &amp; Oh, J. (2020). Determinants of presidential approval ratings: Cross-country analyses with reference to</w:t>
      </w:r>
      <w:r>
        <w:t xml:space="preserve"> </w:t>
      </w:r>
      <w:r>
        <w:t xml:space="preserve">Latin America</w:t>
      </w:r>
      <w:r>
        <w:t xml:space="preserve">.</w:t>
      </w:r>
      <w:r>
        <w:t xml:space="preserve"> </w:t>
      </w:r>
      <w:r>
        <w:rPr>
          <w:iCs/>
          <w:i/>
        </w:rPr>
        <w:t xml:space="preserve">International Area Studies Review</w:t>
      </w:r>
      <w:r>
        <w:t xml:space="preserve">,</w:t>
      </w:r>
      <w:r>
        <w:t xml:space="preserve"> </w:t>
      </w:r>
      <w:r>
        <w:rPr>
          <w:iCs/>
          <w:i/>
        </w:rPr>
        <w:t xml:space="preserve">23</w:t>
      </w:r>
      <w:r>
        <w:t xml:space="preserve">(3), 251–267.</w:t>
      </w:r>
      <w:r>
        <w:t xml:space="preserve"> </w:t>
      </w:r>
      <w:hyperlink r:id="rId224">
        <w:r>
          <w:rPr>
            <w:rStyle w:val="Hyperlink"/>
          </w:rPr>
          <w:t xml:space="preserve">https://doi.org/10.1177/2233865919888373</w:t>
        </w:r>
      </w:hyperlink>
    </w:p>
    <w:bookmarkEnd w:id="225"/>
    <w:bookmarkStart w:id="227" w:name="ref-kahnEmploymentProtectionReforms2010"/>
    <w:p>
      <w:pPr>
        <w:pStyle w:val="Bibliography"/>
      </w:pPr>
      <w:r>
        <w:t xml:space="preserve">Kahn, L. M. (2010). Employment protection reforms, employment and the incidence of temporary jobs in</w:t>
      </w:r>
      <w:r>
        <w:t xml:space="preserve"> </w:t>
      </w:r>
      <w:r>
        <w:t xml:space="preserve">Europe</w:t>
      </w:r>
      <w:r>
        <w:t xml:space="preserve">: 1996–2001.</w:t>
      </w:r>
      <w:r>
        <w:t xml:space="preserve"> </w:t>
      </w:r>
      <w:r>
        <w:rPr>
          <w:iCs/>
          <w:i/>
        </w:rPr>
        <w:t xml:space="preserve">Labour Economics</w:t>
      </w:r>
      <w:r>
        <w:t xml:space="preserve">,</w:t>
      </w:r>
      <w:r>
        <w:t xml:space="preserve"> </w:t>
      </w:r>
      <w:r>
        <w:rPr>
          <w:iCs/>
          <w:i/>
        </w:rPr>
        <w:t xml:space="preserve">17</w:t>
      </w:r>
      <w:r>
        <w:t xml:space="preserve">(1), 1–15.</w:t>
      </w:r>
      <w:r>
        <w:t xml:space="preserve"> </w:t>
      </w:r>
      <w:hyperlink r:id="rId226">
        <w:r>
          <w:rPr>
            <w:rStyle w:val="Hyperlink"/>
          </w:rPr>
          <w:t xml:space="preserve">https://doi.org/10.1016/j.labeco.2009.05.001</w:t>
        </w:r>
      </w:hyperlink>
    </w:p>
    <w:bookmarkEnd w:id="227"/>
    <w:bookmarkStart w:id="229" w:name="ref-keenTheoryInternationalTax2013"/>
    <w:p>
      <w:pPr>
        <w:pStyle w:val="Bibliography"/>
      </w:pPr>
      <w:r>
        <w:t xml:space="preserve">Keen, M., &amp; Konrad, K. A. (2013). The</w:t>
      </w:r>
      <w:r>
        <w:t xml:space="preserve"> </w:t>
      </w:r>
      <w:r>
        <w:t xml:space="preserve">Theory</w:t>
      </w:r>
      <w:r>
        <w:t xml:space="preserve"> </w:t>
      </w:r>
      <w:r>
        <w:t xml:space="preserve">of</w:t>
      </w:r>
      <w:r>
        <w:t xml:space="preserve"> </w:t>
      </w:r>
      <w:r>
        <w:t xml:space="preserve">International Tax Competition</w:t>
      </w:r>
      <w:r>
        <w:t xml:space="preserve"> </w:t>
      </w:r>
      <w:r>
        <w:t xml:space="preserve">and</w:t>
      </w:r>
      <w:r>
        <w:t xml:space="preserve"> </w:t>
      </w:r>
      <w:r>
        <w:t xml:space="preserve">Coordination</w:t>
      </w:r>
      <w:r>
        <w:t xml:space="preserve">. In</w:t>
      </w:r>
      <w:r>
        <w:t xml:space="preserve"> </w:t>
      </w:r>
      <w:r>
        <w:rPr>
          <w:iCs/>
          <w:i/>
        </w:rPr>
        <w:t xml:space="preserve">Handbook of</w:t>
      </w:r>
      <w:r>
        <w:rPr>
          <w:iCs/>
          <w:i/>
        </w:rPr>
        <w:t xml:space="preserve"> </w:t>
      </w:r>
      <w:r>
        <w:rPr>
          <w:iCs/>
          <w:i/>
        </w:rPr>
        <w:t xml:space="preserve">Public Economics</w:t>
      </w:r>
      <w:r>
        <w:t xml:space="preserve"> </w:t>
      </w:r>
      <w:r>
        <w:t xml:space="preserve">(Vol. 5, pp. 257–328). Elsevier.</w:t>
      </w:r>
      <w:r>
        <w:t xml:space="preserve"> </w:t>
      </w:r>
      <w:hyperlink r:id="rId228">
        <w:r>
          <w:rPr>
            <w:rStyle w:val="Hyperlink"/>
          </w:rPr>
          <w:t xml:space="preserve">https://doi.org/10.1016/B978-0-444-53759-1.00005-4</w:t>
        </w:r>
      </w:hyperlink>
    </w:p>
    <w:bookmarkEnd w:id="229"/>
    <w:bookmarkStart w:id="231" w:name="Xd660f0280d9349d9c950216741b8b38b3067717"/>
    <w:p>
      <w:pPr>
        <w:pStyle w:val="Bibliography"/>
      </w:pPr>
      <w:r>
        <w:t xml:space="preserve">Kellstedt, P. M., &amp; Whitten, G. D. (2018).</w:t>
      </w:r>
      <w:r>
        <w:t xml:space="preserve"> </w:t>
      </w:r>
      <w:r>
        <w:rPr>
          <w:iCs/>
          <w:i/>
        </w:rPr>
        <w:t xml:space="preserve">The</w:t>
      </w:r>
      <w:r>
        <w:rPr>
          <w:iCs/>
          <w:i/>
        </w:rPr>
        <w:t xml:space="preserve"> </w:t>
      </w:r>
      <w:r>
        <w:rPr>
          <w:iCs/>
          <w:i/>
        </w:rPr>
        <w:t xml:space="preserve">Fundamentals</w:t>
      </w:r>
      <w:r>
        <w:rPr>
          <w:iCs/>
          <w:i/>
        </w:rPr>
        <w:t xml:space="preserve"> </w:t>
      </w:r>
      <w:r>
        <w:rPr>
          <w:iCs/>
          <w:i/>
        </w:rPr>
        <w:t xml:space="preserve">of</w:t>
      </w:r>
      <w:r>
        <w:rPr>
          <w:iCs/>
          <w:i/>
        </w:rPr>
        <w:t xml:space="preserve"> </w:t>
      </w:r>
      <w:r>
        <w:rPr>
          <w:iCs/>
          <w:i/>
        </w:rPr>
        <w:t xml:space="preserve">Political Science Research</w:t>
      </w:r>
      <w:r>
        <w:t xml:space="preserve"> </w:t>
      </w:r>
      <w:r>
        <w:t xml:space="preserve">(3rd ed.). Cambridge University Press.</w:t>
      </w:r>
      <w:r>
        <w:t xml:space="preserve"> </w:t>
      </w:r>
      <w:hyperlink r:id="rId230">
        <w:r>
          <w:rPr>
            <w:rStyle w:val="Hyperlink"/>
          </w:rPr>
          <w:t xml:space="preserve">https://doi.org/10.1017/9781108131704</w:t>
        </w:r>
      </w:hyperlink>
    </w:p>
    <w:bookmarkEnd w:id="231"/>
    <w:bookmarkStart w:id="233" w:name="X58bd2c5c151d4ccbf482b21744faf709e4f493c"/>
    <w:p>
      <w:pPr>
        <w:pStyle w:val="Bibliography"/>
      </w:pPr>
      <w:r>
        <w:t xml:space="preserve">Kiewiet, D. R., &amp; Rivers, D. (1984). A</w:t>
      </w:r>
      <w:r>
        <w:t xml:space="preserve"> </w:t>
      </w:r>
      <w:r>
        <w:t xml:space="preserve">Retrospective</w:t>
      </w:r>
      <w:r>
        <w:t xml:space="preserve"> </w:t>
      </w:r>
      <w:r>
        <w:t xml:space="preserve">on</w:t>
      </w:r>
      <w:r>
        <w:t xml:space="preserve"> </w:t>
      </w:r>
      <w:r>
        <w:t xml:space="preserve">Retrospective Voting</w:t>
      </w:r>
      <w:r>
        <w:t xml:space="preserve">.</w:t>
      </w:r>
      <w:r>
        <w:t xml:space="preserve"> </w:t>
      </w:r>
      <w:r>
        <w:rPr>
          <w:iCs/>
          <w:i/>
        </w:rPr>
        <w:t xml:space="preserve">Political Behavior</w:t>
      </w:r>
      <w:r>
        <w:t xml:space="preserve">,</w:t>
      </w:r>
      <w:r>
        <w:t xml:space="preserve"> </w:t>
      </w:r>
      <w:r>
        <w:rPr>
          <w:iCs/>
          <w:i/>
        </w:rPr>
        <w:t xml:space="preserve">6</w:t>
      </w:r>
      <w:r>
        <w:t xml:space="preserve">(4), 369–393.</w:t>
      </w:r>
      <w:r>
        <w:t xml:space="preserve"> </w:t>
      </w:r>
      <w:hyperlink r:id="rId232">
        <w:r>
          <w:rPr>
            <w:rStyle w:val="Hyperlink"/>
          </w:rPr>
          <w:t xml:space="preserve">https://www.jstor.org/stable/586342</w:t>
        </w:r>
      </w:hyperlink>
    </w:p>
    <w:bookmarkEnd w:id="233"/>
    <w:bookmarkStart w:id="235" w:name="Xd23198377d6768599b0415c33ccd1191cb03cd1"/>
    <w:p>
      <w:pPr>
        <w:pStyle w:val="Bibliography"/>
      </w:pPr>
      <w:r>
        <w:t xml:space="preserve">Klebolte, K. (2021). Employment</w:t>
      </w:r>
      <w:r>
        <w:t xml:space="preserve"> </w:t>
      </w:r>
      <w:r>
        <w:t xml:space="preserve">Protection Legislation</w:t>
      </w:r>
      <w:r>
        <w:t xml:space="preserve">,</w:t>
      </w:r>
      <w:r>
        <w:t xml:space="preserve"> </w:t>
      </w:r>
      <w:r>
        <w:t xml:space="preserve">Youth Unemployment</w:t>
      </w:r>
      <w:r>
        <w:t xml:space="preserve"> </w:t>
      </w:r>
      <w:r>
        <w:t xml:space="preserve">and the</w:t>
      </w:r>
      <w:r>
        <w:t xml:space="preserve"> </w:t>
      </w:r>
      <w:r>
        <w:t xml:space="preserve">Role</w:t>
      </w:r>
      <w:r>
        <w:t xml:space="preserve"> </w:t>
      </w:r>
      <w:r>
        <w:t xml:space="preserve">of the</w:t>
      </w:r>
      <w:r>
        <w:t xml:space="preserve"> </w:t>
      </w:r>
      <w:r>
        <w:t xml:space="preserve">Educational System</w:t>
      </w:r>
      <w:r>
        <w:t xml:space="preserve">.</w:t>
      </w:r>
      <w:r>
        <w:t xml:space="preserve"> </w:t>
      </w:r>
      <w:r>
        <w:rPr>
          <w:iCs/>
          <w:i/>
        </w:rPr>
        <w:t xml:space="preserve">Junior Management Science</w:t>
      </w:r>
      <w:r>
        <w:t xml:space="preserve">,</w:t>
      </w:r>
      <w:r>
        <w:t xml:space="preserve"> </w:t>
      </w:r>
      <w:r>
        <w:rPr>
          <w:iCs/>
          <w:i/>
        </w:rPr>
        <w:t xml:space="preserve">6</w:t>
      </w:r>
      <w:r>
        <w:t xml:space="preserve">(1, 1), 60–80.</w:t>
      </w:r>
      <w:r>
        <w:t xml:space="preserve"> </w:t>
      </w:r>
      <w:hyperlink r:id="rId234">
        <w:r>
          <w:rPr>
            <w:rStyle w:val="Hyperlink"/>
          </w:rPr>
          <w:t xml:space="preserve">https://doi.org/10.5282/jums/v6i1pp60-80</w:t>
        </w:r>
      </w:hyperlink>
    </w:p>
    <w:bookmarkEnd w:id="235"/>
    <w:bookmarkStart w:id="237" w:name="ref-klemmEmpiricalEvidenceEffects2009"/>
    <w:p>
      <w:pPr>
        <w:pStyle w:val="Bibliography"/>
      </w:pPr>
      <w:r>
        <w:t xml:space="preserve">Klemm, A., &amp; Van Parys, S. (2009, July 1).</w:t>
      </w:r>
      <w:r>
        <w:t xml:space="preserve"> </w:t>
      </w:r>
      <w:r>
        <w:rPr>
          <w:iCs/>
          <w:i/>
        </w:rPr>
        <w:t xml:space="preserve">Empirical</w:t>
      </w:r>
      <w:r>
        <w:rPr>
          <w:iCs/>
          <w:i/>
        </w:rPr>
        <w:t xml:space="preserve"> </w:t>
      </w:r>
      <w:r>
        <w:rPr>
          <w:iCs/>
          <w:i/>
        </w:rPr>
        <w:t xml:space="preserve">Evidence</w:t>
      </w:r>
      <w:r>
        <w:rPr>
          <w:iCs/>
          <w:i/>
        </w:rPr>
        <w:t xml:space="preserve"> </w:t>
      </w:r>
      <w:r>
        <w:rPr>
          <w:iCs/>
          <w:i/>
        </w:rPr>
        <w:t xml:space="preserve">on the</w:t>
      </w:r>
      <w:r>
        <w:rPr>
          <w:iCs/>
          <w:i/>
        </w:rPr>
        <w:t xml:space="preserve"> </w:t>
      </w:r>
      <w:r>
        <w:rPr>
          <w:iCs/>
          <w:i/>
        </w:rPr>
        <w:t xml:space="preserve">Effects</w:t>
      </w:r>
      <w:r>
        <w:rPr>
          <w:iCs/>
          <w:i/>
        </w:rPr>
        <w:t xml:space="preserve"> </w:t>
      </w:r>
      <w:r>
        <w:rPr>
          <w:iCs/>
          <w:i/>
        </w:rPr>
        <w:t xml:space="preserve">of</w:t>
      </w:r>
      <w:r>
        <w:rPr>
          <w:iCs/>
          <w:i/>
        </w:rPr>
        <w:t xml:space="preserve"> </w:t>
      </w:r>
      <w:r>
        <w:rPr>
          <w:iCs/>
          <w:i/>
        </w:rPr>
        <w:t xml:space="preserve">Tax Incentives</w:t>
      </w:r>
      <w:r>
        <w:t xml:space="preserve"> </w:t>
      </w:r>
      <w:r>
        <w:t xml:space="preserve">(SSRN Scholarly Paper 1438845).</w:t>
      </w:r>
      <w:r>
        <w:t xml:space="preserve"> </w:t>
      </w:r>
      <w:hyperlink r:id="rId236">
        <w:r>
          <w:rPr>
            <w:rStyle w:val="Hyperlink"/>
          </w:rPr>
          <w:t xml:space="preserve">https://papers.ssrn.com/abstract=1438845</w:t>
        </w:r>
      </w:hyperlink>
    </w:p>
    <w:bookmarkEnd w:id="237"/>
    <w:bookmarkStart w:id="239" w:name="ref-klusakRisingtemperaturesfalling2023"/>
    <w:p>
      <w:pPr>
        <w:pStyle w:val="Bibliography"/>
      </w:pPr>
      <w:r>
        <w:t xml:space="preserve">Klusak, P., Agarwala, M., Burke, M., Kraemer, M., &amp; Mohaddes, K. (2023). Rising temperatures, falling ratings: The effect of climate change on sovereign creditworthiness.</w:t>
      </w:r>
      <w:r>
        <w:t xml:space="preserve"> </w:t>
      </w:r>
      <w:r>
        <w:rPr>
          <w:iCs/>
          <w:i/>
        </w:rPr>
        <w:t xml:space="preserve">Management Science</w:t>
      </w:r>
      <w:r>
        <w:t xml:space="preserve">,</w:t>
      </w:r>
      <w:r>
        <w:t xml:space="preserve"> </w:t>
      </w:r>
      <w:r>
        <w:rPr>
          <w:iCs/>
          <w:i/>
        </w:rPr>
        <w:t xml:space="preserve">69</w:t>
      </w:r>
      <w:r>
        <w:t xml:space="preserve">(12), 7468–7491.</w:t>
      </w:r>
      <w:r>
        <w:t xml:space="preserve"> </w:t>
      </w:r>
      <w:hyperlink r:id="rId238">
        <w:r>
          <w:rPr>
            <w:rStyle w:val="Hyperlink"/>
          </w:rPr>
          <w:t xml:space="preserve">https://doi.org/10.1287/mnsc.2023.4869</w:t>
        </w:r>
      </w:hyperlink>
    </w:p>
    <w:bookmarkEnd w:id="239"/>
    <w:bookmarkStart w:id="241" w:name="ref-kuglerHowFiringCosts2004"/>
    <w:p>
      <w:pPr>
        <w:pStyle w:val="Bibliography"/>
      </w:pPr>
      <w:r>
        <w:t xml:space="preserve">Kugler, A. D., &amp; Saint‐Paul, G. (2004). How</w:t>
      </w:r>
      <w:r>
        <w:t xml:space="preserve"> </w:t>
      </w:r>
      <w:r>
        <w:t xml:space="preserve">Do Firing Costs Affect Worker Flows</w:t>
      </w:r>
      <w:r>
        <w:t xml:space="preserve"> </w:t>
      </w:r>
      <w:r>
        <w:t xml:space="preserve">in a</w:t>
      </w:r>
      <w:r>
        <w:t xml:space="preserve"> </w:t>
      </w:r>
      <w:r>
        <w:t xml:space="preserve">World</w:t>
      </w:r>
      <w:r>
        <w:t xml:space="preserve"> </w:t>
      </w:r>
      <w:r>
        <w:t xml:space="preserve">with</w:t>
      </w:r>
      <w:r>
        <w:t xml:space="preserve"> </w:t>
      </w:r>
      <w:r>
        <w:t xml:space="preserve">Adverse Selection</w:t>
      </w:r>
      <w:r>
        <w:t xml:space="preserve">?</w:t>
      </w:r>
      <w:r>
        <w:t xml:space="preserve"> </w:t>
      </w:r>
      <w:r>
        <w:rPr>
          <w:iCs/>
          <w:i/>
        </w:rPr>
        <w:t xml:space="preserve">Journal of Labor Economics</w:t>
      </w:r>
      <w:r>
        <w:t xml:space="preserve">,</w:t>
      </w:r>
      <w:r>
        <w:t xml:space="preserve"> </w:t>
      </w:r>
      <w:r>
        <w:rPr>
          <w:iCs/>
          <w:i/>
        </w:rPr>
        <w:t xml:space="preserve">22</w:t>
      </w:r>
      <w:r>
        <w:t xml:space="preserve">(3), 553–584.</w:t>
      </w:r>
      <w:r>
        <w:t xml:space="preserve"> </w:t>
      </w:r>
      <w:hyperlink r:id="rId240">
        <w:r>
          <w:rPr>
            <w:rStyle w:val="Hyperlink"/>
          </w:rPr>
          <w:t xml:space="preserve">https://doi.org/10.1086/383107</w:t>
        </w:r>
      </w:hyperlink>
    </w:p>
    <w:bookmarkEnd w:id="241"/>
    <w:bookmarkStart w:id="243" w:name="X56fdbdd52ba9066df9ba93decc99cb836c0b44a"/>
    <w:p>
      <w:pPr>
        <w:pStyle w:val="Bibliography"/>
      </w:pPr>
      <w:r>
        <w:t xml:space="preserve">Kugler, A., &amp; Pica, G. (2008). Effects of employment protection on worker and job flows:</w:t>
      </w:r>
      <w:r>
        <w:t xml:space="preserve"> </w:t>
      </w:r>
      <w:r>
        <w:t xml:space="preserve">Evidence</w:t>
      </w:r>
      <w:r>
        <w:t xml:space="preserve"> </w:t>
      </w:r>
      <w:r>
        <w:t xml:space="preserve">from the 1990</w:t>
      </w:r>
      <w:r>
        <w:t xml:space="preserve"> </w:t>
      </w:r>
      <w:r>
        <w:t xml:space="preserve">Italian</w:t>
      </w:r>
      <w:r>
        <w:t xml:space="preserve"> </w:t>
      </w:r>
      <w:r>
        <w:t xml:space="preserve">reform.</w:t>
      </w:r>
      <w:r>
        <w:t xml:space="preserve"> </w:t>
      </w:r>
      <w:r>
        <w:rPr>
          <w:iCs/>
          <w:i/>
        </w:rPr>
        <w:t xml:space="preserve">Labour Economics</w:t>
      </w:r>
      <w:r>
        <w:t xml:space="preserve">,</w:t>
      </w:r>
      <w:r>
        <w:t xml:space="preserve"> </w:t>
      </w:r>
      <w:r>
        <w:rPr>
          <w:iCs/>
          <w:i/>
        </w:rPr>
        <w:t xml:space="preserve">15</w:t>
      </w:r>
      <w:r>
        <w:t xml:space="preserve">(1), 78–95.</w:t>
      </w:r>
      <w:r>
        <w:t xml:space="preserve"> </w:t>
      </w:r>
      <w:hyperlink r:id="rId242">
        <w:r>
          <w:rPr>
            <w:rStyle w:val="Hyperlink"/>
          </w:rPr>
          <w:t xml:space="preserve">https://doi.org/10.1016/j.labeco.2006.11.002</w:t>
        </w:r>
      </w:hyperlink>
    </w:p>
    <w:bookmarkEnd w:id="243"/>
    <w:bookmarkStart w:id="245" w:name="ref-laytonChapterCitizensecurity2016"/>
    <w:p>
      <w:pPr>
        <w:pStyle w:val="Bibliography"/>
      </w:pPr>
      <w:r>
        <w:t xml:space="preserve">Layton, M., Rodríguez, M., Moseley, M., &amp; Zizumbo-Colunga, D. (2016). Chapter 3.</w:t>
      </w:r>
      <w:r>
        <w:t xml:space="preserve"> </w:t>
      </w:r>
      <w:r>
        <w:t xml:space="preserve">Citizen</w:t>
      </w:r>
      <w:r>
        <w:t xml:space="preserve"> </w:t>
      </w:r>
      <w:r>
        <w:t xml:space="preserve">security, evaluations of the state, and policy preferences. In E. J. Zechmeister (Ed.),</w:t>
      </w:r>
      <w:r>
        <w:t xml:space="preserve"> </w:t>
      </w:r>
      <w:r>
        <w:rPr>
          <w:iCs/>
          <w:i/>
        </w:rPr>
        <w:t xml:space="preserve">The</w:t>
      </w:r>
      <w:r>
        <w:rPr>
          <w:iCs/>
          <w:i/>
        </w:rPr>
        <w:t xml:space="preserve"> </w:t>
      </w:r>
      <w:r>
        <w:rPr>
          <w:iCs/>
          <w:i/>
        </w:rPr>
        <w:t xml:space="preserve">Political Culture</w:t>
      </w:r>
      <w:r>
        <w:rPr>
          <w:iCs/>
          <w:i/>
        </w:rPr>
        <w:t xml:space="preserve"> </w:t>
      </w:r>
      <w:r>
        <w:rPr>
          <w:iCs/>
          <w:i/>
        </w:rPr>
        <w:t xml:space="preserve">of</w:t>
      </w:r>
      <w:r>
        <w:rPr>
          <w:iCs/>
          <w:i/>
        </w:rPr>
        <w:t xml:space="preserve"> </w:t>
      </w:r>
      <w:r>
        <w:rPr>
          <w:iCs/>
          <w:i/>
        </w:rPr>
        <w:t xml:space="preserve">Democracy</w:t>
      </w:r>
      <w:r>
        <w:rPr>
          <w:iCs/>
          <w:i/>
        </w:rPr>
        <w:t xml:space="preserve"> </w:t>
      </w:r>
      <w:r>
        <w:rPr>
          <w:iCs/>
          <w:i/>
        </w:rPr>
        <w:t xml:space="preserve">in the</w:t>
      </w:r>
      <w:r>
        <w:rPr>
          <w:iCs/>
          <w:i/>
        </w:rPr>
        <w:t xml:space="preserve"> </w:t>
      </w:r>
      <w:r>
        <w:rPr>
          <w:iCs/>
          <w:i/>
        </w:rPr>
        <w:t xml:space="preserve">Americas</w:t>
      </w:r>
      <w:r>
        <w:rPr>
          <w:iCs/>
          <w:i/>
        </w:rPr>
        <w:t xml:space="preserve">, 2014:</w:t>
      </w:r>
      <w:r>
        <w:rPr>
          <w:iCs/>
          <w:i/>
        </w:rPr>
        <w:t xml:space="preserve"> </w:t>
      </w:r>
      <w:r>
        <w:rPr>
          <w:iCs/>
          <w:i/>
        </w:rPr>
        <w:t xml:space="preserve">Democractic Governance</w:t>
      </w:r>
      <w:r>
        <w:rPr>
          <w:iCs/>
          <w:i/>
        </w:rPr>
        <w:t xml:space="preserve"> </w:t>
      </w:r>
      <w:r>
        <w:rPr>
          <w:iCs/>
          <w:i/>
        </w:rPr>
        <w:t xml:space="preserve">across 10</w:t>
      </w:r>
      <w:r>
        <w:rPr>
          <w:iCs/>
          <w:i/>
        </w:rPr>
        <w:t xml:space="preserve"> </w:t>
      </w:r>
      <w:r>
        <w:rPr>
          <w:iCs/>
          <w:i/>
        </w:rPr>
        <w:t xml:space="preserve">Years</w:t>
      </w:r>
      <w:r>
        <w:rPr>
          <w:iCs/>
          <w:i/>
        </w:rPr>
        <w:t xml:space="preserve"> </w:t>
      </w:r>
      <w:r>
        <w:rPr>
          <w:iCs/>
          <w:i/>
        </w:rPr>
        <w:t xml:space="preserve">of the</w:t>
      </w:r>
      <w:r>
        <w:rPr>
          <w:iCs/>
          <w:i/>
        </w:rPr>
        <w:t xml:space="preserve"> </w:t>
      </w:r>
      <w:r>
        <w:rPr>
          <w:iCs/>
          <w:i/>
        </w:rPr>
        <w:t xml:space="preserve">AmericasBarometer</w:t>
      </w:r>
      <w:r>
        <w:t xml:space="preserve"> </w:t>
      </w:r>
      <w:r>
        <w:t xml:space="preserve">(3rd ed., Vol. 1, pp. 73–117). Latin American Public Opinion Project.</w:t>
      </w:r>
      <w:r>
        <w:t xml:space="preserve"> </w:t>
      </w:r>
      <w:hyperlink r:id="rId244">
        <w:r>
          <w:rPr>
            <w:rStyle w:val="Hyperlink"/>
          </w:rPr>
          <w:t xml:space="preserve">https://www.vanderbilt.edu/lapop/ab2014/AB2014_Comparative_Report_English_V3_Updated_040517_W.pdf</w:t>
        </w:r>
      </w:hyperlink>
    </w:p>
    <w:bookmarkEnd w:id="245"/>
    <w:bookmarkStart w:id="247" w:name="ref-lazearJobSecurityProvisions1990"/>
    <w:p>
      <w:pPr>
        <w:pStyle w:val="Bibliography"/>
      </w:pPr>
      <w:r>
        <w:t xml:space="preserve">Lazear, E. P. (1990). Job</w:t>
      </w:r>
      <w:r>
        <w:t xml:space="preserve"> </w:t>
      </w:r>
      <w:r>
        <w:t xml:space="preserve">Security Provisions</w:t>
      </w:r>
      <w:r>
        <w:t xml:space="preserve"> </w:t>
      </w:r>
      <w:r>
        <w:t xml:space="preserve">and</w:t>
      </w:r>
      <w:r>
        <w:t xml:space="preserve"> </w:t>
      </w:r>
      <w:r>
        <w:t xml:space="preserve">Employment</w:t>
      </w:r>
      <w:r>
        <w:t xml:space="preserve">*.</w:t>
      </w:r>
      <w:r>
        <w:t xml:space="preserve"> </w:t>
      </w:r>
      <w:r>
        <w:rPr>
          <w:iCs/>
          <w:i/>
        </w:rPr>
        <w:t xml:space="preserve">The Quarterly Journal of Economics</w:t>
      </w:r>
      <w:r>
        <w:t xml:space="preserve">,</w:t>
      </w:r>
      <w:r>
        <w:t xml:space="preserve"> </w:t>
      </w:r>
      <w:r>
        <w:rPr>
          <w:iCs/>
          <w:i/>
        </w:rPr>
        <w:t xml:space="preserve">105</w:t>
      </w:r>
      <w:r>
        <w:t xml:space="preserve">(3), 699–726.</w:t>
      </w:r>
      <w:r>
        <w:t xml:space="preserve"> </w:t>
      </w:r>
      <w:hyperlink r:id="rId246">
        <w:r>
          <w:rPr>
            <w:rStyle w:val="Hyperlink"/>
          </w:rPr>
          <w:t xml:space="preserve">https://doi.org/10.2307/2937895</w:t>
        </w:r>
      </w:hyperlink>
    </w:p>
    <w:bookmarkEnd w:id="247"/>
    <w:bookmarkStart w:id="248" w:name="ref-leeEducationalContentExclusive2023"/>
    <w:p>
      <w:pPr>
        <w:pStyle w:val="Bibliography"/>
      </w:pPr>
      <w:r>
        <w:t xml:space="preserve">Lee, B. (2023). Educational</w:t>
      </w:r>
      <w:r>
        <w:t xml:space="preserve"> </w:t>
      </w:r>
      <w:r>
        <w:t xml:space="preserve">Content</w:t>
      </w:r>
      <w:r>
        <w:t xml:space="preserve">,</w:t>
      </w:r>
      <w:r>
        <w:t xml:space="preserve"> </w:t>
      </w:r>
      <w:r>
        <w:t xml:space="preserve">Exclusive National Identity</w:t>
      </w:r>
      <w:r>
        <w:t xml:space="preserve">, and</w:t>
      </w:r>
      <w:r>
        <w:t xml:space="preserve"> </w:t>
      </w:r>
      <w:r>
        <w:t xml:space="preserve">Anti-immigrant Attitudes</w:t>
      </w:r>
      <w:r>
        <w:t xml:space="preserve">.</w:t>
      </w:r>
      <w:r>
        <w:t xml:space="preserve"> </w:t>
      </w:r>
      <w:r>
        <w:rPr>
          <w:iCs/>
          <w:i/>
        </w:rPr>
        <w:t xml:space="preserve">The Journal of Politics</w:t>
      </w:r>
      <w:r>
        <w:t xml:space="preserve">,</w:t>
      </w:r>
      <w:r>
        <w:t xml:space="preserve"> </w:t>
      </w:r>
      <w:r>
        <w:rPr>
          <w:iCs/>
          <w:i/>
        </w:rPr>
        <w:t xml:space="preserve">85</w:t>
      </w:r>
      <w:r>
        <w:t xml:space="preserve">(4), 1182–1197.</w:t>
      </w:r>
    </w:p>
    <w:bookmarkEnd w:id="248"/>
    <w:bookmarkStart w:id="250" w:name="Xa746241bd784085f29ae2e246c5ec1badb22c81"/>
    <w:p>
      <w:pPr>
        <w:pStyle w:val="Bibliography"/>
      </w:pPr>
      <w:r>
        <w:t xml:space="preserve">Lepage-Saucier, N., &amp; Wasmer, E. (2016). Does</w:t>
      </w:r>
      <w:r>
        <w:t xml:space="preserve"> </w:t>
      </w:r>
      <w:r>
        <w:t xml:space="preserve">Employment Protection Raise Stress</w:t>
      </w:r>
      <w:r>
        <w:t xml:space="preserve">?</w:t>
      </w:r>
      <w:r>
        <w:t xml:space="preserve"> </w:t>
      </w:r>
      <w:r>
        <w:t xml:space="preserve">A Cross-Country</w:t>
      </w:r>
      <w:r>
        <w:t xml:space="preserve"> </w:t>
      </w:r>
      <w:r>
        <w:t xml:space="preserve">and</w:t>
      </w:r>
      <w:r>
        <w:t xml:space="preserve"> </w:t>
      </w:r>
      <w:r>
        <w:t xml:space="preserve">Cross-Province Analysis</w:t>
      </w:r>
      <w:r>
        <w:t xml:space="preserve">.</w:t>
      </w:r>
      <w:r>
        <w:t xml:space="preserve"> </w:t>
      </w:r>
      <w:r>
        <w:rPr>
          <w:iCs/>
          <w:i/>
        </w:rPr>
        <w:t xml:space="preserve">Journal of Human Capital</w:t>
      </w:r>
      <w:r>
        <w:t xml:space="preserve">,</w:t>
      </w:r>
      <w:r>
        <w:t xml:space="preserve"> </w:t>
      </w:r>
      <w:r>
        <w:rPr>
          <w:iCs/>
          <w:i/>
        </w:rPr>
        <w:t xml:space="preserve">10</w:t>
      </w:r>
      <w:r>
        <w:t xml:space="preserve">(1), 33–66.</w:t>
      </w:r>
      <w:r>
        <w:t xml:space="preserve"> </w:t>
      </w:r>
      <w:hyperlink r:id="rId249">
        <w:r>
          <w:rPr>
            <w:rStyle w:val="Hyperlink"/>
          </w:rPr>
          <w:t xml:space="preserve">https://doi.org/10.1086/684510</w:t>
        </w:r>
      </w:hyperlink>
    </w:p>
    <w:bookmarkEnd w:id="250"/>
    <w:bookmarkStart w:id="252" w:name="ref-leuvenEvaluatingEffectTax2004"/>
    <w:p>
      <w:pPr>
        <w:pStyle w:val="Bibliography"/>
      </w:pPr>
      <w:r>
        <w:t xml:space="preserve">Leuven, E., &amp; Oosterbeek, H. (2004). Evaluating the</w:t>
      </w:r>
      <w:r>
        <w:t xml:space="preserve"> </w:t>
      </w:r>
      <w:r>
        <w:t xml:space="preserve">Effect</w:t>
      </w:r>
      <w:r>
        <w:t xml:space="preserve"> </w:t>
      </w:r>
      <w:r>
        <w:t xml:space="preserve">of</w:t>
      </w:r>
      <w:r>
        <w:t xml:space="preserve"> </w:t>
      </w:r>
      <w:r>
        <w:t xml:space="preserve">Tax Deductions</w:t>
      </w:r>
      <w:r>
        <w:t xml:space="preserve"> </w:t>
      </w:r>
      <w:r>
        <w:t xml:space="preserve">on</w:t>
      </w:r>
      <w:r>
        <w:t xml:space="preserve"> </w:t>
      </w:r>
      <w:r>
        <w:t xml:space="preserve">Training</w:t>
      </w:r>
      <w:r>
        <w:t xml:space="preserve">.</w:t>
      </w:r>
      <w:r>
        <w:t xml:space="preserve"> </w:t>
      </w:r>
      <w:r>
        <w:rPr>
          <w:iCs/>
          <w:i/>
        </w:rPr>
        <w:t xml:space="preserve">Journal of Labor Economics</w:t>
      </w:r>
      <w:r>
        <w:t xml:space="preserve">,</w:t>
      </w:r>
      <w:r>
        <w:t xml:space="preserve"> </w:t>
      </w:r>
      <w:r>
        <w:rPr>
          <w:iCs/>
          <w:i/>
        </w:rPr>
        <w:t xml:space="preserve">22</w:t>
      </w:r>
      <w:r>
        <w:t xml:space="preserve">(2), 461–488.</w:t>
      </w:r>
      <w:r>
        <w:t xml:space="preserve"> </w:t>
      </w:r>
      <w:hyperlink r:id="rId251">
        <w:r>
          <w:rPr>
            <w:rStyle w:val="Hyperlink"/>
          </w:rPr>
          <w:t xml:space="preserve">https://doi.org/10.1086/381257</w:t>
        </w:r>
      </w:hyperlink>
    </w:p>
    <w:bookmarkEnd w:id="252"/>
    <w:bookmarkStart w:id="254" w:name="ref-lewisNoEvidenceDirectional2000"/>
    <w:p>
      <w:pPr>
        <w:pStyle w:val="Bibliography"/>
      </w:pPr>
      <w:r>
        <w:t xml:space="preserve">Lewis, J. B., &amp; King, G. (2000). No</w:t>
      </w:r>
      <w:r>
        <w:t xml:space="preserve"> </w:t>
      </w:r>
      <w:r>
        <w:t xml:space="preserve">Evidence</w:t>
      </w:r>
      <w:r>
        <w:t xml:space="preserve"> </w:t>
      </w:r>
      <w:r>
        <w:t xml:space="preserve">on</w:t>
      </w:r>
      <w:r>
        <w:t xml:space="preserve"> </w:t>
      </w:r>
      <w:r>
        <w:t xml:space="preserve">Directional</w:t>
      </w:r>
      <w:r>
        <w:t xml:space="preserve"> </w:t>
      </w:r>
      <w:r>
        <w:t xml:space="preserve">vs.</w:t>
      </w:r>
      <w:r>
        <w:t xml:space="preserve"> </w:t>
      </w:r>
      <w:r>
        <w:t xml:space="preserve">Proximity Voting</w:t>
      </w:r>
      <w:r>
        <w:t xml:space="preserve">.</w:t>
      </w:r>
      <w:r>
        <w:t xml:space="preserve"> </w:t>
      </w:r>
      <w:r>
        <w:rPr>
          <w:iCs/>
          <w:i/>
        </w:rPr>
        <w:t xml:space="preserve">Political Analysis</w:t>
      </w:r>
      <w:r>
        <w:t xml:space="preserve">,</w:t>
      </w:r>
      <w:r>
        <w:t xml:space="preserve"> </w:t>
      </w:r>
      <w:r>
        <w:rPr>
          <w:iCs/>
          <w:i/>
        </w:rPr>
        <w:t xml:space="preserve">8</w:t>
      </w:r>
      <w:r>
        <w:t xml:space="preserve">(1), 21–33.</w:t>
      </w:r>
      <w:r>
        <w:t xml:space="preserve"> </w:t>
      </w:r>
      <w:hyperlink r:id="rId253">
        <w:r>
          <w:rPr>
            <w:rStyle w:val="Hyperlink"/>
          </w:rPr>
          <w:t xml:space="preserve">https://www.jstor.org/stable/25791594</w:t>
        </w:r>
      </w:hyperlink>
    </w:p>
    <w:bookmarkEnd w:id="254"/>
    <w:bookmarkStart w:id="256" w:name="ref-lewis-beckDoesEconomicsStill2006"/>
    <w:p>
      <w:pPr>
        <w:pStyle w:val="Bibliography"/>
      </w:pPr>
      <w:r>
        <w:t xml:space="preserve">Lewis-Beck, M. S. (2006). Does</w:t>
      </w:r>
      <w:r>
        <w:t xml:space="preserve"> </w:t>
      </w:r>
      <w:r>
        <w:t xml:space="preserve">Economics Still Matter</w:t>
      </w:r>
      <w:r>
        <w:t xml:space="preserve">?</w:t>
      </w:r>
      <w:r>
        <w:t xml:space="preserve"> </w:t>
      </w:r>
      <w:r>
        <w:t xml:space="preserve">Econometrics</w:t>
      </w:r>
      <w:r>
        <w:t xml:space="preserve"> </w:t>
      </w:r>
      <w:r>
        <w:t xml:space="preserve">and the</w:t>
      </w:r>
      <w:r>
        <w:t xml:space="preserve"> </w:t>
      </w:r>
      <w:r>
        <w:t xml:space="preserve">Vote</w:t>
      </w:r>
      <w:r>
        <w:t xml:space="preserve">.</w:t>
      </w:r>
      <w:r>
        <w:t xml:space="preserve"> </w:t>
      </w:r>
      <w:r>
        <w:rPr>
          <w:iCs/>
          <w:i/>
        </w:rPr>
        <w:t xml:space="preserve">The Journal of Politics</w:t>
      </w:r>
      <w:r>
        <w:t xml:space="preserve">,</w:t>
      </w:r>
      <w:r>
        <w:t xml:space="preserve"> </w:t>
      </w:r>
      <w:r>
        <w:rPr>
          <w:iCs/>
          <w:i/>
        </w:rPr>
        <w:t xml:space="preserve">68</w:t>
      </w:r>
      <w:r>
        <w:t xml:space="preserve">(1), 208–212.</w:t>
      </w:r>
      <w:r>
        <w:t xml:space="preserve"> </w:t>
      </w:r>
      <w:hyperlink r:id="rId255">
        <w:r>
          <w:rPr>
            <w:rStyle w:val="Hyperlink"/>
          </w:rPr>
          <w:t xml:space="preserve">https://doi.org/10.1111/j.1468-2508.2006.00381.x</w:t>
        </w:r>
      </w:hyperlink>
    </w:p>
    <w:bookmarkEnd w:id="256"/>
    <w:bookmarkStart w:id="258" w:name="ref-lewis-beckEconomicsPartyVote2008"/>
    <w:p>
      <w:pPr>
        <w:pStyle w:val="Bibliography"/>
      </w:pPr>
      <w:r>
        <w:t xml:space="preserve">Lewis-Beck, M. S., Nadeau, R., &amp; Elias, A. (2008). Economics,</w:t>
      </w:r>
      <w:r>
        <w:t xml:space="preserve"> </w:t>
      </w:r>
      <w:r>
        <w:t xml:space="preserve">Party</w:t>
      </w:r>
      <w:r>
        <w:t xml:space="preserve">, and the</w:t>
      </w:r>
      <w:r>
        <w:t xml:space="preserve"> </w:t>
      </w:r>
      <w:r>
        <w:t xml:space="preserve">Vote</w:t>
      </w:r>
      <w:r>
        <w:t xml:space="preserve">:</w:t>
      </w:r>
      <w:r>
        <w:t xml:space="preserve"> </w:t>
      </w:r>
      <w:r>
        <w:t xml:space="preserve">Causality Issues</w:t>
      </w:r>
      <w:r>
        <w:t xml:space="preserve"> </w:t>
      </w:r>
      <w:r>
        <w:t xml:space="preserve">and</w:t>
      </w:r>
      <w:r>
        <w:t xml:space="preserve"> </w:t>
      </w:r>
      <w:r>
        <w:t xml:space="preserve">Panel Data</w:t>
      </w:r>
      <w:r>
        <w:t xml:space="preserve">.</w:t>
      </w:r>
      <w:r>
        <w:t xml:space="preserve"> </w:t>
      </w:r>
      <w:r>
        <w:rPr>
          <w:iCs/>
          <w:i/>
        </w:rPr>
        <w:t xml:space="preserve">American Journal of Political Science</w:t>
      </w:r>
      <w:r>
        <w:t xml:space="preserve">,</w:t>
      </w:r>
      <w:r>
        <w:t xml:space="preserve"> </w:t>
      </w:r>
      <w:r>
        <w:rPr>
          <w:iCs/>
          <w:i/>
        </w:rPr>
        <w:t xml:space="preserve">52</w:t>
      </w:r>
      <w:r>
        <w:t xml:space="preserve">(1), 84–95.</w:t>
      </w:r>
      <w:r>
        <w:t xml:space="preserve"> </w:t>
      </w:r>
      <w:hyperlink r:id="rId257">
        <w:r>
          <w:rPr>
            <w:rStyle w:val="Hyperlink"/>
          </w:rPr>
          <w:t xml:space="preserve">https://www.jstor.org/stable/25193798</w:t>
        </w:r>
      </w:hyperlink>
    </w:p>
    <w:bookmarkEnd w:id="258"/>
    <w:bookmarkStart w:id="260" w:name="ref-liaoExtremeweatherpolitics2022"/>
    <w:p>
      <w:pPr>
        <w:pStyle w:val="Bibliography"/>
      </w:pPr>
      <w:r>
        <w:t xml:space="preserve">Liao, Y., &amp; Ruiz Junco, P. (2022). Extreme weather and the politics of climate change: A study of campaign finance and elections.</w:t>
      </w:r>
      <w:r>
        <w:t xml:space="preserve"> </w:t>
      </w:r>
      <w:r>
        <w:rPr>
          <w:iCs/>
          <w:i/>
        </w:rPr>
        <w:t xml:space="preserve">Journal of Environmental Economics and Management</w:t>
      </w:r>
      <w:r>
        <w:t xml:space="preserve">,</w:t>
      </w:r>
      <w:r>
        <w:t xml:space="preserve"> </w:t>
      </w:r>
      <w:r>
        <w:rPr>
          <w:iCs/>
          <w:i/>
        </w:rPr>
        <w:t xml:space="preserve">111</w:t>
      </w:r>
      <w:r>
        <w:t xml:space="preserve">, 102550.</w:t>
      </w:r>
      <w:r>
        <w:t xml:space="preserve"> </w:t>
      </w:r>
      <w:hyperlink r:id="rId259">
        <w:r>
          <w:rPr>
            <w:rStyle w:val="Hyperlink"/>
          </w:rPr>
          <w:t xml:space="preserve">https://doi.org/10.1016/j.jeem.2021.102550</w:t>
        </w:r>
      </w:hyperlink>
    </w:p>
    <w:bookmarkEnd w:id="260"/>
    <w:bookmarkStart w:id="262" w:name="ref-ListContributors2013"/>
    <w:p>
      <w:pPr>
        <w:pStyle w:val="Bibliography"/>
      </w:pPr>
      <w:r>
        <w:t xml:space="preserve">List of</w:t>
      </w:r>
      <w:r>
        <w:t xml:space="preserve"> </w:t>
      </w:r>
      <w:r>
        <w:t xml:space="preserve">Contributors</w:t>
      </w:r>
      <w:r>
        <w:t xml:space="preserve">. (2013). In</w:t>
      </w:r>
      <w:r>
        <w:t xml:space="preserve"> </w:t>
      </w:r>
      <w:r>
        <w:rPr>
          <w:iCs/>
          <w:i/>
        </w:rPr>
        <w:t xml:space="preserve">Handbook of</w:t>
      </w:r>
      <w:r>
        <w:rPr>
          <w:iCs/>
          <w:i/>
        </w:rPr>
        <w:t xml:space="preserve"> </w:t>
      </w:r>
      <w:r>
        <w:rPr>
          <w:iCs/>
          <w:i/>
        </w:rPr>
        <w:t xml:space="preserve">Public Economics</w:t>
      </w:r>
      <w:r>
        <w:t xml:space="preserve"> </w:t>
      </w:r>
      <w:r>
        <w:t xml:space="preserve">(Vol. 5, p. xiii). Elsevier.</w:t>
      </w:r>
      <w:r>
        <w:t xml:space="preserve"> </w:t>
      </w:r>
      <w:hyperlink r:id="rId261">
        <w:r>
          <w:rPr>
            <w:rStyle w:val="Hyperlink"/>
          </w:rPr>
          <w:t xml:space="preserve">https://doi.org/10.1016/B978-0-444-53759-1.00014-5</w:t>
        </w:r>
      </w:hyperlink>
    </w:p>
    <w:bookmarkEnd w:id="262"/>
    <w:bookmarkStart w:id="264" w:name="ref-loewenWantNailNegative2011"/>
    <w:p>
      <w:pPr>
        <w:pStyle w:val="Bibliography"/>
      </w:pPr>
      <w:r>
        <w:t xml:space="preserve">Loewen, P. J., &amp; Rubenson, D. (2011). For want of a nail:</w:t>
      </w:r>
      <w:r>
        <w:t xml:space="preserve"> </w:t>
      </w:r>
      <w:r>
        <w:t xml:space="preserve">Negative</w:t>
      </w:r>
      <w:r>
        <w:t xml:space="preserve"> </w:t>
      </w:r>
      <w:r>
        <w:t xml:space="preserve">persuasion in a party leadership race.</w:t>
      </w:r>
      <w:r>
        <w:t xml:space="preserve"> </w:t>
      </w:r>
      <w:r>
        <w:rPr>
          <w:iCs/>
          <w:i/>
        </w:rPr>
        <w:t xml:space="preserve">Party Politics</w:t>
      </w:r>
      <w:r>
        <w:t xml:space="preserve">,</w:t>
      </w:r>
      <w:r>
        <w:t xml:space="preserve"> </w:t>
      </w:r>
      <w:r>
        <w:rPr>
          <w:iCs/>
          <w:i/>
        </w:rPr>
        <w:t xml:space="preserve">17</w:t>
      </w:r>
      <w:r>
        <w:t xml:space="preserve">(1), 45–65.</w:t>
      </w:r>
      <w:r>
        <w:t xml:space="preserve"> </w:t>
      </w:r>
      <w:hyperlink r:id="rId263">
        <w:r>
          <w:rPr>
            <w:rStyle w:val="Hyperlink"/>
          </w:rPr>
          <w:t xml:space="preserve">https://doi.org/10.1177/1354068810372564</w:t>
        </w:r>
      </w:hyperlink>
    </w:p>
    <w:bookmarkEnd w:id="264"/>
    <w:bookmarkStart w:id="266" w:name="ref-loewenHelpMeHelp2010"/>
    <w:p>
      <w:pPr>
        <w:pStyle w:val="Bibliography"/>
      </w:pPr>
      <w:r>
        <w:t xml:space="preserve">Loewen, P. J., Rubenson, D., &amp; Wantchekon, L. (2010). Help</w:t>
      </w:r>
      <w:r>
        <w:t xml:space="preserve"> </w:t>
      </w:r>
      <w:r>
        <w:t xml:space="preserve">Me Help You</w:t>
      </w:r>
      <w:r>
        <w:t xml:space="preserve">:</w:t>
      </w:r>
      <w:r>
        <w:t xml:space="preserve"> </w:t>
      </w:r>
      <w:r>
        <w:t xml:space="preserve">Conducting Field Experiments</w:t>
      </w:r>
      <w:r>
        <w:t xml:space="preserve"> </w:t>
      </w:r>
      <w:r>
        <w:t xml:space="preserve">with</w:t>
      </w:r>
      <w:r>
        <w:t xml:space="preserve"> </w:t>
      </w:r>
      <w:r>
        <w:t xml:space="preserve">Political Elites</w:t>
      </w:r>
      <w:r>
        <w:t xml:space="preserve">.</w:t>
      </w:r>
      <w:r>
        <w:t xml:space="preserve"> </w:t>
      </w:r>
      <w:r>
        <w:rPr>
          <w:iCs/>
          <w:i/>
        </w:rPr>
        <w:t xml:space="preserve">The ANNALS of the American Academy of Political and Social Science</w:t>
      </w:r>
      <w:r>
        <w:t xml:space="preserve">,</w:t>
      </w:r>
      <w:r>
        <w:t xml:space="preserve"> </w:t>
      </w:r>
      <w:r>
        <w:rPr>
          <w:iCs/>
          <w:i/>
        </w:rPr>
        <w:t xml:space="preserve">628</w:t>
      </w:r>
      <w:r>
        <w:t xml:space="preserve">(1), 165–175.</w:t>
      </w:r>
      <w:r>
        <w:t xml:space="preserve"> </w:t>
      </w:r>
      <w:hyperlink r:id="rId265">
        <w:r>
          <w:rPr>
            <w:rStyle w:val="Hyperlink"/>
          </w:rPr>
          <w:t xml:space="preserve">https://doi.org/10.1177/0002716209351522</w:t>
        </w:r>
      </w:hyperlink>
    </w:p>
    <w:bookmarkEnd w:id="266"/>
    <w:bookmarkStart w:id="268" w:name="ref-lucasDoeslifeseem2013"/>
    <w:p>
      <w:pPr>
        <w:pStyle w:val="Bibliography"/>
      </w:pPr>
      <w:r>
        <w:t xml:space="preserve">Lucas, R. E., &amp; Lawless, N. M. (2013). Does life seem better on a sunny day?</w:t>
      </w:r>
      <w:r>
        <w:t xml:space="preserve"> </w:t>
      </w:r>
      <w:r>
        <w:t xml:space="preserve">Examining</w:t>
      </w:r>
      <w:r>
        <w:t xml:space="preserve"> </w:t>
      </w:r>
      <w:r>
        <w:t xml:space="preserve">the association between daily weather conditions and life satisfaction judgments.</w:t>
      </w:r>
      <w:r>
        <w:t xml:space="preserve"> </w:t>
      </w:r>
      <w:r>
        <w:rPr>
          <w:iCs/>
          <w:i/>
        </w:rPr>
        <w:t xml:space="preserve">Journal of Personality and Social Psychology</w:t>
      </w:r>
      <w:r>
        <w:t xml:space="preserve">,</w:t>
      </w:r>
      <w:r>
        <w:t xml:space="preserve"> </w:t>
      </w:r>
      <w:r>
        <w:rPr>
          <w:iCs/>
          <w:i/>
        </w:rPr>
        <w:t xml:space="preserve">104</w:t>
      </w:r>
      <w:r>
        <w:t xml:space="preserve">(5), 872–884.</w:t>
      </w:r>
      <w:r>
        <w:t xml:space="preserve"> </w:t>
      </w:r>
      <w:hyperlink r:id="rId267">
        <w:r>
          <w:rPr>
            <w:rStyle w:val="Hyperlink"/>
          </w:rPr>
          <w:t xml:space="preserve">https://doi.org/10.1037/a0032124</w:t>
        </w:r>
      </w:hyperlink>
    </w:p>
    <w:bookmarkEnd w:id="268"/>
    <w:bookmarkStart w:id="270" w:name="ref-macdonaldIssuesPartySupport1991"/>
    <w:p>
      <w:pPr>
        <w:pStyle w:val="Bibliography"/>
      </w:pPr>
      <w:r>
        <w:t xml:space="preserve">MacDonald, S. E., Listhaug, O., &amp; Rabinowitz, G. (1991). Issues and</w:t>
      </w:r>
      <w:r>
        <w:t xml:space="preserve"> </w:t>
      </w:r>
      <w:r>
        <w:t xml:space="preserve">Party Support</w:t>
      </w:r>
      <w:r>
        <w:t xml:space="preserve"> </w:t>
      </w:r>
      <w:r>
        <w:t xml:space="preserve">in</w:t>
      </w:r>
      <w:r>
        <w:t xml:space="preserve"> </w:t>
      </w:r>
      <w:r>
        <w:t xml:space="preserve">Multiparty Systems</w:t>
      </w:r>
      <w:r>
        <w:t xml:space="preserve">.</w:t>
      </w:r>
      <w:r>
        <w:t xml:space="preserve"> </w:t>
      </w:r>
      <w:r>
        <w:rPr>
          <w:iCs/>
          <w:i/>
        </w:rPr>
        <w:t xml:space="preserve">The American Political Science Review</w:t>
      </w:r>
      <w:r>
        <w:t xml:space="preserve">,</w:t>
      </w:r>
      <w:r>
        <w:t xml:space="preserve"> </w:t>
      </w:r>
      <w:r>
        <w:rPr>
          <w:iCs/>
          <w:i/>
        </w:rPr>
        <w:t xml:space="preserve">85</w:t>
      </w:r>
      <w:r>
        <w:t xml:space="preserve">(4), 1107–1131.</w:t>
      </w:r>
      <w:r>
        <w:t xml:space="preserve"> </w:t>
      </w:r>
      <w:hyperlink r:id="rId269">
        <w:r>
          <w:rPr>
            <w:rStyle w:val="Hyperlink"/>
          </w:rPr>
          <w:t xml:space="preserve">https://doi.org/10.2307/1963938</w:t>
        </w:r>
      </w:hyperlink>
    </w:p>
    <w:bookmarkEnd w:id="270"/>
    <w:bookmarkStart w:id="272" w:name="ref-manningElusiveEmploymentEffect2021"/>
    <w:p>
      <w:pPr>
        <w:pStyle w:val="Bibliography"/>
      </w:pPr>
      <w:r>
        <w:t xml:space="preserve">Manning, A. (2021). The</w:t>
      </w:r>
      <w:r>
        <w:t xml:space="preserve"> </w:t>
      </w:r>
      <w:r>
        <w:t xml:space="preserve">Elusive Employment Effect</w:t>
      </w:r>
      <w:r>
        <w:t xml:space="preserve"> </w:t>
      </w:r>
      <w:r>
        <w:t xml:space="preserve">of the</w:t>
      </w:r>
      <w:r>
        <w:t xml:space="preserve"> </w:t>
      </w:r>
      <w:r>
        <w:t xml:space="preserve">Minimum Wage</w:t>
      </w:r>
      <w:r>
        <w:t xml:space="preserve">.</w:t>
      </w:r>
      <w:r>
        <w:t xml:space="preserve"> </w:t>
      </w:r>
      <w:r>
        <w:rPr>
          <w:iCs/>
          <w:i/>
        </w:rPr>
        <w:t xml:space="preserve">Journal of Economic Perspectives</w:t>
      </w:r>
      <w:r>
        <w:t xml:space="preserve">,</w:t>
      </w:r>
      <w:r>
        <w:t xml:space="preserve"> </w:t>
      </w:r>
      <w:r>
        <w:rPr>
          <w:iCs/>
          <w:i/>
        </w:rPr>
        <w:t xml:space="preserve">35</w:t>
      </w:r>
      <w:r>
        <w:t xml:space="preserve">(1), 3–26.</w:t>
      </w:r>
      <w:r>
        <w:t xml:space="preserve"> </w:t>
      </w:r>
      <w:hyperlink r:id="rId271">
        <w:r>
          <w:rPr>
            <w:rStyle w:val="Hyperlink"/>
          </w:rPr>
          <w:t xml:space="preserve">https://doi.org/10.1257/jep.35.1.3</w:t>
        </w:r>
      </w:hyperlink>
    </w:p>
    <w:bookmarkEnd w:id="272"/>
    <w:bookmarkStart w:id="274" w:name="ref-mansfieldeffectstaxcredits1985"/>
    <w:p>
      <w:pPr>
        <w:pStyle w:val="Bibliography"/>
      </w:pPr>
      <w:r>
        <w:t xml:space="preserve">Mansfield, E., &amp; Switzer, L. (1985). The effects of</w:t>
      </w:r>
      <w:r>
        <w:t xml:space="preserve"> </w:t>
      </w:r>
      <w:r>
        <w:t xml:space="preserve">R</w:t>
      </w:r>
      <w:r>
        <w:t xml:space="preserve">&amp;</w:t>
      </w:r>
      <w:r>
        <w:t xml:space="preserve">D</w:t>
      </w:r>
      <w:r>
        <w:t xml:space="preserve"> </w:t>
      </w:r>
      <w:r>
        <w:t xml:space="preserve">tax credits and allowances in</w:t>
      </w:r>
      <w:r>
        <w:t xml:space="preserve"> </w:t>
      </w:r>
      <w:r>
        <w:t xml:space="preserve">Canada</w:t>
      </w:r>
      <w:r>
        <w:t xml:space="preserve">.</w:t>
      </w:r>
      <w:r>
        <w:t xml:space="preserve"> </w:t>
      </w:r>
      <w:r>
        <w:rPr>
          <w:iCs/>
          <w:i/>
        </w:rPr>
        <w:t xml:space="preserve">Research Policy</w:t>
      </w:r>
      <w:r>
        <w:t xml:space="preserve">,</w:t>
      </w:r>
      <w:r>
        <w:t xml:space="preserve"> </w:t>
      </w:r>
      <w:r>
        <w:rPr>
          <w:iCs/>
          <w:i/>
        </w:rPr>
        <w:t xml:space="preserve">14</w:t>
      </w:r>
      <w:r>
        <w:t xml:space="preserve">(2), 97–107.</w:t>
      </w:r>
      <w:r>
        <w:t xml:space="preserve"> </w:t>
      </w:r>
      <w:hyperlink r:id="rId273">
        <w:r>
          <w:rPr>
            <w:rStyle w:val="Hyperlink"/>
          </w:rPr>
          <w:t xml:space="preserve">https://doi.org/10.1016/0048-7333(85)90017-4</w:t>
        </w:r>
      </w:hyperlink>
    </w:p>
    <w:bookmarkEnd w:id="274"/>
    <w:bookmarkStart w:id="275" w:name="ref-maydaWhoImmigrationCrossCountry2006"/>
    <w:p>
      <w:pPr>
        <w:pStyle w:val="Bibliography"/>
      </w:pPr>
      <w:r>
        <w:t xml:space="preserve">Mayda, A. M. (2006). Who</w:t>
      </w:r>
      <w:r>
        <w:t xml:space="preserve"> </w:t>
      </w:r>
      <w:r>
        <w:t xml:space="preserve">Is</w:t>
      </w:r>
      <w:r>
        <w:t xml:space="preserve"> </w:t>
      </w:r>
      <w:r>
        <w:t xml:space="preserve">against</w:t>
      </w:r>
      <w:r>
        <w:t xml:space="preserve"> </w:t>
      </w:r>
      <w:r>
        <w:t xml:space="preserve">Immigration</w:t>
      </w:r>
      <w:r>
        <w:t xml:space="preserve">?</w:t>
      </w:r>
      <w:r>
        <w:t xml:space="preserve"> </w:t>
      </w:r>
      <w:r>
        <w:t xml:space="preserve">A Cross-Country Investigation</w:t>
      </w:r>
      <w:r>
        <w:t xml:space="preserve"> </w:t>
      </w:r>
      <w:r>
        <w:t xml:space="preserve">of</w:t>
      </w:r>
      <w:r>
        <w:t xml:space="preserve"> </w:t>
      </w:r>
      <w:r>
        <w:t xml:space="preserve">Individual Attitudes</w:t>
      </w:r>
      <w:r>
        <w:t xml:space="preserve"> </w:t>
      </w:r>
      <w:r>
        <w:t xml:space="preserve">toward</w:t>
      </w:r>
      <w:r>
        <w:t xml:space="preserve"> </w:t>
      </w:r>
      <w:r>
        <w:t xml:space="preserve">Immigrants</w:t>
      </w:r>
      <w:r>
        <w:t xml:space="preserve">.</w:t>
      </w:r>
      <w:r>
        <w:t xml:space="preserve"> </w:t>
      </w:r>
      <w:r>
        <w:rPr>
          <w:iCs/>
          <w:i/>
        </w:rPr>
        <w:t xml:space="preserve">The Review of Economics and Statistics</w:t>
      </w:r>
      <w:r>
        <w:t xml:space="preserve">,</w:t>
      </w:r>
      <w:r>
        <w:t xml:space="preserve"> </w:t>
      </w:r>
      <w:r>
        <w:rPr>
          <w:iCs/>
          <w:i/>
        </w:rPr>
        <w:t xml:space="preserve">88</w:t>
      </w:r>
      <w:r>
        <w:t xml:space="preserve">(3), 510–530.</w:t>
      </w:r>
    </w:p>
    <w:bookmarkEnd w:id="275"/>
    <w:bookmarkStart w:id="277" w:name="ref-mckeeMinimumWageEffects1984"/>
    <w:p>
      <w:pPr>
        <w:pStyle w:val="Bibliography"/>
      </w:pPr>
      <w:r>
        <w:t xml:space="preserve">McKEE, M., &amp; West, E. G. (1984). Minimum</w:t>
      </w:r>
      <w:r>
        <w:t xml:space="preserve"> </w:t>
      </w:r>
      <w:r>
        <w:t xml:space="preserve">Wage Effects</w:t>
      </w:r>
      <w:r>
        <w:t xml:space="preserve"> </w:t>
      </w:r>
      <w:r>
        <w:t xml:space="preserve">on</w:t>
      </w:r>
      <w:r>
        <w:t xml:space="preserve"> </w:t>
      </w:r>
      <w:r>
        <w:t xml:space="preserve">Part-Time Employment</w:t>
      </w:r>
      <w:r>
        <w:t xml:space="preserve">.</w:t>
      </w:r>
      <w:r>
        <w:t xml:space="preserve"> </w:t>
      </w:r>
      <w:r>
        <w:rPr>
          <w:iCs/>
          <w:i/>
        </w:rPr>
        <w:t xml:space="preserve">Economic Inquiry</w:t>
      </w:r>
      <w:r>
        <w:t xml:space="preserve">,</w:t>
      </w:r>
      <w:r>
        <w:t xml:space="preserve"> </w:t>
      </w:r>
      <w:r>
        <w:rPr>
          <w:iCs/>
          <w:i/>
        </w:rPr>
        <w:t xml:space="preserve">22</w:t>
      </w:r>
      <w:r>
        <w:t xml:space="preserve">(3), 421–428.</w:t>
      </w:r>
      <w:r>
        <w:t xml:space="preserve"> </w:t>
      </w:r>
      <w:hyperlink r:id="rId276">
        <w:r>
          <w:rPr>
            <w:rStyle w:val="Hyperlink"/>
          </w:rPr>
          <w:t xml:space="preserve">https://doi.org/10.1111/j.1465-7295.1984.tb00696.x</w:t>
        </w:r>
      </w:hyperlink>
    </w:p>
    <w:bookmarkEnd w:id="277"/>
    <w:bookmarkStart w:id="278" w:name="ref-merryTracingUSDeficit2013"/>
    <w:p>
      <w:pPr>
        <w:pStyle w:val="Bibliography"/>
      </w:pPr>
      <w:r>
        <w:t xml:space="preserve">Merry, J. J. (2013). Tracing the</w:t>
      </w:r>
      <w:r>
        <w:t xml:space="preserve"> </w:t>
      </w:r>
      <w:r>
        <w:t xml:space="preserve">US</w:t>
      </w:r>
      <w:r>
        <w:t xml:space="preserve"> </w:t>
      </w:r>
      <w:r>
        <w:t xml:space="preserve">deficit in</w:t>
      </w:r>
      <w:r>
        <w:t xml:space="preserve"> </w:t>
      </w:r>
      <w:r>
        <w:t xml:space="preserve">PISA</w:t>
      </w:r>
      <w:r>
        <w:t xml:space="preserve"> </w:t>
      </w:r>
      <w:r>
        <w:t xml:space="preserve">reading skills to early childhood:</w:t>
      </w:r>
      <w:r>
        <w:t xml:space="preserve"> </w:t>
      </w:r>
      <w:r>
        <w:t xml:space="preserve">Evidence</w:t>
      </w:r>
      <w:r>
        <w:t xml:space="preserve"> </w:t>
      </w:r>
      <w:r>
        <w:t xml:space="preserve">from the</w:t>
      </w:r>
      <w:r>
        <w:t xml:space="preserve"> </w:t>
      </w:r>
      <w:r>
        <w:t xml:space="preserve">United States</w:t>
      </w:r>
      <w:r>
        <w:t xml:space="preserve"> </w:t>
      </w:r>
      <w:r>
        <w:t xml:space="preserve">and</w:t>
      </w:r>
      <w:r>
        <w:t xml:space="preserve"> </w:t>
      </w:r>
      <w:r>
        <w:t xml:space="preserve">Canada</w:t>
      </w:r>
      <w:r>
        <w:t xml:space="preserve">.</w:t>
      </w:r>
      <w:r>
        <w:t xml:space="preserve"> </w:t>
      </w:r>
      <w:r>
        <w:rPr>
          <w:iCs/>
          <w:i/>
        </w:rPr>
        <w:t xml:space="preserve">Sociology of Education</w:t>
      </w:r>
      <w:r>
        <w:t xml:space="preserve">,</w:t>
      </w:r>
      <w:r>
        <w:t xml:space="preserve"> </w:t>
      </w:r>
      <w:r>
        <w:rPr>
          <w:iCs/>
          <w:i/>
        </w:rPr>
        <w:t xml:space="preserve">86</w:t>
      </w:r>
      <w:r>
        <w:t xml:space="preserve">(3), 234–252.</w:t>
      </w:r>
    </w:p>
    <w:bookmarkEnd w:id="278"/>
    <w:bookmarkStart w:id="280" w:name="ref-metal-exposureInterviewEpicaMark2021"/>
    <w:p>
      <w:pPr>
        <w:pStyle w:val="Bibliography"/>
      </w:pPr>
      <w:r>
        <w:t xml:space="preserve">Metal-Exposure. (2021, March 23).</w:t>
      </w:r>
      <w:r>
        <w:t xml:space="preserve"> </w:t>
      </w:r>
      <w:r>
        <w:rPr>
          <w:iCs/>
          <w:i/>
        </w:rPr>
        <w:t xml:space="preserve">Interview</w:t>
      </w:r>
      <w:r>
        <w:rPr>
          <w:iCs/>
          <w:i/>
        </w:rPr>
        <w:t xml:space="preserve"> </w:t>
      </w:r>
      <w:r>
        <w:rPr>
          <w:iCs/>
          <w:i/>
        </w:rPr>
        <w:t xml:space="preserve">Epica</w:t>
      </w:r>
      <w:r>
        <w:rPr>
          <w:iCs/>
          <w:i/>
        </w:rPr>
        <w:t xml:space="preserve"> </w:t>
      </w:r>
      <w:r>
        <w:rPr>
          <w:iCs/>
          <w:i/>
        </w:rPr>
        <w:t xml:space="preserve">-</w:t>
      </w:r>
      <w:r>
        <w:rPr>
          <w:iCs/>
          <w:i/>
        </w:rPr>
        <w:t xml:space="preserve"> </w:t>
      </w:r>
      <w:r>
        <w:rPr>
          <w:iCs/>
          <w:i/>
        </w:rPr>
        <w:t xml:space="preserve">Mark Jansen</w:t>
      </w:r>
      <w:r>
        <w:rPr>
          <w:iCs/>
          <w:i/>
        </w:rPr>
        <w:t xml:space="preserve">: The</w:t>
      </w:r>
      <w:r>
        <w:rPr>
          <w:iCs/>
          <w:i/>
        </w:rPr>
        <w:t xml:space="preserve"> </w:t>
      </w:r>
      <w:r>
        <w:rPr>
          <w:iCs/>
          <w:i/>
        </w:rPr>
        <w:t xml:space="preserve">Omega Point</w:t>
      </w:r>
      <w:r>
        <w:rPr>
          <w:iCs/>
          <w:i/>
        </w:rPr>
        <w:t xml:space="preserve">, science and taking ice baths</w:t>
      </w:r>
      <w:r>
        <w:t xml:space="preserve">. Metal-Exposure.</w:t>
      </w:r>
      <w:r>
        <w:t xml:space="preserve"> </w:t>
      </w:r>
      <w:hyperlink r:id="rId279">
        <w:r>
          <w:rPr>
            <w:rStyle w:val="Hyperlink"/>
          </w:rPr>
          <w:t xml:space="preserve">https://metal-exposure.com/interview-epica-mark-jansen-the-omega-point-science-and-ice-baths/</w:t>
        </w:r>
      </w:hyperlink>
    </w:p>
    <w:bookmarkEnd w:id="280"/>
    <w:bookmarkStart w:id="282" w:name="ref-milliganChildTaxBenefits2011"/>
    <w:p>
      <w:pPr>
        <w:pStyle w:val="Bibliography"/>
      </w:pPr>
      <w:r>
        <w:t xml:space="preserve">Milligan, K., &amp; Stabile, M. (2011). Do</w:t>
      </w:r>
      <w:r>
        <w:t xml:space="preserve"> </w:t>
      </w:r>
      <w:r>
        <w:t xml:space="preserve">Child Tax Benefits Affect</w:t>
      </w:r>
      <w:r>
        <w:t xml:space="preserve"> </w:t>
      </w:r>
      <w:r>
        <w:t xml:space="preserve">the</w:t>
      </w:r>
      <w:r>
        <w:t xml:space="preserve"> </w:t>
      </w:r>
      <w:r>
        <w:t xml:space="preserve">Well-Being</w:t>
      </w:r>
      <w:r>
        <w:t xml:space="preserve"> </w:t>
      </w:r>
      <w:r>
        <w:t xml:space="preserve">of</w:t>
      </w:r>
      <w:r>
        <w:t xml:space="preserve"> </w:t>
      </w:r>
      <w:r>
        <w:t xml:space="preserve">Children</w:t>
      </w:r>
      <w:r>
        <w:t xml:space="preserve">?</w:t>
      </w:r>
      <w:r>
        <w:t xml:space="preserve"> </w:t>
      </w:r>
      <w:r>
        <w:t xml:space="preserve">Evidence</w:t>
      </w:r>
      <w:r>
        <w:t xml:space="preserve"> </w:t>
      </w:r>
      <w:r>
        <w:t xml:space="preserve">from</w:t>
      </w:r>
      <w:r>
        <w:t xml:space="preserve"> </w:t>
      </w:r>
      <w:r>
        <w:t xml:space="preserve">Canadian Child Benefit Expansions</w:t>
      </w:r>
      <w:r>
        <w:t xml:space="preserve">.</w:t>
      </w:r>
      <w:r>
        <w:t xml:space="preserve"> </w:t>
      </w:r>
      <w:r>
        <w:rPr>
          <w:iCs/>
          <w:i/>
        </w:rPr>
        <w:t xml:space="preserve">American Economic Journal: Economic Policy</w:t>
      </w:r>
      <w:r>
        <w:t xml:space="preserve">,</w:t>
      </w:r>
      <w:r>
        <w:t xml:space="preserve"> </w:t>
      </w:r>
      <w:r>
        <w:rPr>
          <w:iCs/>
          <w:i/>
        </w:rPr>
        <w:t xml:space="preserve">3</w:t>
      </w:r>
      <w:r>
        <w:t xml:space="preserve">(3), 175–205.</w:t>
      </w:r>
      <w:r>
        <w:t xml:space="preserve"> </w:t>
      </w:r>
      <w:hyperlink r:id="rId281">
        <w:r>
          <w:rPr>
            <w:rStyle w:val="Hyperlink"/>
          </w:rPr>
          <w:t xml:space="preserve">https://doi.org/10.1257/pol.3.3.175</w:t>
        </w:r>
      </w:hyperlink>
    </w:p>
    <w:bookmarkEnd w:id="282"/>
    <w:bookmarkStart w:id="284" w:name="Xa053ceac1d33949aa080ee51c13b1baf58fb5f3"/>
    <w:p>
      <w:pPr>
        <w:pStyle w:val="Bibliography"/>
      </w:pPr>
      <w:r>
        <w:t xml:space="preserve">Moncagatta, P., &amp; Poveda, A. E. (2020). The politicization of citizens and ideological polarization in</w:t>
      </w:r>
      <w:r>
        <w:t xml:space="preserve"> </w:t>
      </w:r>
      <w:r>
        <w:t xml:space="preserve">Ecuador</w:t>
      </w:r>
      <w:r>
        <w:t xml:space="preserve">. In J. C. Donoso, P. Moncagatta, A. Moscoso, S. Pachano, J. D. Montalvo, &amp; E. J. Zechmeister (Eds.),</w:t>
      </w:r>
      <w:r>
        <w:t xml:space="preserve"> </w:t>
      </w:r>
      <w:r>
        <w:rPr>
          <w:iCs/>
          <w:i/>
        </w:rPr>
        <w:t xml:space="preserve">The</w:t>
      </w:r>
      <w:r>
        <w:rPr>
          <w:iCs/>
          <w:i/>
        </w:rPr>
        <w:t xml:space="preserve"> </w:t>
      </w:r>
      <w:r>
        <w:rPr>
          <w:iCs/>
          <w:i/>
        </w:rPr>
        <w:t xml:space="preserve">Political Culture</w:t>
      </w:r>
      <w:r>
        <w:rPr>
          <w:iCs/>
          <w:i/>
        </w:rPr>
        <w:t xml:space="preserve"> </w:t>
      </w:r>
      <w:r>
        <w:rPr>
          <w:iCs/>
          <w:i/>
        </w:rPr>
        <w:t xml:space="preserve">of</w:t>
      </w:r>
      <w:r>
        <w:rPr>
          <w:iCs/>
          <w:i/>
        </w:rPr>
        <w:t xml:space="preserve"> </w:t>
      </w:r>
      <w:r>
        <w:rPr>
          <w:iCs/>
          <w:i/>
        </w:rPr>
        <w:t xml:space="preserve">Democracy</w:t>
      </w:r>
      <w:r>
        <w:rPr>
          <w:iCs/>
          <w:i/>
        </w:rPr>
        <w:t xml:space="preserve"> </w:t>
      </w:r>
      <w:r>
        <w:rPr>
          <w:iCs/>
          <w:i/>
        </w:rPr>
        <w:t xml:space="preserve">in</w:t>
      </w:r>
      <w:r>
        <w:rPr>
          <w:iCs/>
          <w:i/>
        </w:rPr>
        <w:t xml:space="preserve"> </w:t>
      </w:r>
      <w:r>
        <w:rPr>
          <w:iCs/>
          <w:i/>
        </w:rPr>
        <w:t xml:space="preserve">Ecuador</w:t>
      </w:r>
      <w:r>
        <w:rPr>
          <w:iCs/>
          <w:i/>
        </w:rPr>
        <w:t xml:space="preserve"> </w:t>
      </w:r>
      <w:r>
        <w:rPr>
          <w:iCs/>
          <w:i/>
        </w:rPr>
        <w:t xml:space="preserve">and in the</w:t>
      </w:r>
      <w:r>
        <w:rPr>
          <w:iCs/>
          <w:i/>
        </w:rPr>
        <w:t xml:space="preserve"> </w:t>
      </w:r>
      <w:r>
        <w:rPr>
          <w:iCs/>
          <w:i/>
        </w:rPr>
        <w:t xml:space="preserve">Americas</w:t>
      </w:r>
      <w:r>
        <w:rPr>
          <w:iCs/>
          <w:i/>
        </w:rPr>
        <w:t xml:space="preserve">, 2018/19:</w:t>
      </w:r>
      <w:r>
        <w:rPr>
          <w:iCs/>
          <w:i/>
        </w:rPr>
        <w:t xml:space="preserve"> </w:t>
      </w:r>
      <w:r>
        <w:rPr>
          <w:iCs/>
          <w:i/>
        </w:rPr>
        <w:t xml:space="preserve">Taking</w:t>
      </w:r>
      <w:r>
        <w:rPr>
          <w:iCs/>
          <w:i/>
        </w:rPr>
        <w:t xml:space="preserve"> </w:t>
      </w:r>
      <w:r>
        <w:rPr>
          <w:iCs/>
          <w:i/>
        </w:rPr>
        <w:t xml:space="preserve">the</w:t>
      </w:r>
      <w:r>
        <w:rPr>
          <w:iCs/>
          <w:i/>
        </w:rPr>
        <w:t xml:space="preserve"> </w:t>
      </w:r>
      <w:r>
        <w:rPr>
          <w:iCs/>
          <w:i/>
        </w:rPr>
        <w:t xml:space="preserve">Pulse</w:t>
      </w:r>
      <w:r>
        <w:rPr>
          <w:iCs/>
          <w:i/>
        </w:rPr>
        <w:t xml:space="preserve"> </w:t>
      </w:r>
      <w:r>
        <w:rPr>
          <w:iCs/>
          <w:i/>
        </w:rPr>
        <w:t xml:space="preserve">of</w:t>
      </w:r>
      <w:r>
        <w:rPr>
          <w:iCs/>
          <w:i/>
        </w:rPr>
        <w:t xml:space="preserve"> </w:t>
      </w:r>
      <w:r>
        <w:rPr>
          <w:iCs/>
          <w:i/>
        </w:rPr>
        <w:t xml:space="preserve">Democracy</w:t>
      </w:r>
      <w:r>
        <w:t xml:space="preserve"> </w:t>
      </w:r>
      <w:r>
        <w:t xml:space="preserve">(1st ed., Vol. 1, pp. 73–88). Latin American Public Opinion Project.</w:t>
      </w:r>
      <w:r>
        <w:t xml:space="preserve"> </w:t>
      </w:r>
      <w:hyperlink r:id="rId283">
        <w:r>
          <w:rPr>
            <w:rStyle w:val="Hyperlink"/>
          </w:rPr>
          <w:t xml:space="preserve">https://www.vanderbilt.edu/lapop/ecuador/AB2018-19-Ecuador-Country-Report-Eng-V2-W-200903.pdf</w:t>
        </w:r>
      </w:hyperlink>
    </w:p>
    <w:bookmarkEnd w:id="284"/>
    <w:bookmarkStart w:id="285" w:name="X623ff01dc63cf61f8612abe634439742e9ee54a"/>
    <w:p>
      <w:pPr>
        <w:pStyle w:val="Bibliography"/>
      </w:pPr>
      <w:r>
        <w:t xml:space="preserve">Montenegro, C. E. (2007). Job security and the age-composition of employment:</w:t>
      </w:r>
      <w:r>
        <w:t xml:space="preserve"> </w:t>
      </w:r>
      <w:r>
        <w:t xml:space="preserve">Evidence</w:t>
      </w:r>
      <w:r>
        <w:t xml:space="preserve"> </w:t>
      </w:r>
      <w:r>
        <w:t xml:space="preserve">from</w:t>
      </w:r>
      <w:r>
        <w:t xml:space="preserve"> </w:t>
      </w:r>
      <w:r>
        <w:t xml:space="preserve">Chile</w:t>
      </w:r>
      <w:r>
        <w:t xml:space="preserve">.</w:t>
      </w:r>
      <w:r>
        <w:t xml:space="preserve"> </w:t>
      </w:r>
      <w:r>
        <w:rPr>
          <w:iCs/>
          <w:i/>
        </w:rPr>
        <w:t xml:space="preserve">Estudios de Economia</w:t>
      </w:r>
      <w:r>
        <w:t xml:space="preserve">,</w:t>
      </w:r>
      <w:r>
        <w:t xml:space="preserve"> </w:t>
      </w:r>
      <w:r>
        <w:rPr>
          <w:iCs/>
          <w:i/>
        </w:rPr>
        <w:t xml:space="preserve">34</w:t>
      </w:r>
      <w:r>
        <w:t xml:space="preserve">(2), 109–139.</w:t>
      </w:r>
    </w:p>
    <w:bookmarkEnd w:id="285"/>
    <w:bookmarkStart w:id="287" w:name="ref-murphyTaxBreaksNot2020"/>
    <w:p>
      <w:pPr>
        <w:pStyle w:val="Bibliography"/>
      </w:pPr>
      <w:r>
        <w:t xml:space="preserve">Murphy, R. P. (2020).</w:t>
      </w:r>
      <w:r>
        <w:t xml:space="preserve"> </w:t>
      </w:r>
      <w:r>
        <w:rPr>
          <w:iCs/>
          <w:i/>
        </w:rPr>
        <w:t xml:space="preserve">Tax breaks—not government ownership—to mitigate</w:t>
      </w:r>
      <w:r>
        <w:rPr>
          <w:iCs/>
          <w:i/>
        </w:rPr>
        <w:t xml:space="preserve"> </w:t>
      </w:r>
      <w:r>
        <w:rPr>
          <w:iCs/>
          <w:i/>
        </w:rPr>
        <w:t xml:space="preserve">Ottawa</w:t>
      </w:r>
      <w:r>
        <w:rPr>
          <w:iCs/>
          <w:i/>
        </w:rPr>
        <w:t xml:space="preserve">’s harm</w:t>
      </w:r>
      <w:r>
        <w:t xml:space="preserve">.</w:t>
      </w:r>
      <w:r>
        <w:t xml:space="preserve"> </w:t>
      </w:r>
      <w:hyperlink r:id="rId286">
        <w:r>
          <w:rPr>
            <w:rStyle w:val="Hyperlink"/>
          </w:rPr>
          <w:t xml:space="preserve">https://policycommons.net/artifacts/420890/tax-breaksnot-government-ownershipto-mitigate-ottawas-harm/1391614/</w:t>
        </w:r>
      </w:hyperlink>
    </w:p>
    <w:bookmarkEnd w:id="287"/>
    <w:bookmarkStart w:id="289" w:name="ref-NOAADatasets"/>
    <w:p>
      <w:pPr>
        <w:pStyle w:val="Bibliography"/>
      </w:pPr>
      <w:r>
        <w:t xml:space="preserve">National Oceanic and Atmospheric Administration (NOAA) Physical Sciences Laboratory (PSL). (2024).</w:t>
      </w:r>
      <w:r>
        <w:t xml:space="preserve"> </w:t>
      </w:r>
      <w:r>
        <w:rPr>
          <w:iCs/>
          <w:i/>
        </w:rPr>
        <w:t xml:space="preserve">CPC Global Unified Temperature</w:t>
      </w:r>
      <w:r>
        <w:t xml:space="preserve"> </w:t>
      </w:r>
      <w:r>
        <w:t xml:space="preserve">[Datasets].</w:t>
      </w:r>
      <w:r>
        <w:t xml:space="preserve"> </w:t>
      </w:r>
      <w:hyperlink r:id="rId288">
        <w:r>
          <w:rPr>
            <w:rStyle w:val="Hyperlink"/>
          </w:rPr>
          <w:t xml:space="preserve">https://psl.noaa.gov/data/gridded/data.cpc.globaltemp.html</w:t>
        </w:r>
      </w:hyperlink>
    </w:p>
    <w:bookmarkEnd w:id="289"/>
    <w:bookmarkStart w:id="291" w:name="ref-neumarkMythMeasurementWhat2022"/>
    <w:p>
      <w:pPr>
        <w:pStyle w:val="Bibliography"/>
      </w:pPr>
      <w:r>
        <w:t xml:space="preserve">Neumark, D., &amp; Shirley, P. (2022). Myth or measurement:</w:t>
      </w:r>
      <w:r>
        <w:t xml:space="preserve"> </w:t>
      </w:r>
      <w:r>
        <w:t xml:space="preserve">What</w:t>
      </w:r>
      <w:r>
        <w:t xml:space="preserve"> </w:t>
      </w:r>
      <w:r>
        <w:t xml:space="preserve">does the new minimum wage research say about minimum wages and job loss in the</w:t>
      </w:r>
      <w:r>
        <w:t xml:space="preserve"> </w:t>
      </w:r>
      <w:r>
        <w:t xml:space="preserve">United States</w:t>
      </w:r>
      <w:r>
        <w:t xml:space="preserve">?</w:t>
      </w:r>
      <w:r>
        <w:t xml:space="preserve"> </w:t>
      </w:r>
      <w:r>
        <w:rPr>
          <w:iCs/>
          <w:i/>
        </w:rPr>
        <w:t xml:space="preserve">Industrial Relations: A Journal of Economy and Society</w:t>
      </w:r>
      <w:r>
        <w:t xml:space="preserve">,</w:t>
      </w:r>
      <w:r>
        <w:t xml:space="preserve"> </w:t>
      </w:r>
      <w:r>
        <w:rPr>
          <w:iCs/>
          <w:i/>
        </w:rPr>
        <w:t xml:space="preserve">61</w:t>
      </w:r>
      <w:r>
        <w:t xml:space="preserve">(4), 384–417.</w:t>
      </w:r>
      <w:r>
        <w:t xml:space="preserve"> </w:t>
      </w:r>
      <w:hyperlink r:id="rId290">
        <w:r>
          <w:rPr>
            <w:rStyle w:val="Hyperlink"/>
          </w:rPr>
          <w:t xml:space="preserve">https://doi.org/10.1111/irel.12306</w:t>
        </w:r>
      </w:hyperlink>
    </w:p>
    <w:bookmarkEnd w:id="291"/>
    <w:bookmarkStart w:id="293" w:name="ref-neumarkMinimumWagesEmployment2000"/>
    <w:p>
      <w:pPr>
        <w:pStyle w:val="Bibliography"/>
      </w:pPr>
      <w:r>
        <w:t xml:space="preserve">Neumark, D., &amp; Wascher, W. (2000). Minimum</w:t>
      </w:r>
      <w:r>
        <w:t xml:space="preserve"> </w:t>
      </w:r>
      <w:r>
        <w:t xml:space="preserve">Wages</w:t>
      </w:r>
      <w:r>
        <w:t xml:space="preserve"> </w:t>
      </w:r>
      <w:r>
        <w:t xml:space="preserve">and</w:t>
      </w:r>
      <w:r>
        <w:t xml:space="preserve"> </w:t>
      </w:r>
      <w:r>
        <w:t xml:space="preserve">Employment</w:t>
      </w:r>
      <w:r>
        <w:t xml:space="preserve">:</w:t>
      </w:r>
      <w:r>
        <w:t xml:space="preserve"> </w:t>
      </w:r>
      <w:r>
        <w:t xml:space="preserve">A Case Study</w:t>
      </w:r>
      <w:r>
        <w:t xml:space="preserve"> </w:t>
      </w:r>
      <w:r>
        <w:t xml:space="preserve">of the</w:t>
      </w:r>
      <w:r>
        <w:t xml:space="preserve"> </w:t>
      </w:r>
      <w:r>
        <w:t xml:space="preserve">Fast-Food Industry</w:t>
      </w:r>
      <w:r>
        <w:t xml:space="preserve"> </w:t>
      </w:r>
      <w:r>
        <w:t xml:space="preserve">in</w:t>
      </w:r>
      <w:r>
        <w:t xml:space="preserve"> </w:t>
      </w:r>
      <w:r>
        <w:t xml:space="preserve">New Jersey</w:t>
      </w:r>
      <w:r>
        <w:t xml:space="preserve"> </w:t>
      </w:r>
      <w:r>
        <w:t xml:space="preserve">and</w:t>
      </w:r>
      <w:r>
        <w:t xml:space="preserve"> </w:t>
      </w:r>
      <w:r>
        <w:t xml:space="preserve">Pennsylvania</w:t>
      </w:r>
      <w:r>
        <w:t xml:space="preserve">:</w:t>
      </w:r>
      <w:r>
        <w:t xml:space="preserve"> </w:t>
      </w:r>
      <w:r>
        <w:t xml:space="preserve">Comment</w:t>
      </w:r>
      <w:r>
        <w:t xml:space="preserve">.</w:t>
      </w:r>
      <w:r>
        <w:t xml:space="preserve"> </w:t>
      </w:r>
      <w:r>
        <w:rPr>
          <w:iCs/>
          <w:i/>
        </w:rPr>
        <w:t xml:space="preserve">The American Economic Review</w:t>
      </w:r>
      <w:r>
        <w:t xml:space="preserve">,</w:t>
      </w:r>
      <w:r>
        <w:t xml:space="preserve"> </w:t>
      </w:r>
      <w:r>
        <w:rPr>
          <w:iCs/>
          <w:i/>
        </w:rPr>
        <w:t xml:space="preserve">90</w:t>
      </w:r>
      <w:r>
        <w:t xml:space="preserve">(5), 1362–1396.</w:t>
      </w:r>
      <w:r>
        <w:t xml:space="preserve"> </w:t>
      </w:r>
      <w:hyperlink r:id="rId292">
        <w:r>
          <w:rPr>
            <w:rStyle w:val="Hyperlink"/>
          </w:rPr>
          <w:t xml:space="preserve">https://www.jstor.org/stable/2677855</w:t>
        </w:r>
      </w:hyperlink>
    </w:p>
    <w:bookmarkEnd w:id="293"/>
    <w:bookmarkStart w:id="295" w:name="ref-newmanRallyflagevents2010"/>
    <w:p>
      <w:pPr>
        <w:pStyle w:val="Bibliography"/>
      </w:pPr>
      <w:r>
        <w:t xml:space="preserve">Newman, B., &amp; Forcehimes, A. (2010).</w:t>
      </w:r>
      <w:r>
        <w:t xml:space="preserve"> </w:t>
      </w:r>
      <w:r>
        <w:t xml:space="preserve">“</w:t>
      </w:r>
      <w:r>
        <w:t xml:space="preserve">Rally</w:t>
      </w:r>
      <w:r>
        <w:t xml:space="preserve"> </w:t>
      </w:r>
      <w:r>
        <w:t xml:space="preserve">round the flag”</w:t>
      </w:r>
      <w:r>
        <w:t xml:space="preserve"> </w:t>
      </w:r>
      <w:r>
        <w:t xml:space="preserve">events for presidential approval research.</w:t>
      </w:r>
      <w:r>
        <w:t xml:space="preserve"> </w:t>
      </w:r>
      <w:r>
        <w:rPr>
          <w:iCs/>
          <w:i/>
        </w:rPr>
        <w:t xml:space="preserve">Electoral Studies</w:t>
      </w:r>
      <w:r>
        <w:t xml:space="preserve">,</w:t>
      </w:r>
      <w:r>
        <w:t xml:space="preserve"> </w:t>
      </w:r>
      <w:r>
        <w:rPr>
          <w:iCs/>
          <w:i/>
        </w:rPr>
        <w:t xml:space="preserve">29</w:t>
      </w:r>
      <w:r>
        <w:t xml:space="preserve">(1), 144–154.</w:t>
      </w:r>
      <w:r>
        <w:t xml:space="preserve"> </w:t>
      </w:r>
      <w:hyperlink r:id="rId294">
        <w:r>
          <w:rPr>
            <w:rStyle w:val="Hyperlink"/>
          </w:rPr>
          <w:t xml:space="preserve">https://doi.org/10.1016/j.electstud.2009.07.003</w:t>
        </w:r>
      </w:hyperlink>
    </w:p>
    <w:bookmarkEnd w:id="295"/>
    <w:bookmarkStart w:id="297" w:name="ref-NoEvidenceDirectional"/>
    <w:p>
      <w:pPr>
        <w:pStyle w:val="Bibliography"/>
      </w:pPr>
      <w:r>
        <w:rPr>
          <w:iCs/>
          <w:i/>
        </w:rPr>
        <w:t xml:space="preserve">No</w:t>
      </w:r>
      <w:r>
        <w:rPr>
          <w:iCs/>
          <w:i/>
        </w:rPr>
        <w:t xml:space="preserve"> </w:t>
      </w:r>
      <w:r>
        <w:rPr>
          <w:iCs/>
          <w:i/>
        </w:rPr>
        <w:t xml:space="preserve">Evidence</w:t>
      </w:r>
      <w:r>
        <w:rPr>
          <w:iCs/>
          <w:i/>
        </w:rPr>
        <w:t xml:space="preserve"> </w:t>
      </w:r>
      <w:r>
        <w:rPr>
          <w:iCs/>
          <w:i/>
        </w:rPr>
        <w:t xml:space="preserve">on</w:t>
      </w:r>
      <w:r>
        <w:rPr>
          <w:iCs/>
          <w:i/>
        </w:rPr>
        <w:t xml:space="preserve"> </w:t>
      </w:r>
      <w:r>
        <w:rPr>
          <w:iCs/>
          <w:i/>
        </w:rPr>
        <w:t xml:space="preserve">Directional</w:t>
      </w:r>
      <w:r>
        <w:rPr>
          <w:iCs/>
          <w:i/>
        </w:rPr>
        <w:t xml:space="preserve"> </w:t>
      </w:r>
      <w:r>
        <w:rPr>
          <w:iCs/>
          <w:i/>
        </w:rPr>
        <w:t xml:space="preserve">vs.</w:t>
      </w:r>
      <w:r>
        <w:rPr>
          <w:iCs/>
          <w:i/>
        </w:rPr>
        <w:t xml:space="preserve"> </w:t>
      </w:r>
      <w:r>
        <w:rPr>
          <w:iCs/>
          <w:i/>
        </w:rPr>
        <w:t xml:space="preserve">Proximity Voting</w:t>
      </w:r>
      <w:r>
        <w:rPr>
          <w:iCs/>
          <w:i/>
        </w:rPr>
        <w:t xml:space="preserve"> </w:t>
      </w:r>
      <w:r>
        <w:rPr>
          <w:iCs/>
          <w:i/>
        </w:rPr>
        <w:t xml:space="preserve">|</w:t>
      </w:r>
      <w:r>
        <w:rPr>
          <w:iCs/>
          <w:i/>
        </w:rPr>
        <w:t xml:space="preserve"> </w:t>
      </w:r>
      <w:r>
        <w:rPr>
          <w:iCs/>
          <w:i/>
        </w:rPr>
        <w:t xml:space="preserve">Political Analysis</w:t>
      </w:r>
      <w:r>
        <w:rPr>
          <w:iCs/>
          <w:i/>
        </w:rPr>
        <w:t xml:space="preserve"> </w:t>
      </w:r>
      <w:r>
        <w:rPr>
          <w:iCs/>
          <w:i/>
        </w:rPr>
        <w:t xml:space="preserve">|</w:t>
      </w:r>
      <w:r>
        <w:rPr>
          <w:iCs/>
          <w:i/>
        </w:rPr>
        <w:t xml:space="preserve"> </w:t>
      </w:r>
      <w:r>
        <w:rPr>
          <w:iCs/>
          <w:i/>
        </w:rPr>
        <w:t xml:space="preserve">Cambridge Core</w:t>
      </w:r>
      <w:r>
        <w:t xml:space="preserve">. (n.d.). Retrieved January 29, 2024, from</w:t>
      </w:r>
      <w:r>
        <w:t xml:space="preserve"> </w:t>
      </w:r>
      <w:hyperlink r:id="rId296">
        <w:r>
          <w:rPr>
            <w:rStyle w:val="Hyperlink"/>
          </w:rPr>
          <w:t xml:space="preserve">https://www.cambridge.org/core/journals/political-analysis/article/abs/no-evidence-on-directional-vs-proximity-voting/78407009C81D6C3DB11D11792ADA2EE1</w:t>
        </w:r>
      </w:hyperlink>
    </w:p>
    <w:bookmarkEnd w:id="297"/>
    <w:bookmarkStart w:id="299" w:name="ref-patents_cipo_datasets"/>
    <w:p>
      <w:pPr>
        <w:pStyle w:val="Bibliography"/>
      </w:pPr>
      <w:r>
        <w:t xml:space="preserve">Office, C. I. P. (2023).</w:t>
      </w:r>
      <w:r>
        <w:t xml:space="preserve"> </w:t>
      </w:r>
      <w:r>
        <w:rPr>
          <w:iCs/>
          <w:i/>
        </w:rPr>
        <w:t xml:space="preserve">Patent researcher datasets:</w:t>
      </w:r>
      <w:r>
        <w:rPr>
          <w:iCs/>
          <w:i/>
        </w:rPr>
        <w:t xml:space="preserve"> </w:t>
      </w:r>
      <w:r>
        <w:rPr>
          <w:iCs/>
          <w:i/>
        </w:rPr>
        <w:t xml:space="preserve">Bibliographic</w:t>
      </w:r>
      <w:r>
        <w:rPr>
          <w:iCs/>
          <w:i/>
        </w:rPr>
        <w:t xml:space="preserve">, full text and administrative status data (</w:t>
      </w:r>
      <w:r>
        <w:rPr>
          <w:iCs/>
          <w:i/>
        </w:rPr>
        <w:t xml:space="preserve">CSV</w:t>
      </w:r>
      <w:r>
        <w:rPr>
          <w:iCs/>
          <w:i/>
        </w:rPr>
        <w:t xml:space="preserve"> </w:t>
      </w:r>
      <w:r>
        <w:rPr>
          <w:iCs/>
          <w:i/>
        </w:rPr>
        <w:t xml:space="preserve">and</w:t>
      </w:r>
      <w:r>
        <w:rPr>
          <w:iCs/>
          <w:i/>
        </w:rPr>
        <w:t xml:space="preserve"> </w:t>
      </w:r>
      <w:r>
        <w:rPr>
          <w:iCs/>
          <w:i/>
        </w:rPr>
        <w:t xml:space="preserve">TXT</w:t>
      </w:r>
      <w:r>
        <w:rPr>
          <w:iCs/>
          <w:i/>
        </w:rPr>
        <w:t xml:space="preserve">)</w:t>
      </w:r>
      <w:r>
        <w:t xml:space="preserve"> </w:t>
      </w:r>
      <w:r>
        <w:t xml:space="preserve">[Datasets and data dictionary].</w:t>
      </w:r>
      <w:r>
        <w:t xml:space="preserve"> </w:t>
      </w:r>
      <w:r>
        <w:t xml:space="preserve">Innovation, Science and Economic Development Canada (CIPO’s IP Horizons)</w:t>
      </w:r>
      <w:r>
        <w:t xml:space="preserve">.</w:t>
      </w:r>
      <w:r>
        <w:t xml:space="preserve"> </w:t>
      </w:r>
      <w:hyperlink r:id="rId298">
        <w:r>
          <w:rPr>
            <w:rStyle w:val="Hyperlink"/>
          </w:rPr>
          <w:t xml:space="preserve">https://ised-isde.canada.ca/site/canadian-intellectual-property-office/en/canadian-intellectual-property-statistics/patent-data-bibliographic-and-full-text-csv-and-txt</w:t>
        </w:r>
      </w:hyperlink>
    </w:p>
    <w:bookmarkEnd w:id="299"/>
    <w:bookmarkStart w:id="301" w:name="ref-ohrnCorporateTaxBreaks2023"/>
    <w:p>
      <w:pPr>
        <w:pStyle w:val="Bibliography"/>
      </w:pPr>
      <w:r>
        <w:t xml:space="preserve">Ohrn, E. (2023). Corporate</w:t>
      </w:r>
      <w:r>
        <w:t xml:space="preserve"> </w:t>
      </w:r>
      <w:r>
        <w:t xml:space="preserve">Tax Breaks</w:t>
      </w:r>
      <w:r>
        <w:t xml:space="preserve"> </w:t>
      </w:r>
      <w:r>
        <w:t xml:space="preserve">and</w:t>
      </w:r>
      <w:r>
        <w:t xml:space="preserve"> </w:t>
      </w:r>
      <w:r>
        <w:t xml:space="preserve">Executive Compensation</w:t>
      </w:r>
      <w:r>
        <w:t xml:space="preserve">.</w:t>
      </w:r>
      <w:r>
        <w:t xml:space="preserve"> </w:t>
      </w:r>
      <w:r>
        <w:rPr>
          <w:iCs/>
          <w:i/>
        </w:rPr>
        <w:t xml:space="preserve">American Economic Journal: Economic Policy</w:t>
      </w:r>
      <w:r>
        <w:t xml:space="preserve">,</w:t>
      </w:r>
      <w:r>
        <w:t xml:space="preserve"> </w:t>
      </w:r>
      <w:r>
        <w:rPr>
          <w:iCs/>
          <w:i/>
        </w:rPr>
        <w:t xml:space="preserve">15</w:t>
      </w:r>
      <w:r>
        <w:t xml:space="preserve">(3), 215–255.</w:t>
      </w:r>
      <w:r>
        <w:t xml:space="preserve"> </w:t>
      </w:r>
      <w:hyperlink r:id="rId300">
        <w:r>
          <w:rPr>
            <w:rStyle w:val="Hyperlink"/>
          </w:rPr>
          <w:t xml:space="preserve">https://doi.org/10.1257/pol.20210155</w:t>
        </w:r>
      </w:hyperlink>
    </w:p>
    <w:bookmarkEnd w:id="301"/>
    <w:bookmarkStart w:id="303" w:name="X6881f2292fec922bf394bbebb01b37d01618274"/>
    <w:p>
      <w:pPr>
        <w:pStyle w:val="Bibliography"/>
      </w:pPr>
      <w:r>
        <w:t xml:space="preserve">Pazderka, B. (1999). Patent</w:t>
      </w:r>
      <w:r>
        <w:t xml:space="preserve"> </w:t>
      </w:r>
      <w:r>
        <w:t xml:space="preserve">Protection</w:t>
      </w:r>
      <w:r>
        <w:t xml:space="preserve"> </w:t>
      </w:r>
      <w:r>
        <w:t xml:space="preserve">and</w:t>
      </w:r>
      <w:r>
        <w:t xml:space="preserve"> </w:t>
      </w:r>
      <w:r>
        <w:t xml:space="preserve">Pharmaceutical R</w:t>
      </w:r>
      <w:r>
        <w:t xml:space="preserve">&amp;</w:t>
      </w:r>
      <w:r>
        <w:t xml:space="preserve">D Spending</w:t>
      </w:r>
      <w:r>
        <w:t xml:space="preserve"> </w:t>
      </w:r>
      <w:r>
        <w:t xml:space="preserve">in</w:t>
      </w:r>
      <w:r>
        <w:t xml:space="preserve"> </w:t>
      </w:r>
      <w:r>
        <w:t xml:space="preserve">Canada</w:t>
      </w:r>
      <w:r>
        <w:t xml:space="preserve">.</w:t>
      </w:r>
      <w:r>
        <w:t xml:space="preserve"> </w:t>
      </w:r>
      <w:r>
        <w:rPr>
          <w:iCs/>
          <w:i/>
        </w:rPr>
        <w:t xml:space="preserve">Canadian Public Policy / Analyse de Politiques</w:t>
      </w:r>
      <w:r>
        <w:t xml:space="preserve">,</w:t>
      </w:r>
      <w:r>
        <w:t xml:space="preserve"> </w:t>
      </w:r>
      <w:r>
        <w:rPr>
          <w:iCs/>
          <w:i/>
        </w:rPr>
        <w:t xml:space="preserve">25</w:t>
      </w:r>
      <w:r>
        <w:t xml:space="preserve">(1), 29–46.</w:t>
      </w:r>
      <w:r>
        <w:t xml:space="preserve"> </w:t>
      </w:r>
      <w:hyperlink r:id="rId302">
        <w:r>
          <w:rPr>
            <w:rStyle w:val="Hyperlink"/>
          </w:rPr>
          <w:t xml:space="preserve">https://doi.org/10.2307/3551400</w:t>
        </w:r>
      </w:hyperlink>
    </w:p>
    <w:bookmarkEnd w:id="303"/>
    <w:bookmarkStart w:id="304" w:name="X1ca5037ec0866b19fd173e24c7a4cc0b70b859a"/>
    <w:p>
      <w:pPr>
        <w:pStyle w:val="Bibliography"/>
      </w:pPr>
      <w:r>
        <w:t xml:space="preserve">Persson, T., &amp; Tabellini, G. (2002).</w:t>
      </w:r>
      <w:r>
        <w:t xml:space="preserve"> </w:t>
      </w:r>
      <w:r>
        <w:rPr>
          <w:iCs/>
          <w:i/>
        </w:rPr>
        <w:t xml:space="preserve">Political economics: Explaining economic policy</w:t>
      </w:r>
      <w:r>
        <w:t xml:space="preserve">. MIT press.</w:t>
      </w:r>
    </w:p>
    <w:bookmarkEnd w:id="304"/>
    <w:bookmarkStart w:id="306" w:name="ref-pierceSymposiumDirectionalTheory1997"/>
    <w:p>
      <w:pPr>
        <w:pStyle w:val="Bibliography"/>
      </w:pPr>
      <w:r>
        <w:t xml:space="preserve">Pierce, R. (1997). Symposium.</w:t>
      </w:r>
      <w:r>
        <w:t xml:space="preserve"> </w:t>
      </w:r>
      <w:r>
        <w:t xml:space="preserve">The Directional Theory</w:t>
      </w:r>
      <w:r>
        <w:t xml:space="preserve"> </w:t>
      </w:r>
      <w:r>
        <w:t xml:space="preserve">of</w:t>
      </w:r>
      <w:r>
        <w:t xml:space="preserve"> </w:t>
      </w:r>
      <w:r>
        <w:t xml:space="preserve">Issue Voting</w:t>
      </w:r>
      <w:r>
        <w:t xml:space="preserve">:</w:t>
      </w:r>
      <w:r>
        <w:t xml:space="preserve"> </w:t>
      </w:r>
      <w:r>
        <w:t xml:space="preserve">III</w:t>
      </w:r>
      <w:r>
        <w:t xml:space="preserve">:</w:t>
      </w:r>
      <w:r>
        <w:t xml:space="preserve"> </w:t>
      </w:r>
      <w:r>
        <w:t xml:space="preserve">Directional</w:t>
      </w:r>
      <w:r>
        <w:t xml:space="preserve"> </w:t>
      </w:r>
      <w:r>
        <w:t xml:space="preserve">versus</w:t>
      </w:r>
      <w:r>
        <w:t xml:space="preserve"> </w:t>
      </w:r>
      <w:r>
        <w:t xml:space="preserve">Proximity Models</w:t>
      </w:r>
      <w:r>
        <w:t xml:space="preserve">:</w:t>
      </w:r>
      <w:r>
        <w:t xml:space="preserve"> </w:t>
      </w:r>
      <w:r>
        <w:t xml:space="preserve">Verisimilitude</w:t>
      </w:r>
      <w:r>
        <w:t xml:space="preserve"> </w:t>
      </w:r>
      <w:r>
        <w:t xml:space="preserve">as the</w:t>
      </w:r>
      <w:r>
        <w:t xml:space="preserve"> </w:t>
      </w:r>
      <w:r>
        <w:t xml:space="preserve">Criterion</w:t>
      </w:r>
      <w:r>
        <w:t xml:space="preserve">.</w:t>
      </w:r>
      <w:r>
        <w:t xml:space="preserve"> </w:t>
      </w:r>
      <w:r>
        <w:rPr>
          <w:iCs/>
          <w:i/>
        </w:rPr>
        <w:t xml:space="preserve">Journal of Theoretical Politics</w:t>
      </w:r>
      <w:r>
        <w:t xml:space="preserve">,</w:t>
      </w:r>
      <w:r>
        <w:t xml:space="preserve"> </w:t>
      </w:r>
      <w:r>
        <w:rPr>
          <w:iCs/>
          <w:i/>
        </w:rPr>
        <w:t xml:space="preserve">9</w:t>
      </w:r>
      <w:r>
        <w:t xml:space="preserve">(1), 61–74.</w:t>
      </w:r>
      <w:r>
        <w:t xml:space="preserve"> </w:t>
      </w:r>
      <w:hyperlink r:id="rId305">
        <w:r>
          <w:rPr>
            <w:rStyle w:val="Hyperlink"/>
          </w:rPr>
          <w:t xml:space="preserve">https://doi.org/10.1177/0951692897009001007</w:t>
        </w:r>
      </w:hyperlink>
    </w:p>
    <w:bookmarkEnd w:id="306"/>
    <w:bookmarkStart w:id="308" w:name="ref-PorQueHay"/>
    <w:p>
      <w:pPr>
        <w:pStyle w:val="Bibliography"/>
      </w:pPr>
      <w:r>
        <w:rPr>
          <w:iCs/>
          <w:i/>
        </w:rPr>
        <w:t xml:space="preserve">¿</w:t>
      </w:r>
      <w:r>
        <w:rPr>
          <w:iCs/>
          <w:i/>
        </w:rPr>
        <w:t xml:space="preserve">Por</w:t>
      </w:r>
      <w:r>
        <w:rPr>
          <w:iCs/>
          <w:i/>
        </w:rPr>
        <w:t xml:space="preserve"> </w:t>
      </w:r>
      <w:r>
        <w:rPr>
          <w:iCs/>
          <w:i/>
        </w:rPr>
        <w:t xml:space="preserve">qué hay una ola de violencia en</w:t>
      </w:r>
      <w:r>
        <w:rPr>
          <w:iCs/>
          <w:i/>
        </w:rPr>
        <w:t xml:space="preserve"> </w:t>
      </w:r>
      <w:r>
        <w:rPr>
          <w:iCs/>
          <w:i/>
        </w:rPr>
        <w:t xml:space="preserve">Ecuador</w:t>
      </w:r>
      <w:r>
        <w:rPr>
          <w:iCs/>
          <w:i/>
        </w:rPr>
        <w:t xml:space="preserve">?</w:t>
      </w:r>
      <w:r>
        <w:t xml:space="preserve"> (n.d.). Retrieved November 15, 2022, from</w:t>
      </w:r>
      <w:r>
        <w:t xml:space="preserve"> </w:t>
      </w:r>
      <w:hyperlink r:id="rId307">
        <w:r>
          <w:rPr>
            <w:rStyle w:val="Hyperlink"/>
          </w:rPr>
          <w:t xml:space="preserve">https://cnnespanol.cnn.com/2021/10/20/violencia-estado-excepcion-ecuador-orix/</w:t>
        </w:r>
      </w:hyperlink>
    </w:p>
    <w:bookmarkEnd w:id="308"/>
    <w:bookmarkStart w:id="310" w:name="ref-posnerIntellectualPropertyLaw2005"/>
    <w:p>
      <w:pPr>
        <w:pStyle w:val="Bibliography"/>
      </w:pPr>
      <w:r>
        <w:t xml:space="preserve">Posner, R. A. (2005). Intellectual</w:t>
      </w:r>
      <w:r>
        <w:t xml:space="preserve"> </w:t>
      </w:r>
      <w:r>
        <w:t xml:space="preserve">Property</w:t>
      </w:r>
      <w:r>
        <w:t xml:space="preserve">:</w:t>
      </w:r>
      <w:r>
        <w:t xml:space="preserve"> </w:t>
      </w:r>
      <w:r>
        <w:t xml:space="preserve">The Law</w:t>
      </w:r>
      <w:r>
        <w:t xml:space="preserve"> </w:t>
      </w:r>
      <w:r>
        <w:t xml:space="preserve">and</w:t>
      </w:r>
      <w:r>
        <w:t xml:space="preserve"> </w:t>
      </w:r>
      <w:r>
        <w:t xml:space="preserve">Economics Approach</w:t>
      </w:r>
      <w:r>
        <w:t xml:space="preserve">.</w:t>
      </w:r>
      <w:r>
        <w:t xml:space="preserve"> </w:t>
      </w:r>
      <w:r>
        <w:rPr>
          <w:iCs/>
          <w:i/>
        </w:rPr>
        <w:t xml:space="preserve">Journal of Economic Perspectives</w:t>
      </w:r>
      <w:r>
        <w:t xml:space="preserve">,</w:t>
      </w:r>
      <w:r>
        <w:t xml:space="preserve"> </w:t>
      </w:r>
      <w:r>
        <w:rPr>
          <w:iCs/>
          <w:i/>
        </w:rPr>
        <w:t xml:space="preserve">19</w:t>
      </w:r>
      <w:r>
        <w:t xml:space="preserve">(2), 57–73.</w:t>
      </w:r>
      <w:r>
        <w:t xml:space="preserve"> </w:t>
      </w:r>
      <w:hyperlink r:id="rId309">
        <w:r>
          <w:rPr>
            <w:rStyle w:val="Hyperlink"/>
          </w:rPr>
          <w:t xml:space="preserve">https://doi.org/10.1257/0895330054048704</w:t>
        </w:r>
      </w:hyperlink>
    </w:p>
    <w:bookmarkEnd w:id="310"/>
    <w:bookmarkStart w:id="312" w:name="ref-Preface2013"/>
    <w:p>
      <w:pPr>
        <w:pStyle w:val="Bibliography"/>
      </w:pPr>
      <w:r>
        <w:t xml:space="preserve">Preface. (2013). In</w:t>
      </w:r>
      <w:r>
        <w:t xml:space="preserve"> </w:t>
      </w:r>
      <w:r>
        <w:rPr>
          <w:iCs/>
          <w:i/>
        </w:rPr>
        <w:t xml:space="preserve">Handbook of</w:t>
      </w:r>
      <w:r>
        <w:rPr>
          <w:iCs/>
          <w:i/>
        </w:rPr>
        <w:t xml:space="preserve"> </w:t>
      </w:r>
      <w:r>
        <w:rPr>
          <w:iCs/>
          <w:i/>
        </w:rPr>
        <w:t xml:space="preserve">Public Economics</w:t>
      </w:r>
      <w:r>
        <w:t xml:space="preserve"> </w:t>
      </w:r>
      <w:r>
        <w:t xml:space="preserve">(Vol. 5, pp. xi–xii). Elsevier.</w:t>
      </w:r>
      <w:r>
        <w:t xml:space="preserve"> </w:t>
      </w:r>
      <w:hyperlink r:id="rId311">
        <w:r>
          <w:rPr>
            <w:rStyle w:val="Hyperlink"/>
          </w:rPr>
          <w:t xml:space="preserve">https://doi.org/10.1016/B978-0-444-53759-1.00012-1</w:t>
        </w:r>
      </w:hyperlink>
    </w:p>
    <w:bookmarkEnd w:id="312"/>
    <w:bookmarkStart w:id="313" w:name="ref-pulamiPotentialImpactDemographic2024"/>
    <w:p>
      <w:pPr>
        <w:pStyle w:val="Bibliography"/>
      </w:pPr>
      <w:r>
        <w:t xml:space="preserve">Pulami, M. J., &amp; Nepal, S. (2024). The</w:t>
      </w:r>
      <w:r>
        <w:t xml:space="preserve"> </w:t>
      </w:r>
      <w:r>
        <w:t xml:space="preserve">Potential Impact</w:t>
      </w:r>
      <w:r>
        <w:t xml:space="preserve"> </w:t>
      </w:r>
      <w:r>
        <w:t xml:space="preserve">of</w:t>
      </w:r>
      <w:r>
        <w:t xml:space="preserve"> </w:t>
      </w:r>
      <w:r>
        <w:t xml:space="preserve">Demographic Changes</w:t>
      </w:r>
      <w:r>
        <w:t xml:space="preserve"> </w:t>
      </w:r>
      <w:r>
        <w:t xml:space="preserve">in</w:t>
      </w:r>
      <w:r>
        <w:t xml:space="preserve"> </w:t>
      </w:r>
      <w:r>
        <w:t xml:space="preserve">Geopolitical Landscape</w:t>
      </w:r>
      <w:r>
        <w:t xml:space="preserve">.</w:t>
      </w:r>
      <w:r>
        <w:t xml:space="preserve"> </w:t>
      </w:r>
      <w:r>
        <w:rPr>
          <w:iCs/>
          <w:i/>
        </w:rPr>
        <w:t xml:space="preserve">Asian Journal of Population Sciences</w:t>
      </w:r>
      <w:r>
        <w:t xml:space="preserve">,</w:t>
      </w:r>
      <w:r>
        <w:t xml:space="preserve"> </w:t>
      </w:r>
      <w:r>
        <w:rPr>
          <w:iCs/>
          <w:i/>
        </w:rPr>
        <w:t xml:space="preserve">3</w:t>
      </w:r>
      <w:r>
        <w:t xml:space="preserve">, 43–58.</w:t>
      </w:r>
    </w:p>
    <w:bookmarkEnd w:id="313"/>
    <w:bookmarkStart w:id="314" w:name="Xbadf66efcbf246ac325c8835859148bb32d77dd"/>
    <w:p>
      <w:pPr>
        <w:pStyle w:val="Bibliography"/>
      </w:pPr>
      <w:r>
        <w:t xml:space="preserve">Quijano-Ruiz, A. (2023).</w:t>
      </w:r>
      <w:r>
        <w:t xml:space="preserve"> </w:t>
      </w:r>
      <w:r>
        <w:rPr>
          <w:iCs/>
          <w:i/>
        </w:rPr>
        <w:t xml:space="preserve">Assessing the reliability of self-rated health: the effects of transient weather fluctuations on perceived health</w:t>
      </w:r>
      <w:r>
        <w:t xml:space="preserve">. Working Paper.</w:t>
      </w:r>
    </w:p>
    <w:bookmarkEnd w:id="314"/>
    <w:bookmarkStart w:id="316" w:name="ref-rabinowitzDirectionalTheoryIssue1989"/>
    <w:p>
      <w:pPr>
        <w:pStyle w:val="Bibliography"/>
      </w:pPr>
      <w:r>
        <w:t xml:space="preserve">Rabinowitz, G., &amp; Macdonald, S. E. (1989). A</w:t>
      </w:r>
      <w:r>
        <w:t xml:space="preserve"> </w:t>
      </w:r>
      <w:r>
        <w:t xml:space="preserve">Directional Theory</w:t>
      </w:r>
      <w:r>
        <w:t xml:space="preserve"> </w:t>
      </w:r>
      <w:r>
        <w:t xml:space="preserve">of</w:t>
      </w:r>
      <w:r>
        <w:t xml:space="preserve"> </w:t>
      </w:r>
      <w:r>
        <w:t xml:space="preserve">Issue Voting</w:t>
      </w:r>
      <w:r>
        <w:t xml:space="preserve">.</w:t>
      </w:r>
      <w:r>
        <w:t xml:space="preserve"> </w:t>
      </w:r>
      <w:r>
        <w:rPr>
          <w:iCs/>
          <w:i/>
        </w:rPr>
        <w:t xml:space="preserve">The American Political Science Review</w:t>
      </w:r>
      <w:r>
        <w:t xml:space="preserve">,</w:t>
      </w:r>
      <w:r>
        <w:t xml:space="preserve"> </w:t>
      </w:r>
      <w:r>
        <w:rPr>
          <w:iCs/>
          <w:i/>
        </w:rPr>
        <w:t xml:space="preserve">83</w:t>
      </w:r>
      <w:r>
        <w:t xml:space="preserve">(1), 93–121.</w:t>
      </w:r>
      <w:r>
        <w:t xml:space="preserve"> </w:t>
      </w:r>
      <w:hyperlink r:id="rId315">
        <w:r>
          <w:rPr>
            <w:rStyle w:val="Hyperlink"/>
          </w:rPr>
          <w:t xml:space="preserve">https://doi.org/10.2307/1956436</w:t>
        </w:r>
      </w:hyperlink>
    </w:p>
    <w:bookmarkEnd w:id="316"/>
    <w:bookmarkStart w:id="318" w:name="ref-rafiquzzamanImpactPatentRights2002"/>
    <w:p>
      <w:pPr>
        <w:pStyle w:val="Bibliography"/>
      </w:pPr>
      <w:r>
        <w:t xml:space="preserve">Rafiquzzaman, M. (2002). The impact of patent rights on international trade: Evidence from</w:t>
      </w:r>
      <w:r>
        <w:t xml:space="preserve"> </w:t>
      </w:r>
      <w:r>
        <w:t xml:space="preserve">Canada</w:t>
      </w:r>
      <w:r>
        <w:t xml:space="preserve">.</w:t>
      </w:r>
      <w:r>
        <w:t xml:space="preserve"> </w:t>
      </w:r>
      <w:r>
        <w:rPr>
          <w:iCs/>
          <w:i/>
        </w:rPr>
        <w:t xml:space="preserve">Canadian Journal of Economics/Revue Canadienne d’économique</w:t>
      </w:r>
      <w:r>
        <w:t xml:space="preserve">,</w:t>
      </w:r>
      <w:r>
        <w:t xml:space="preserve"> </w:t>
      </w:r>
      <w:r>
        <w:rPr>
          <w:iCs/>
          <w:i/>
        </w:rPr>
        <w:t xml:space="preserve">35</w:t>
      </w:r>
      <w:r>
        <w:t xml:space="preserve">(2), 307–330.</w:t>
      </w:r>
      <w:r>
        <w:t xml:space="preserve"> </w:t>
      </w:r>
      <w:hyperlink r:id="rId317">
        <w:r>
          <w:rPr>
            <w:rStyle w:val="Hyperlink"/>
          </w:rPr>
          <w:t xml:space="preserve">https://doi.org/10.1111/1540-5982.00132</w:t>
        </w:r>
      </w:hyperlink>
    </w:p>
    <w:bookmarkEnd w:id="318"/>
    <w:bookmarkStart w:id="320" w:name="ref-ranasingheInnovationfirmsize2017"/>
    <w:p>
      <w:pPr>
        <w:pStyle w:val="Bibliography"/>
      </w:pPr>
      <w:r>
        <w:t xml:space="preserve">Ranasinghe, A. (2017). Innovation, firm size and the</w:t>
      </w:r>
      <w:r>
        <w:t xml:space="preserve"> </w:t>
      </w:r>
      <w:r>
        <w:t xml:space="preserve">Canada-U</w:t>
      </w:r>
      <w:r>
        <w:t xml:space="preserve">.</w:t>
      </w:r>
      <w:r>
        <w:t xml:space="preserve">S</w:t>
      </w:r>
      <w:r>
        <w:t xml:space="preserve">. Productivity gap.</w:t>
      </w:r>
      <w:r>
        <w:t xml:space="preserve"> </w:t>
      </w:r>
      <w:r>
        <w:rPr>
          <w:iCs/>
          <w:i/>
        </w:rPr>
        <w:t xml:space="preserve">Journal of Economic Dynamics and Control</w:t>
      </w:r>
      <w:r>
        <w:t xml:space="preserve">,</w:t>
      </w:r>
      <w:r>
        <w:t xml:space="preserve"> </w:t>
      </w:r>
      <w:r>
        <w:rPr>
          <w:iCs/>
          <w:i/>
        </w:rPr>
        <w:t xml:space="preserve">85</w:t>
      </w:r>
      <w:r>
        <w:t xml:space="preserve">, 46–58.</w:t>
      </w:r>
      <w:r>
        <w:t xml:space="preserve"> </w:t>
      </w:r>
      <w:hyperlink r:id="rId319">
        <w:r>
          <w:rPr>
            <w:rStyle w:val="Hyperlink"/>
          </w:rPr>
          <w:t xml:space="preserve">https://doi.org/10.1016/j.jedc.2017.09.004</w:t>
        </w:r>
      </w:hyperlink>
    </w:p>
    <w:bookmarkEnd w:id="320"/>
    <w:bookmarkStart w:id="322" w:name="ref-rayAppendix1998"/>
    <w:p>
      <w:pPr>
        <w:pStyle w:val="Bibliography"/>
      </w:pPr>
      <w:r>
        <w:t xml:space="preserve">Ray, D. (1998a). Appendix 1: In</w:t>
      </w:r>
      <w:r>
        <w:t xml:space="preserve"> </w:t>
      </w:r>
      <w:r>
        <w:rPr>
          <w:iCs/>
          <w:i/>
        </w:rPr>
        <w:t xml:space="preserve">Development</w:t>
      </w:r>
      <w:r>
        <w:rPr>
          <w:iCs/>
          <w:i/>
        </w:rPr>
        <w:t xml:space="preserve"> </w:t>
      </w:r>
      <w:r>
        <w:rPr>
          <w:iCs/>
          <w:i/>
        </w:rPr>
        <w:t xml:space="preserve">Economics</w:t>
      </w:r>
      <w:r>
        <w:t xml:space="preserve"> </w:t>
      </w:r>
      <w:r>
        <w:t xml:space="preserve">(pp. 757–776). Princeton University Press.</w:t>
      </w:r>
      <w:r>
        <w:t xml:space="preserve"> </w:t>
      </w:r>
      <w:hyperlink r:id="rId321">
        <w:r>
          <w:rPr>
            <w:rStyle w:val="Hyperlink"/>
          </w:rPr>
          <w:t xml:space="preserve">https://doi.org/10.2307/j.ctvcm4hmx.22</w:t>
        </w:r>
      </w:hyperlink>
    </w:p>
    <w:bookmarkEnd w:id="322"/>
    <w:bookmarkStart w:id="324" w:name="ref-rayAppendix1998a"/>
    <w:p>
      <w:pPr>
        <w:pStyle w:val="Bibliography"/>
      </w:pPr>
      <w:r>
        <w:t xml:space="preserve">Ray, D. (1998b). Appendix 2: In</w:t>
      </w:r>
      <w:r>
        <w:t xml:space="preserve"> </w:t>
      </w:r>
      <w:r>
        <w:rPr>
          <w:iCs/>
          <w:i/>
        </w:rPr>
        <w:t xml:space="preserve">Development</w:t>
      </w:r>
      <w:r>
        <w:rPr>
          <w:iCs/>
          <w:i/>
        </w:rPr>
        <w:t xml:space="preserve"> </w:t>
      </w:r>
      <w:r>
        <w:rPr>
          <w:iCs/>
          <w:i/>
        </w:rPr>
        <w:t xml:space="preserve">Economics</w:t>
      </w:r>
      <w:r>
        <w:t xml:space="preserve"> </w:t>
      </w:r>
      <w:r>
        <w:t xml:space="preserve">(pp. 777–804). Princeton University Press.</w:t>
      </w:r>
      <w:r>
        <w:t xml:space="preserve"> </w:t>
      </w:r>
      <w:hyperlink r:id="rId323">
        <w:r>
          <w:rPr>
            <w:rStyle w:val="Hyperlink"/>
          </w:rPr>
          <w:t xml:space="preserve">https://doi.org/10.2307/j.ctvcm4hmx.23</w:t>
        </w:r>
      </w:hyperlink>
    </w:p>
    <w:bookmarkEnd w:id="324"/>
    <w:bookmarkStart w:id="326" w:name="ref-rayAuthorIndex1998"/>
    <w:p>
      <w:pPr>
        <w:pStyle w:val="Bibliography"/>
      </w:pPr>
      <w:r>
        <w:t xml:space="preserve">Ray, D. (1998c). Author</w:t>
      </w:r>
      <w:r>
        <w:t xml:space="preserve"> </w:t>
      </w:r>
      <w:r>
        <w:t xml:space="preserve">Index</w:t>
      </w:r>
      <w:r>
        <w:t xml:space="preserve">. In</w:t>
      </w:r>
      <w:r>
        <w:t xml:space="preserve"> </w:t>
      </w:r>
      <w:r>
        <w:rPr>
          <w:iCs/>
          <w:i/>
        </w:rPr>
        <w:t xml:space="preserve">Development</w:t>
      </w:r>
      <w:r>
        <w:rPr>
          <w:iCs/>
          <w:i/>
        </w:rPr>
        <w:t xml:space="preserve"> </w:t>
      </w:r>
      <w:r>
        <w:rPr>
          <w:iCs/>
          <w:i/>
        </w:rPr>
        <w:t xml:space="preserve">Economics</w:t>
      </w:r>
      <w:r>
        <w:t xml:space="preserve"> </w:t>
      </w:r>
      <w:r>
        <w:t xml:space="preserve">(pp. 829–834). Princeton University Press.</w:t>
      </w:r>
      <w:r>
        <w:t xml:space="preserve"> </w:t>
      </w:r>
      <w:hyperlink r:id="rId325">
        <w:r>
          <w:rPr>
            <w:rStyle w:val="Hyperlink"/>
          </w:rPr>
          <w:t xml:space="preserve">https://doi.org/10.2307/j.ctvcm4hmx.25</w:t>
        </w:r>
      </w:hyperlink>
    </w:p>
    <w:bookmarkEnd w:id="326"/>
    <w:bookmarkStart w:id="328" w:name="ref-rayBackMatter1998"/>
    <w:p>
      <w:pPr>
        <w:pStyle w:val="Bibliography"/>
      </w:pPr>
      <w:r>
        <w:t xml:space="preserve">Ray, D. (1998d). Back</w:t>
      </w:r>
      <w:r>
        <w:t xml:space="preserve"> </w:t>
      </w:r>
      <w:r>
        <w:t xml:space="preserve">Matter</w:t>
      </w:r>
      <w:r>
        <w:t xml:space="preserve">. In</w:t>
      </w:r>
      <w:r>
        <w:t xml:space="preserve"> </w:t>
      </w:r>
      <w:r>
        <w:rPr>
          <w:iCs/>
          <w:i/>
        </w:rPr>
        <w:t xml:space="preserve">Development</w:t>
      </w:r>
      <w:r>
        <w:rPr>
          <w:iCs/>
          <w:i/>
        </w:rPr>
        <w:t xml:space="preserve"> </w:t>
      </w:r>
      <w:r>
        <w:rPr>
          <w:iCs/>
          <w:i/>
        </w:rPr>
        <w:t xml:space="preserve">Economics</w:t>
      </w:r>
      <w:r>
        <w:t xml:space="preserve"> </w:t>
      </w:r>
      <w:r>
        <w:t xml:space="preserve">(pp. 849–849). Princeton University Press.</w:t>
      </w:r>
      <w:r>
        <w:t xml:space="preserve"> </w:t>
      </w:r>
      <w:hyperlink r:id="rId327">
        <w:r>
          <w:rPr>
            <w:rStyle w:val="Hyperlink"/>
          </w:rPr>
          <w:t xml:space="preserve">https://doi.org/10.2307/j.ctvcm4hmx.27</w:t>
        </w:r>
      </w:hyperlink>
    </w:p>
    <w:bookmarkEnd w:id="328"/>
    <w:bookmarkStart w:id="330" w:name="ref-rayCredit1998"/>
    <w:p>
      <w:pPr>
        <w:pStyle w:val="Bibliography"/>
      </w:pPr>
      <w:r>
        <w:t xml:space="preserve">Ray, D. (1998e). Credit. In</w:t>
      </w:r>
      <w:r>
        <w:t xml:space="preserve"> </w:t>
      </w:r>
      <w:r>
        <w:rPr>
          <w:iCs/>
          <w:i/>
        </w:rPr>
        <w:t xml:space="preserve">Development</w:t>
      </w:r>
      <w:r>
        <w:rPr>
          <w:iCs/>
          <w:i/>
        </w:rPr>
        <w:t xml:space="preserve"> </w:t>
      </w:r>
      <w:r>
        <w:rPr>
          <w:iCs/>
          <w:i/>
        </w:rPr>
        <w:t xml:space="preserve">Economics</w:t>
      </w:r>
      <w:r>
        <w:t xml:space="preserve"> </w:t>
      </w:r>
      <w:r>
        <w:t xml:space="preserve">(pp. 529–590). Princeton University Press.</w:t>
      </w:r>
      <w:r>
        <w:t xml:space="preserve"> </w:t>
      </w:r>
      <w:hyperlink r:id="rId329">
        <w:r>
          <w:rPr>
            <w:rStyle w:val="Hyperlink"/>
          </w:rPr>
          <w:t xml:space="preserve">https://doi.org/10.2307/j.ctvcm4hmx.17</w:t>
        </w:r>
      </w:hyperlink>
    </w:p>
    <w:bookmarkEnd w:id="330"/>
    <w:bookmarkStart w:id="332" w:name="ref-rayEconomicDevelopment1998"/>
    <w:p>
      <w:pPr>
        <w:pStyle w:val="Bibliography"/>
      </w:pPr>
      <w:r>
        <w:t xml:space="preserve">Ray, D. (1998f). Economic</w:t>
      </w:r>
      <w:r>
        <w:t xml:space="preserve"> </w:t>
      </w:r>
      <w:r>
        <w:t xml:space="preserve">Development</w:t>
      </w:r>
      <w:r>
        <w:t xml:space="preserve">: In</w:t>
      </w:r>
      <w:r>
        <w:t xml:space="preserve"> </w:t>
      </w:r>
      <w:r>
        <w:rPr>
          <w:iCs/>
          <w:i/>
        </w:rPr>
        <w:t xml:space="preserve">Development</w:t>
      </w:r>
      <w:r>
        <w:rPr>
          <w:iCs/>
          <w:i/>
        </w:rPr>
        <w:t xml:space="preserve"> </w:t>
      </w:r>
      <w:r>
        <w:rPr>
          <w:iCs/>
          <w:i/>
        </w:rPr>
        <w:t xml:space="preserve">Economics</w:t>
      </w:r>
      <w:r>
        <w:t xml:space="preserve"> </w:t>
      </w:r>
      <w:r>
        <w:t xml:space="preserve">(pp. 7–46). Princeton University Press.</w:t>
      </w:r>
      <w:r>
        <w:t xml:space="preserve"> </w:t>
      </w:r>
      <w:hyperlink r:id="rId331">
        <w:r>
          <w:rPr>
            <w:rStyle w:val="Hyperlink"/>
          </w:rPr>
          <w:t xml:space="preserve">https://doi.org/10.2307/j.ctvcm4hmx.5</w:t>
        </w:r>
      </w:hyperlink>
    </w:p>
    <w:bookmarkEnd w:id="332"/>
    <w:bookmarkStart w:id="334" w:name="ref-rayEconomicGrowth1998"/>
    <w:p>
      <w:pPr>
        <w:pStyle w:val="Bibliography"/>
      </w:pPr>
      <w:r>
        <w:t xml:space="preserve">Ray, D. (1998g). Economic</w:t>
      </w:r>
      <w:r>
        <w:t xml:space="preserve"> </w:t>
      </w:r>
      <w:r>
        <w:t xml:space="preserve">Growth</w:t>
      </w:r>
      <w:r>
        <w:t xml:space="preserve">. In</w:t>
      </w:r>
      <w:r>
        <w:t xml:space="preserve"> </w:t>
      </w:r>
      <w:r>
        <w:rPr>
          <w:iCs/>
          <w:i/>
        </w:rPr>
        <w:t xml:space="preserve">Development</w:t>
      </w:r>
      <w:r>
        <w:rPr>
          <w:iCs/>
          <w:i/>
        </w:rPr>
        <w:t xml:space="preserve"> </w:t>
      </w:r>
      <w:r>
        <w:rPr>
          <w:iCs/>
          <w:i/>
        </w:rPr>
        <w:t xml:space="preserve">Economics</w:t>
      </w:r>
      <w:r>
        <w:t xml:space="preserve"> </w:t>
      </w:r>
      <w:r>
        <w:t xml:space="preserve">(pp. 47–98). Princeton University Press.</w:t>
      </w:r>
      <w:r>
        <w:t xml:space="preserve"> </w:t>
      </w:r>
      <w:hyperlink r:id="rId333">
        <w:r>
          <w:rPr>
            <w:rStyle w:val="Hyperlink"/>
          </w:rPr>
          <w:t xml:space="preserve">https://doi.org/10.2307/j.ctvcm4hmx.6</w:t>
        </w:r>
      </w:hyperlink>
    </w:p>
    <w:bookmarkEnd w:id="334"/>
    <w:bookmarkStart w:id="336" w:name="ref-rayEconomicInequality1998"/>
    <w:p>
      <w:pPr>
        <w:pStyle w:val="Bibliography"/>
      </w:pPr>
      <w:r>
        <w:t xml:space="preserve">Ray, D. (1998h). Economic</w:t>
      </w:r>
      <w:r>
        <w:t xml:space="preserve"> </w:t>
      </w:r>
      <w:r>
        <w:t xml:space="preserve">Inequality</w:t>
      </w:r>
      <w:r>
        <w:t xml:space="preserve">. In</w:t>
      </w:r>
      <w:r>
        <w:t xml:space="preserve"> </w:t>
      </w:r>
      <w:r>
        <w:rPr>
          <w:iCs/>
          <w:i/>
        </w:rPr>
        <w:t xml:space="preserve">Development</w:t>
      </w:r>
      <w:r>
        <w:rPr>
          <w:iCs/>
          <w:i/>
        </w:rPr>
        <w:t xml:space="preserve"> </w:t>
      </w:r>
      <w:r>
        <w:rPr>
          <w:iCs/>
          <w:i/>
        </w:rPr>
        <w:t xml:space="preserve">Economics</w:t>
      </w:r>
      <w:r>
        <w:t xml:space="preserve"> </w:t>
      </w:r>
      <w:r>
        <w:t xml:space="preserve">(pp. 169–196). Princeton University Press.</w:t>
      </w:r>
      <w:r>
        <w:t xml:space="preserve"> </w:t>
      </w:r>
      <w:hyperlink r:id="rId335">
        <w:r>
          <w:rPr>
            <w:rStyle w:val="Hyperlink"/>
          </w:rPr>
          <w:t xml:space="preserve">https://doi.org/10.2307/j.ctvcm4hmx.9</w:t>
        </w:r>
      </w:hyperlink>
    </w:p>
    <w:bookmarkEnd w:id="336"/>
    <w:bookmarkStart w:id="338" w:name="ref-rayFrontMatter1998"/>
    <w:p>
      <w:pPr>
        <w:pStyle w:val="Bibliography"/>
      </w:pPr>
      <w:r>
        <w:t xml:space="preserve">Ray, D. (1998i). Front</w:t>
      </w:r>
      <w:r>
        <w:t xml:space="preserve"> </w:t>
      </w:r>
      <w:r>
        <w:t xml:space="preserve">Matter</w:t>
      </w:r>
      <w:r>
        <w:t xml:space="preserve">. In</w:t>
      </w:r>
      <w:r>
        <w:t xml:space="preserve"> </w:t>
      </w:r>
      <w:r>
        <w:rPr>
          <w:iCs/>
          <w:i/>
        </w:rPr>
        <w:t xml:space="preserve">Development</w:t>
      </w:r>
      <w:r>
        <w:rPr>
          <w:iCs/>
          <w:i/>
        </w:rPr>
        <w:t xml:space="preserve"> </w:t>
      </w:r>
      <w:r>
        <w:rPr>
          <w:iCs/>
          <w:i/>
        </w:rPr>
        <w:t xml:space="preserve">Economics</w:t>
      </w:r>
      <w:r>
        <w:t xml:space="preserve"> </w:t>
      </w:r>
      <w:r>
        <w:t xml:space="preserve">(pp. i–vi). Princeton University Press.</w:t>
      </w:r>
      <w:r>
        <w:t xml:space="preserve"> </w:t>
      </w:r>
      <w:hyperlink r:id="rId337">
        <w:r>
          <w:rPr>
            <w:rStyle w:val="Hyperlink"/>
          </w:rPr>
          <w:t xml:space="preserve">https://doi.org/10.2307/j.ctvcm4hmx.1</w:t>
        </w:r>
      </w:hyperlink>
    </w:p>
    <w:bookmarkEnd w:id="338"/>
    <w:bookmarkStart w:id="340" w:name="X66757a0a549c10b7d591f06707e20c2b6bf7070"/>
    <w:p>
      <w:pPr>
        <w:pStyle w:val="Bibliography"/>
      </w:pPr>
      <w:r>
        <w:t xml:space="preserve">Ray, D. (1998j). History,</w:t>
      </w:r>
      <w:r>
        <w:t xml:space="preserve"> </w:t>
      </w:r>
      <w:r>
        <w:t xml:space="preserve">Expectations</w:t>
      </w:r>
      <w:r>
        <w:t xml:space="preserve">, and</w:t>
      </w:r>
      <w:r>
        <w:t xml:space="preserve"> </w:t>
      </w:r>
      <w:r>
        <w:t xml:space="preserve">Development</w:t>
      </w:r>
      <w:r>
        <w:t xml:space="preserve">. In</w:t>
      </w:r>
      <w:r>
        <w:t xml:space="preserve"> </w:t>
      </w:r>
      <w:r>
        <w:rPr>
          <w:iCs/>
          <w:i/>
        </w:rPr>
        <w:t xml:space="preserve">Development</w:t>
      </w:r>
      <w:r>
        <w:rPr>
          <w:iCs/>
          <w:i/>
        </w:rPr>
        <w:t xml:space="preserve"> </w:t>
      </w:r>
      <w:r>
        <w:rPr>
          <w:iCs/>
          <w:i/>
        </w:rPr>
        <w:t xml:space="preserve">Economics</w:t>
      </w:r>
      <w:r>
        <w:t xml:space="preserve"> </w:t>
      </w:r>
      <w:r>
        <w:t xml:space="preserve">(pp. 131–168). Princeton University Press.</w:t>
      </w:r>
      <w:r>
        <w:t xml:space="preserve"> </w:t>
      </w:r>
      <w:hyperlink r:id="rId339">
        <w:r>
          <w:rPr>
            <w:rStyle w:val="Hyperlink"/>
          </w:rPr>
          <w:t xml:space="preserve">https://doi.org/10.2307/j.ctvcm4hmx.8</w:t>
        </w:r>
      </w:hyperlink>
    </w:p>
    <w:bookmarkEnd w:id="340"/>
    <w:bookmarkStart w:id="342" w:name="ref-rayInequalityDevelopment1998"/>
    <w:p>
      <w:pPr>
        <w:pStyle w:val="Bibliography"/>
      </w:pPr>
      <w:r>
        <w:t xml:space="preserve">Ray, D. (1998k). Inequality and</w:t>
      </w:r>
      <w:r>
        <w:t xml:space="preserve"> </w:t>
      </w:r>
      <w:r>
        <w:t xml:space="preserve">Development</w:t>
      </w:r>
      <w:r>
        <w:t xml:space="preserve">: In</w:t>
      </w:r>
      <w:r>
        <w:t xml:space="preserve"> </w:t>
      </w:r>
      <w:r>
        <w:rPr>
          <w:iCs/>
          <w:i/>
        </w:rPr>
        <w:t xml:space="preserve">Development</w:t>
      </w:r>
      <w:r>
        <w:rPr>
          <w:iCs/>
          <w:i/>
        </w:rPr>
        <w:t xml:space="preserve"> </w:t>
      </w:r>
      <w:r>
        <w:rPr>
          <w:iCs/>
          <w:i/>
        </w:rPr>
        <w:t xml:space="preserve">Economics</w:t>
      </w:r>
      <w:r>
        <w:t xml:space="preserve"> </w:t>
      </w:r>
      <w:r>
        <w:t xml:space="preserve">(pp. 197–248). Princeton University Press.</w:t>
      </w:r>
      <w:r>
        <w:t xml:space="preserve"> </w:t>
      </w:r>
      <w:hyperlink r:id="rId341">
        <w:r>
          <w:rPr>
            <w:rStyle w:val="Hyperlink"/>
          </w:rPr>
          <w:t xml:space="preserve">https://doi.org/10.2307/j.ctvcm4hmx.10</w:t>
        </w:r>
      </w:hyperlink>
    </w:p>
    <w:bookmarkEnd w:id="342"/>
    <w:bookmarkStart w:id="344" w:name="ref-rayInsurance1998"/>
    <w:p>
      <w:pPr>
        <w:pStyle w:val="Bibliography"/>
      </w:pPr>
      <w:r>
        <w:t xml:space="preserve">Ray, D. (1998l). Insurance. In</w:t>
      </w:r>
      <w:r>
        <w:t xml:space="preserve"> </w:t>
      </w:r>
      <w:r>
        <w:rPr>
          <w:iCs/>
          <w:i/>
        </w:rPr>
        <w:t xml:space="preserve">Development</w:t>
      </w:r>
      <w:r>
        <w:rPr>
          <w:iCs/>
          <w:i/>
        </w:rPr>
        <w:t xml:space="preserve"> </w:t>
      </w:r>
      <w:r>
        <w:rPr>
          <w:iCs/>
          <w:i/>
        </w:rPr>
        <w:t xml:space="preserve">Economics</w:t>
      </w:r>
      <w:r>
        <w:t xml:space="preserve"> </w:t>
      </w:r>
      <w:r>
        <w:t xml:space="preserve">(pp. 591–620). Princeton University Press.</w:t>
      </w:r>
      <w:r>
        <w:t xml:space="preserve"> </w:t>
      </w:r>
      <w:hyperlink r:id="rId343">
        <w:r>
          <w:rPr>
            <w:rStyle w:val="Hyperlink"/>
          </w:rPr>
          <w:t xml:space="preserve">https://doi.org/10.2307/j.ctvcm4hmx.18</w:t>
        </w:r>
      </w:hyperlink>
    </w:p>
    <w:bookmarkEnd w:id="344"/>
    <w:bookmarkStart w:id="346" w:name="ref-rayInternationalTrade1998"/>
    <w:p>
      <w:pPr>
        <w:pStyle w:val="Bibliography"/>
      </w:pPr>
      <w:r>
        <w:t xml:space="preserve">Ray, D. (1998m). International</w:t>
      </w:r>
      <w:r>
        <w:t xml:space="preserve"> </w:t>
      </w:r>
      <w:r>
        <w:t xml:space="preserve">Trade</w:t>
      </w:r>
      <w:r>
        <w:t xml:space="preserve">. In</w:t>
      </w:r>
      <w:r>
        <w:t xml:space="preserve"> </w:t>
      </w:r>
      <w:r>
        <w:rPr>
          <w:iCs/>
          <w:i/>
        </w:rPr>
        <w:t xml:space="preserve">Development</w:t>
      </w:r>
      <w:r>
        <w:rPr>
          <w:iCs/>
          <w:i/>
        </w:rPr>
        <w:t xml:space="preserve"> </w:t>
      </w:r>
      <w:r>
        <w:rPr>
          <w:iCs/>
          <w:i/>
        </w:rPr>
        <w:t xml:space="preserve">Economics</w:t>
      </w:r>
      <w:r>
        <w:t xml:space="preserve"> </w:t>
      </w:r>
      <w:r>
        <w:t xml:space="preserve">(pp. 621–646). Princeton University Press.</w:t>
      </w:r>
      <w:r>
        <w:t xml:space="preserve"> </w:t>
      </w:r>
      <w:hyperlink r:id="rId345">
        <w:r>
          <w:rPr>
            <w:rStyle w:val="Hyperlink"/>
          </w:rPr>
          <w:t xml:space="preserve">https://doi.org/10.2307/j.ctvcm4hmx.19</w:t>
        </w:r>
      </w:hyperlink>
    </w:p>
    <w:bookmarkEnd w:id="346"/>
    <w:bookmarkStart w:id="348" w:name="ref-rayIntroduction1998"/>
    <w:p>
      <w:pPr>
        <w:pStyle w:val="Bibliography"/>
      </w:pPr>
      <w:r>
        <w:t xml:space="preserve">Ray, D. (1998n). Introduction. In</w:t>
      </w:r>
      <w:r>
        <w:t xml:space="preserve"> </w:t>
      </w:r>
      <w:r>
        <w:rPr>
          <w:iCs/>
          <w:i/>
        </w:rPr>
        <w:t xml:space="preserve">Development</w:t>
      </w:r>
      <w:r>
        <w:rPr>
          <w:iCs/>
          <w:i/>
        </w:rPr>
        <w:t xml:space="preserve"> </w:t>
      </w:r>
      <w:r>
        <w:rPr>
          <w:iCs/>
          <w:i/>
        </w:rPr>
        <w:t xml:space="preserve">Economics</w:t>
      </w:r>
      <w:r>
        <w:t xml:space="preserve"> </w:t>
      </w:r>
      <w:r>
        <w:t xml:space="preserve">(pp. 3–6). Princeton University Press.</w:t>
      </w:r>
      <w:r>
        <w:t xml:space="preserve"> </w:t>
      </w:r>
      <w:hyperlink r:id="rId347">
        <w:r>
          <w:rPr>
            <w:rStyle w:val="Hyperlink"/>
          </w:rPr>
          <w:t xml:space="preserve">https://doi.org/10.2307/j.ctvcm4hmx.4</w:t>
        </w:r>
      </w:hyperlink>
    </w:p>
    <w:bookmarkEnd w:id="348"/>
    <w:bookmarkStart w:id="350" w:name="ref-rayLabor1998"/>
    <w:p>
      <w:pPr>
        <w:pStyle w:val="Bibliography"/>
      </w:pPr>
      <w:r>
        <w:t xml:space="preserve">Ray, D. (1998o). Labor. In</w:t>
      </w:r>
      <w:r>
        <w:t xml:space="preserve"> </w:t>
      </w:r>
      <w:r>
        <w:rPr>
          <w:iCs/>
          <w:i/>
        </w:rPr>
        <w:t xml:space="preserve">Development</w:t>
      </w:r>
      <w:r>
        <w:rPr>
          <w:iCs/>
          <w:i/>
        </w:rPr>
        <w:t xml:space="preserve"> </w:t>
      </w:r>
      <w:r>
        <w:rPr>
          <w:iCs/>
          <w:i/>
        </w:rPr>
        <w:t xml:space="preserve">Economics</w:t>
      </w:r>
      <w:r>
        <w:t xml:space="preserve"> </w:t>
      </w:r>
      <w:r>
        <w:t xml:space="preserve">(pp. 483–528). Princeton University Press.</w:t>
      </w:r>
      <w:r>
        <w:t xml:space="preserve"> </w:t>
      </w:r>
      <w:hyperlink r:id="rId349">
        <w:r>
          <w:rPr>
            <w:rStyle w:val="Hyperlink"/>
          </w:rPr>
          <w:t xml:space="preserve">https://doi.org/10.2307/j.ctvcm4hmx.16</w:t>
        </w:r>
      </w:hyperlink>
    </w:p>
    <w:bookmarkEnd w:id="350"/>
    <w:bookmarkStart w:id="352" w:name="ref-rayLand1998"/>
    <w:p>
      <w:pPr>
        <w:pStyle w:val="Bibliography"/>
      </w:pPr>
      <w:r>
        <w:t xml:space="preserve">Ray, D. (1998p). Land. In</w:t>
      </w:r>
      <w:r>
        <w:t xml:space="preserve"> </w:t>
      </w:r>
      <w:r>
        <w:rPr>
          <w:iCs/>
          <w:i/>
        </w:rPr>
        <w:t xml:space="preserve">Development</w:t>
      </w:r>
      <w:r>
        <w:rPr>
          <w:iCs/>
          <w:i/>
        </w:rPr>
        <w:t xml:space="preserve"> </w:t>
      </w:r>
      <w:r>
        <w:rPr>
          <w:iCs/>
          <w:i/>
        </w:rPr>
        <w:t xml:space="preserve">Economics</w:t>
      </w:r>
      <w:r>
        <w:t xml:space="preserve"> </w:t>
      </w:r>
      <w:r>
        <w:t xml:space="preserve">(pp. 415–482). Princeton University Press.</w:t>
      </w:r>
      <w:r>
        <w:t xml:space="preserve"> </w:t>
      </w:r>
      <w:hyperlink r:id="rId351">
        <w:r>
          <w:rPr>
            <w:rStyle w:val="Hyperlink"/>
          </w:rPr>
          <w:t xml:space="preserve">https://doi.org/10.2307/j.ctvcm4hmx.15</w:t>
        </w:r>
      </w:hyperlink>
    </w:p>
    <w:bookmarkEnd w:id="352"/>
    <w:bookmarkStart w:id="354" w:name="ref-rayMarketsAgriculture1998"/>
    <w:p>
      <w:pPr>
        <w:pStyle w:val="Bibliography"/>
      </w:pPr>
      <w:r>
        <w:t xml:space="preserve">Ray, D. (1998q). Markets in</w:t>
      </w:r>
      <w:r>
        <w:t xml:space="preserve"> </w:t>
      </w:r>
      <w:r>
        <w:t xml:space="preserve">Agriculture</w:t>
      </w:r>
      <w:r>
        <w:t xml:space="preserve">: In</w:t>
      </w:r>
      <w:r>
        <w:t xml:space="preserve"> </w:t>
      </w:r>
      <w:r>
        <w:rPr>
          <w:iCs/>
          <w:i/>
        </w:rPr>
        <w:t xml:space="preserve">Development</w:t>
      </w:r>
      <w:r>
        <w:rPr>
          <w:iCs/>
          <w:i/>
        </w:rPr>
        <w:t xml:space="preserve"> </w:t>
      </w:r>
      <w:r>
        <w:rPr>
          <w:iCs/>
          <w:i/>
        </w:rPr>
        <w:t xml:space="preserve">Economics</w:t>
      </w:r>
      <w:r>
        <w:t xml:space="preserve"> </w:t>
      </w:r>
      <w:r>
        <w:t xml:space="preserve">(pp. 403–414). Princeton University Press.</w:t>
      </w:r>
      <w:r>
        <w:t xml:space="preserve"> </w:t>
      </w:r>
      <w:hyperlink r:id="rId353">
        <w:r>
          <w:rPr>
            <w:rStyle w:val="Hyperlink"/>
          </w:rPr>
          <w:t xml:space="preserve">https://doi.org/10.2307/j.ctvcm4hmx.14</w:t>
        </w:r>
      </w:hyperlink>
    </w:p>
    <w:bookmarkEnd w:id="354"/>
    <w:bookmarkStart w:id="356" w:name="ref-rayMultilateralApproachesTrade1998"/>
    <w:p>
      <w:pPr>
        <w:pStyle w:val="Bibliography"/>
      </w:pPr>
      <w:r>
        <w:t xml:space="preserve">Ray, D. (1998r). Multilateral</w:t>
      </w:r>
      <w:r>
        <w:t xml:space="preserve"> </w:t>
      </w:r>
      <w:r>
        <w:t xml:space="preserve">Approaches</w:t>
      </w:r>
      <w:r>
        <w:t xml:space="preserve"> </w:t>
      </w:r>
      <w:r>
        <w:t xml:space="preserve">to</w:t>
      </w:r>
      <w:r>
        <w:t xml:space="preserve"> </w:t>
      </w:r>
      <w:r>
        <w:t xml:space="preserve">Trade Policy</w:t>
      </w:r>
      <w:r>
        <w:t xml:space="preserve">. In</w:t>
      </w:r>
      <w:r>
        <w:t xml:space="preserve"> </w:t>
      </w:r>
      <w:r>
        <w:rPr>
          <w:iCs/>
          <w:i/>
        </w:rPr>
        <w:t xml:space="preserve">Development</w:t>
      </w:r>
      <w:r>
        <w:rPr>
          <w:iCs/>
          <w:i/>
        </w:rPr>
        <w:t xml:space="preserve"> </w:t>
      </w:r>
      <w:r>
        <w:rPr>
          <w:iCs/>
          <w:i/>
        </w:rPr>
        <w:t xml:space="preserve">Economics</w:t>
      </w:r>
      <w:r>
        <w:t xml:space="preserve"> </w:t>
      </w:r>
      <w:r>
        <w:t xml:space="preserve">(pp. 711–756). Princeton University Press.</w:t>
      </w:r>
      <w:r>
        <w:t xml:space="preserve"> </w:t>
      </w:r>
      <w:hyperlink r:id="rId355">
        <w:r>
          <w:rPr>
            <w:rStyle w:val="Hyperlink"/>
          </w:rPr>
          <w:t xml:space="preserve">https://doi.org/10.2307/j.ctvcm4hmx.21</w:t>
        </w:r>
      </w:hyperlink>
    </w:p>
    <w:bookmarkEnd w:id="356"/>
    <w:bookmarkStart w:id="358" w:name="ref-rayPopulationGrowthEconomic1998"/>
    <w:p>
      <w:pPr>
        <w:pStyle w:val="Bibliography"/>
      </w:pPr>
      <w:r>
        <w:t xml:space="preserve">Ray, D. (1998s). Population</w:t>
      </w:r>
      <w:r>
        <w:t xml:space="preserve"> </w:t>
      </w:r>
      <w:r>
        <w:t xml:space="preserve">Growth</w:t>
      </w:r>
      <w:r>
        <w:t xml:space="preserve"> </w:t>
      </w:r>
      <w:r>
        <w:t xml:space="preserve">and</w:t>
      </w:r>
      <w:r>
        <w:t xml:space="preserve"> </w:t>
      </w:r>
      <w:r>
        <w:t xml:space="preserve">Economic Development</w:t>
      </w:r>
      <w:r>
        <w:t xml:space="preserve">. In</w:t>
      </w:r>
      <w:r>
        <w:t xml:space="preserve"> </w:t>
      </w:r>
      <w:r>
        <w:rPr>
          <w:iCs/>
          <w:i/>
        </w:rPr>
        <w:t xml:space="preserve">Development</w:t>
      </w:r>
      <w:r>
        <w:rPr>
          <w:iCs/>
          <w:i/>
        </w:rPr>
        <w:t xml:space="preserve"> </w:t>
      </w:r>
      <w:r>
        <w:rPr>
          <w:iCs/>
          <w:i/>
        </w:rPr>
        <w:t xml:space="preserve">Economics</w:t>
      </w:r>
      <w:r>
        <w:t xml:space="preserve"> </w:t>
      </w:r>
      <w:r>
        <w:t xml:space="preserve">(pp. 295–344). Princeton University Press.</w:t>
      </w:r>
      <w:r>
        <w:t xml:space="preserve"> </w:t>
      </w:r>
      <w:hyperlink r:id="rId357">
        <w:r>
          <w:rPr>
            <w:rStyle w:val="Hyperlink"/>
          </w:rPr>
          <w:t xml:space="preserve">https://doi.org/10.2307/j.ctvcm4hmx.12</w:t>
        </w:r>
      </w:hyperlink>
    </w:p>
    <w:bookmarkEnd w:id="358"/>
    <w:bookmarkStart w:id="360" w:name="ref-rayPovertyUndernutrition1998"/>
    <w:p>
      <w:pPr>
        <w:pStyle w:val="Bibliography"/>
      </w:pPr>
      <w:r>
        <w:t xml:space="preserve">Ray, D. (1998t). Poverty and</w:t>
      </w:r>
      <w:r>
        <w:t xml:space="preserve"> </w:t>
      </w:r>
      <w:r>
        <w:t xml:space="preserve">Undernutrition</w:t>
      </w:r>
      <w:r>
        <w:t xml:space="preserve">. In</w:t>
      </w:r>
      <w:r>
        <w:t xml:space="preserve"> </w:t>
      </w:r>
      <w:r>
        <w:rPr>
          <w:iCs/>
          <w:i/>
        </w:rPr>
        <w:t xml:space="preserve">Development</w:t>
      </w:r>
      <w:r>
        <w:rPr>
          <w:iCs/>
          <w:i/>
        </w:rPr>
        <w:t xml:space="preserve"> </w:t>
      </w:r>
      <w:r>
        <w:rPr>
          <w:iCs/>
          <w:i/>
        </w:rPr>
        <w:t xml:space="preserve">Economics</w:t>
      </w:r>
      <w:r>
        <w:t xml:space="preserve"> </w:t>
      </w:r>
      <w:r>
        <w:t xml:space="preserve">(pp. 249–294). Princeton University Press.</w:t>
      </w:r>
      <w:r>
        <w:t xml:space="preserve"> </w:t>
      </w:r>
      <w:hyperlink r:id="rId359">
        <w:r>
          <w:rPr>
            <w:rStyle w:val="Hyperlink"/>
          </w:rPr>
          <w:t xml:space="preserve">https://doi.org/10.2307/j.ctvcm4hmx.11</w:t>
        </w:r>
      </w:hyperlink>
    </w:p>
    <w:bookmarkEnd w:id="360"/>
    <w:bookmarkStart w:id="362" w:name="ref-rayPreface1998"/>
    <w:p>
      <w:pPr>
        <w:pStyle w:val="Bibliography"/>
      </w:pPr>
      <w:r>
        <w:t xml:space="preserve">Ray, D. (1998u). Preface. In</w:t>
      </w:r>
      <w:r>
        <w:t xml:space="preserve"> </w:t>
      </w:r>
      <w:r>
        <w:rPr>
          <w:iCs/>
          <w:i/>
        </w:rPr>
        <w:t xml:space="preserve">Development</w:t>
      </w:r>
      <w:r>
        <w:rPr>
          <w:iCs/>
          <w:i/>
        </w:rPr>
        <w:t xml:space="preserve"> </w:t>
      </w:r>
      <w:r>
        <w:rPr>
          <w:iCs/>
          <w:i/>
        </w:rPr>
        <w:t xml:space="preserve">Economics</w:t>
      </w:r>
      <w:r>
        <w:t xml:space="preserve"> </w:t>
      </w:r>
      <w:r>
        <w:t xml:space="preserve">(pp. xv–2). Princeton University Press.</w:t>
      </w:r>
      <w:r>
        <w:t xml:space="preserve"> </w:t>
      </w:r>
      <w:hyperlink r:id="rId361">
        <w:r>
          <w:rPr>
            <w:rStyle w:val="Hyperlink"/>
          </w:rPr>
          <w:t xml:space="preserve">https://doi.org/10.2307/j.ctvcm4hmx.3</w:t>
        </w:r>
      </w:hyperlink>
    </w:p>
    <w:bookmarkEnd w:id="362"/>
    <w:bookmarkStart w:id="364" w:name="ref-rayReferences1998"/>
    <w:p>
      <w:pPr>
        <w:pStyle w:val="Bibliography"/>
      </w:pPr>
      <w:r>
        <w:t xml:space="preserve">Ray, D. (1998v). References. In</w:t>
      </w:r>
      <w:r>
        <w:t xml:space="preserve"> </w:t>
      </w:r>
      <w:r>
        <w:rPr>
          <w:iCs/>
          <w:i/>
        </w:rPr>
        <w:t xml:space="preserve">Development</w:t>
      </w:r>
      <w:r>
        <w:rPr>
          <w:iCs/>
          <w:i/>
        </w:rPr>
        <w:t xml:space="preserve"> </w:t>
      </w:r>
      <w:r>
        <w:rPr>
          <w:iCs/>
          <w:i/>
        </w:rPr>
        <w:t xml:space="preserve">Economics</w:t>
      </w:r>
      <w:r>
        <w:t xml:space="preserve"> </w:t>
      </w:r>
      <w:r>
        <w:t xml:space="preserve">(pp. 805–828). Princeton University Press.</w:t>
      </w:r>
      <w:r>
        <w:t xml:space="preserve"> </w:t>
      </w:r>
      <w:hyperlink r:id="rId363">
        <w:r>
          <w:rPr>
            <w:rStyle w:val="Hyperlink"/>
          </w:rPr>
          <w:t xml:space="preserve">https://doi.org/10.2307/j.ctvcm4hmx.24</w:t>
        </w:r>
      </w:hyperlink>
    </w:p>
    <w:bookmarkEnd w:id="364"/>
    <w:bookmarkStart w:id="366" w:name="ref-rayRuralUrban1998"/>
    <w:p>
      <w:pPr>
        <w:pStyle w:val="Bibliography"/>
      </w:pPr>
      <w:r>
        <w:t xml:space="preserve">Ray, D. (1998w). Rural and</w:t>
      </w:r>
      <w:r>
        <w:t xml:space="preserve"> </w:t>
      </w:r>
      <w:r>
        <w:t xml:space="preserve">Urban</w:t>
      </w:r>
      <w:r>
        <w:t xml:space="preserve">. In</w:t>
      </w:r>
      <w:r>
        <w:t xml:space="preserve"> </w:t>
      </w:r>
      <w:r>
        <w:rPr>
          <w:iCs/>
          <w:i/>
        </w:rPr>
        <w:t xml:space="preserve">Development</w:t>
      </w:r>
      <w:r>
        <w:rPr>
          <w:iCs/>
          <w:i/>
        </w:rPr>
        <w:t xml:space="preserve"> </w:t>
      </w:r>
      <w:r>
        <w:rPr>
          <w:iCs/>
          <w:i/>
        </w:rPr>
        <w:t xml:space="preserve">Economics</w:t>
      </w:r>
      <w:r>
        <w:t xml:space="preserve"> </w:t>
      </w:r>
      <w:r>
        <w:t xml:space="preserve">(pp. 345–402). Princeton University Press.</w:t>
      </w:r>
      <w:r>
        <w:t xml:space="preserve"> </w:t>
      </w:r>
      <w:hyperlink r:id="rId365">
        <w:r>
          <w:rPr>
            <w:rStyle w:val="Hyperlink"/>
          </w:rPr>
          <w:t xml:space="preserve">https://doi.org/10.2307/j.ctvcm4hmx.13</w:t>
        </w:r>
      </w:hyperlink>
    </w:p>
    <w:bookmarkEnd w:id="366"/>
    <w:bookmarkStart w:id="368" w:name="ref-raySubjectIndex1998"/>
    <w:p>
      <w:pPr>
        <w:pStyle w:val="Bibliography"/>
      </w:pPr>
      <w:r>
        <w:t xml:space="preserve">Ray, D. (1998x). Subject</w:t>
      </w:r>
      <w:r>
        <w:t xml:space="preserve"> </w:t>
      </w:r>
      <w:r>
        <w:t xml:space="preserve">Index</w:t>
      </w:r>
      <w:r>
        <w:t xml:space="preserve">. In</w:t>
      </w:r>
      <w:r>
        <w:t xml:space="preserve"> </w:t>
      </w:r>
      <w:r>
        <w:rPr>
          <w:iCs/>
          <w:i/>
        </w:rPr>
        <w:t xml:space="preserve">Development</w:t>
      </w:r>
      <w:r>
        <w:rPr>
          <w:iCs/>
          <w:i/>
        </w:rPr>
        <w:t xml:space="preserve"> </w:t>
      </w:r>
      <w:r>
        <w:rPr>
          <w:iCs/>
          <w:i/>
        </w:rPr>
        <w:t xml:space="preserve">Economics</w:t>
      </w:r>
      <w:r>
        <w:t xml:space="preserve"> </w:t>
      </w:r>
      <w:r>
        <w:t xml:space="preserve">(pp. 835–848). Princeton University Press.</w:t>
      </w:r>
      <w:r>
        <w:t xml:space="preserve"> </w:t>
      </w:r>
      <w:hyperlink r:id="rId367">
        <w:r>
          <w:rPr>
            <w:rStyle w:val="Hyperlink"/>
          </w:rPr>
          <w:t xml:space="preserve">https://doi.org/10.2307/j.ctvcm4hmx.26</w:t>
        </w:r>
      </w:hyperlink>
    </w:p>
    <w:bookmarkEnd w:id="368"/>
    <w:bookmarkStart w:id="370" w:name="ref-rayTableContents1998"/>
    <w:p>
      <w:pPr>
        <w:pStyle w:val="Bibliography"/>
      </w:pPr>
      <w:r>
        <w:t xml:space="preserve">Ray, D. (1998y). Table of</w:t>
      </w:r>
      <w:r>
        <w:t xml:space="preserve"> </w:t>
      </w:r>
      <w:r>
        <w:t xml:space="preserve">Contents</w:t>
      </w:r>
      <w:r>
        <w:t xml:space="preserve">. In</w:t>
      </w:r>
      <w:r>
        <w:t xml:space="preserve"> </w:t>
      </w:r>
      <w:r>
        <w:rPr>
          <w:iCs/>
          <w:i/>
        </w:rPr>
        <w:t xml:space="preserve">Development</w:t>
      </w:r>
      <w:r>
        <w:rPr>
          <w:iCs/>
          <w:i/>
        </w:rPr>
        <w:t xml:space="preserve"> </w:t>
      </w:r>
      <w:r>
        <w:rPr>
          <w:iCs/>
          <w:i/>
        </w:rPr>
        <w:t xml:space="preserve">Economics</w:t>
      </w:r>
      <w:r>
        <w:t xml:space="preserve"> </w:t>
      </w:r>
      <w:r>
        <w:t xml:space="preserve">(pp. vii–xiv). Princeton University Press.</w:t>
      </w:r>
      <w:r>
        <w:t xml:space="preserve"> </w:t>
      </w:r>
      <w:hyperlink r:id="rId369">
        <w:r>
          <w:rPr>
            <w:rStyle w:val="Hyperlink"/>
          </w:rPr>
          <w:t xml:space="preserve">https://doi.org/10.2307/j.ctvcm4hmx.2</w:t>
        </w:r>
      </w:hyperlink>
    </w:p>
    <w:bookmarkEnd w:id="370"/>
    <w:bookmarkStart w:id="372" w:name="ref-rayNewGrowthTheories1998"/>
    <w:p>
      <w:pPr>
        <w:pStyle w:val="Bibliography"/>
      </w:pPr>
      <w:r>
        <w:t xml:space="preserve">Ray, D. (1998z). The</w:t>
      </w:r>
      <w:r>
        <w:t xml:space="preserve"> </w:t>
      </w:r>
      <w:r>
        <w:t xml:space="preserve">New Growth Theories</w:t>
      </w:r>
      <w:r>
        <w:t xml:space="preserve">. In</w:t>
      </w:r>
      <w:r>
        <w:t xml:space="preserve"> </w:t>
      </w:r>
      <w:r>
        <w:rPr>
          <w:iCs/>
          <w:i/>
        </w:rPr>
        <w:t xml:space="preserve">Development</w:t>
      </w:r>
      <w:r>
        <w:rPr>
          <w:iCs/>
          <w:i/>
        </w:rPr>
        <w:t xml:space="preserve"> </w:t>
      </w:r>
      <w:r>
        <w:rPr>
          <w:iCs/>
          <w:i/>
        </w:rPr>
        <w:t xml:space="preserve">Economics</w:t>
      </w:r>
      <w:r>
        <w:t xml:space="preserve"> </w:t>
      </w:r>
      <w:r>
        <w:t xml:space="preserve">(pp. 99–130). Princeton University Press.</w:t>
      </w:r>
      <w:r>
        <w:t xml:space="preserve"> </w:t>
      </w:r>
      <w:hyperlink r:id="rId371">
        <w:r>
          <w:rPr>
            <w:rStyle w:val="Hyperlink"/>
          </w:rPr>
          <w:t xml:space="preserve">https://doi.org/10.2307/j.ctvcm4hmx.7</w:t>
        </w:r>
      </w:hyperlink>
    </w:p>
    <w:bookmarkEnd w:id="372"/>
    <w:bookmarkStart w:id="374" w:name="ref-rayTradePolicy1998"/>
    <w:p>
      <w:pPr>
        <w:pStyle w:val="Bibliography"/>
      </w:pPr>
      <w:r>
        <w:t xml:space="preserve">Ray, D. (1998aa). Trade</w:t>
      </w:r>
      <w:r>
        <w:t xml:space="preserve"> </w:t>
      </w:r>
      <w:r>
        <w:t xml:space="preserve">Policy</w:t>
      </w:r>
      <w:r>
        <w:t xml:space="preserve">. In</w:t>
      </w:r>
      <w:r>
        <w:t xml:space="preserve"> </w:t>
      </w:r>
      <w:r>
        <w:rPr>
          <w:iCs/>
          <w:i/>
        </w:rPr>
        <w:t xml:space="preserve">Development</w:t>
      </w:r>
      <w:r>
        <w:rPr>
          <w:iCs/>
          <w:i/>
        </w:rPr>
        <w:t xml:space="preserve"> </w:t>
      </w:r>
      <w:r>
        <w:rPr>
          <w:iCs/>
          <w:i/>
        </w:rPr>
        <w:t xml:space="preserve">Economics</w:t>
      </w:r>
      <w:r>
        <w:t xml:space="preserve"> </w:t>
      </w:r>
      <w:r>
        <w:t xml:space="preserve">(pp. 647–710). Princeton University Press.</w:t>
      </w:r>
      <w:r>
        <w:t xml:space="preserve"> </w:t>
      </w:r>
      <w:hyperlink r:id="rId373">
        <w:r>
          <w:rPr>
            <w:rStyle w:val="Hyperlink"/>
          </w:rPr>
          <w:t xml:space="preserve">https://doi.org/10.2307/j.ctvcm4hmx.20</w:t>
        </w:r>
      </w:hyperlink>
    </w:p>
    <w:bookmarkEnd w:id="374"/>
    <w:bookmarkStart w:id="376" w:name="Xd140c56b7706c4357485e442acb1ee319e0401c"/>
    <w:p>
      <w:pPr>
        <w:pStyle w:val="Bibliography"/>
      </w:pPr>
      <w:r>
        <w:t xml:space="preserve">Reeves, A., Karanikolos, M., Mackenbach, J., McKee, M., &amp; Stuckler, D. (2014). Do employment protection policies reduce the relative disadvantage in the labour market experienced by unhealthy people?</w:t>
      </w:r>
      <w:r>
        <w:t xml:space="preserve"> </w:t>
      </w:r>
      <w:r>
        <w:t xml:space="preserve">A</w:t>
      </w:r>
      <w:r>
        <w:t xml:space="preserve"> </w:t>
      </w:r>
      <w:r>
        <w:t xml:space="preserve">natural experiment created by the</w:t>
      </w:r>
      <w:r>
        <w:t xml:space="preserve"> </w:t>
      </w:r>
      <w:r>
        <w:t xml:space="preserve">Great Recession</w:t>
      </w:r>
      <w:r>
        <w:t xml:space="preserve"> </w:t>
      </w:r>
      <w:r>
        <w:t xml:space="preserve">in</w:t>
      </w:r>
      <w:r>
        <w:t xml:space="preserve"> </w:t>
      </w:r>
      <w:r>
        <w:t xml:space="preserve">Europe</w:t>
      </w:r>
      <w:r>
        <w:t xml:space="preserve">.</w:t>
      </w:r>
      <w:r>
        <w:t xml:space="preserve"> </w:t>
      </w:r>
      <w:r>
        <w:rPr>
          <w:iCs/>
          <w:i/>
        </w:rPr>
        <w:t xml:space="preserve">Social Science &amp; Medicine</w:t>
      </w:r>
      <w:r>
        <w:t xml:space="preserve">,</w:t>
      </w:r>
      <w:r>
        <w:t xml:space="preserve"> </w:t>
      </w:r>
      <w:r>
        <w:rPr>
          <w:iCs/>
          <w:i/>
        </w:rPr>
        <w:t xml:space="preserve">121</w:t>
      </w:r>
      <w:r>
        <w:t xml:space="preserve">, 98–108.</w:t>
      </w:r>
      <w:r>
        <w:t xml:space="preserve"> </w:t>
      </w:r>
      <w:hyperlink r:id="rId375">
        <w:r>
          <w:rPr>
            <w:rStyle w:val="Hyperlink"/>
          </w:rPr>
          <w:t xml:space="preserve">https://doi.org/10.1016/j.socscimed.2014.09.034</w:t>
        </w:r>
      </w:hyperlink>
    </w:p>
    <w:bookmarkEnd w:id="376"/>
    <w:bookmarkStart w:id="377" w:name="X75a29d3d881d14429fb14099640bc886a5af5e8"/>
    <w:p>
      <w:pPr>
        <w:pStyle w:val="Bibliography"/>
      </w:pPr>
      <w:r>
        <w:t xml:space="preserve">Richardson, G., &amp; Troost, W. (2009). Monetary</w:t>
      </w:r>
      <w:r>
        <w:t xml:space="preserve"> </w:t>
      </w:r>
      <w:r>
        <w:t xml:space="preserve">Intervention Mitigated Banking Panics</w:t>
      </w:r>
      <w:r>
        <w:t xml:space="preserve"> </w:t>
      </w:r>
      <w:r>
        <w:t xml:space="preserve">during the</w:t>
      </w:r>
      <w:r>
        <w:t xml:space="preserve"> </w:t>
      </w:r>
      <w:r>
        <w:t xml:space="preserve">Great Depression</w:t>
      </w:r>
      <w:r>
        <w:t xml:space="preserve">:</w:t>
      </w:r>
      <w:r>
        <w:t xml:space="preserve"> </w:t>
      </w:r>
      <w:r>
        <w:t xml:space="preserve">Quasi</w:t>
      </w:r>
      <w:r>
        <w:t xml:space="preserve">‐</w:t>
      </w:r>
      <w:r>
        <w:t xml:space="preserve">Experimental Evidence</w:t>
      </w:r>
      <w:r>
        <w:t xml:space="preserve"> </w:t>
      </w:r>
      <w:r>
        <w:t xml:space="preserve">from a</w:t>
      </w:r>
      <w:r>
        <w:t xml:space="preserve"> </w:t>
      </w:r>
      <w:r>
        <w:t xml:space="preserve">Federal Reserve District Border</w:t>
      </w:r>
      <w:r>
        <w:t xml:space="preserve">, 1929–1933.</w:t>
      </w:r>
      <w:r>
        <w:t xml:space="preserve"> </w:t>
      </w:r>
      <w:r>
        <w:rPr>
          <w:iCs/>
          <w:i/>
        </w:rPr>
        <w:t xml:space="preserve">Journal of Political Economy</w:t>
      </w:r>
      <w:r>
        <w:t xml:space="preserve">,</w:t>
      </w:r>
      <w:r>
        <w:t xml:space="preserve"> </w:t>
      </w:r>
      <w:r>
        <w:rPr>
          <w:iCs/>
          <w:i/>
        </w:rPr>
        <w:t xml:space="preserve">117</w:t>
      </w:r>
      <w:r>
        <w:t xml:space="preserve">(6), 1031–1073.</w:t>
      </w:r>
    </w:p>
    <w:bookmarkEnd w:id="377"/>
    <w:bookmarkStart w:id="379" w:name="Xa7dcf5cdf0f4a571c62bdbd91d3a1f6d7348907"/>
    <w:p>
      <w:pPr>
        <w:pStyle w:val="Bibliography"/>
      </w:pPr>
      <w:r>
        <w:t xml:space="preserve">Riphahn, R. T. (2004). Employment protection and effort among</w:t>
      </w:r>
      <w:r>
        <w:t xml:space="preserve"> </w:t>
      </w:r>
      <w:r>
        <w:t xml:space="preserve">German</w:t>
      </w:r>
      <w:r>
        <w:t xml:space="preserve"> </w:t>
      </w:r>
      <w:r>
        <w:t xml:space="preserve">employees.</w:t>
      </w:r>
      <w:r>
        <w:t xml:space="preserve"> </w:t>
      </w:r>
      <w:r>
        <w:rPr>
          <w:iCs/>
          <w:i/>
        </w:rPr>
        <w:t xml:space="preserve">Economics Letters</w:t>
      </w:r>
      <w:r>
        <w:t xml:space="preserve">,</w:t>
      </w:r>
      <w:r>
        <w:t xml:space="preserve"> </w:t>
      </w:r>
      <w:r>
        <w:rPr>
          <w:iCs/>
          <w:i/>
        </w:rPr>
        <w:t xml:space="preserve">85</w:t>
      </w:r>
      <w:r>
        <w:t xml:space="preserve">(3), 353–357.</w:t>
      </w:r>
      <w:r>
        <w:t xml:space="preserve"> </w:t>
      </w:r>
      <w:hyperlink r:id="rId378">
        <w:r>
          <w:rPr>
            <w:rStyle w:val="Hyperlink"/>
          </w:rPr>
          <w:t xml:space="preserve">https://doi.org/10.1016/j.econlet.2004.03.035</w:t>
        </w:r>
      </w:hyperlink>
    </w:p>
    <w:bookmarkEnd w:id="379"/>
    <w:bookmarkStart w:id="381" w:name="ref-robsonDoesStricterEmployment2003"/>
    <w:p>
      <w:pPr>
        <w:pStyle w:val="Bibliography"/>
      </w:pPr>
      <w:r>
        <w:t xml:space="preserve">Robson, M. T. (2003). Does</w:t>
      </w:r>
      <w:r>
        <w:t xml:space="preserve"> </w:t>
      </w:r>
      <w:r>
        <w:t xml:space="preserve">Stricter Employment Protection Legislation Promote Self-employment</w:t>
      </w:r>
      <w:r>
        <w:t xml:space="preserve">?</w:t>
      </w:r>
      <w:r>
        <w:t xml:space="preserve"> </w:t>
      </w:r>
      <w:r>
        <w:rPr>
          <w:iCs/>
          <w:i/>
        </w:rPr>
        <w:t xml:space="preserve">Small Business Economics</w:t>
      </w:r>
      <w:r>
        <w:t xml:space="preserve">,</w:t>
      </w:r>
      <w:r>
        <w:t xml:space="preserve"> </w:t>
      </w:r>
      <w:r>
        <w:rPr>
          <w:iCs/>
          <w:i/>
        </w:rPr>
        <w:t xml:space="preserve">21</w:t>
      </w:r>
      <w:r>
        <w:t xml:space="preserve">(3), 309–319.</w:t>
      </w:r>
      <w:r>
        <w:t xml:space="preserve"> </w:t>
      </w:r>
      <w:hyperlink r:id="rId380">
        <w:r>
          <w:rPr>
            <w:rStyle w:val="Hyperlink"/>
          </w:rPr>
          <w:t xml:space="preserve">https://doi.org/10.1023/A:1025742423308</w:t>
        </w:r>
      </w:hyperlink>
    </w:p>
    <w:bookmarkEnd w:id="381"/>
    <w:bookmarkStart w:id="383" w:name="ref-ruhmEconomicConsequencesParental1998"/>
    <w:p>
      <w:pPr>
        <w:pStyle w:val="Bibliography"/>
      </w:pPr>
      <w:r>
        <w:t xml:space="preserve">Ruhm, C. J. (1998). The</w:t>
      </w:r>
      <w:r>
        <w:t xml:space="preserve"> </w:t>
      </w:r>
      <w:r>
        <w:t xml:space="preserve">Economic Consequences</w:t>
      </w:r>
      <w:r>
        <w:t xml:space="preserve"> </w:t>
      </w:r>
      <w:r>
        <w:t xml:space="preserve">of</w:t>
      </w:r>
      <w:r>
        <w:t xml:space="preserve"> </w:t>
      </w:r>
      <w:r>
        <w:t xml:space="preserve">Parental Leave Mandates</w:t>
      </w:r>
      <w:r>
        <w:t xml:space="preserve">:</w:t>
      </w:r>
      <w:r>
        <w:t xml:space="preserve"> </w:t>
      </w:r>
      <w:r>
        <w:t xml:space="preserve">Lessons</w:t>
      </w:r>
      <w:r>
        <w:t xml:space="preserve"> </w:t>
      </w:r>
      <w:r>
        <w:t xml:space="preserve">from</w:t>
      </w:r>
      <w:r>
        <w:t xml:space="preserve"> </w:t>
      </w:r>
      <w:r>
        <w:t xml:space="preserve">Europe</w:t>
      </w:r>
      <w:r>
        <w:t xml:space="preserve">*.</w:t>
      </w:r>
      <w:r>
        <w:t xml:space="preserve"> </w:t>
      </w:r>
      <w:r>
        <w:rPr>
          <w:iCs/>
          <w:i/>
        </w:rPr>
        <w:t xml:space="preserve">The Quarterly Journal of Economics</w:t>
      </w:r>
      <w:r>
        <w:t xml:space="preserve">,</w:t>
      </w:r>
      <w:r>
        <w:t xml:space="preserve"> </w:t>
      </w:r>
      <w:r>
        <w:rPr>
          <w:iCs/>
          <w:i/>
        </w:rPr>
        <w:t xml:space="preserve">113</w:t>
      </w:r>
      <w:r>
        <w:t xml:space="preserve">(1), 285–317.</w:t>
      </w:r>
      <w:r>
        <w:t xml:space="preserve"> </w:t>
      </w:r>
      <w:hyperlink r:id="rId382">
        <w:r>
          <w:rPr>
            <w:rStyle w:val="Hyperlink"/>
          </w:rPr>
          <w:t xml:space="preserve">https://doi.org/10.1162/003355398555586</w:t>
        </w:r>
      </w:hyperlink>
    </w:p>
    <w:bookmarkEnd w:id="383"/>
    <w:bookmarkStart w:id="385" w:name="Xd5471b96c5defda7d8d2d9c37afeffc120e86de"/>
    <w:p>
      <w:pPr>
        <w:pStyle w:val="Bibliography"/>
      </w:pPr>
      <w:r>
        <w:t xml:space="preserve">Rybczynski, K., &amp; Sen, A. (2018). Employment</w:t>
      </w:r>
      <w:r>
        <w:t xml:space="preserve"> </w:t>
      </w:r>
      <w:r>
        <w:t xml:space="preserve">Effects</w:t>
      </w:r>
      <w:r>
        <w:t xml:space="preserve"> </w:t>
      </w:r>
      <w:r>
        <w:t xml:space="preserve">of the</w:t>
      </w:r>
      <w:r>
        <w:t xml:space="preserve"> </w:t>
      </w:r>
      <w:r>
        <w:t xml:space="preserve">Minimum Wage</w:t>
      </w:r>
      <w:r>
        <w:t xml:space="preserve">:</w:t>
      </w:r>
      <w:r>
        <w:t xml:space="preserve"> </w:t>
      </w:r>
      <w:r>
        <w:t xml:space="preserve">Panel Data Evidence</w:t>
      </w:r>
      <w:r>
        <w:t xml:space="preserve"> </w:t>
      </w:r>
      <w:r>
        <w:t xml:space="preserve">from</w:t>
      </w:r>
      <w:r>
        <w:t xml:space="preserve"> </w:t>
      </w:r>
      <w:r>
        <w:t xml:space="preserve">Canadian Provinces</w:t>
      </w:r>
      <w:r>
        <w:t xml:space="preserve">.</w:t>
      </w:r>
      <w:r>
        <w:t xml:space="preserve"> </w:t>
      </w:r>
      <w:r>
        <w:rPr>
          <w:iCs/>
          <w:i/>
        </w:rPr>
        <w:t xml:space="preserve">Contemporary Economic Policy</w:t>
      </w:r>
      <w:r>
        <w:t xml:space="preserve">,</w:t>
      </w:r>
      <w:r>
        <w:t xml:space="preserve"> </w:t>
      </w:r>
      <w:r>
        <w:rPr>
          <w:iCs/>
          <w:i/>
        </w:rPr>
        <w:t xml:space="preserve">36</w:t>
      </w:r>
      <w:r>
        <w:t xml:space="preserve">(1), 116–135.</w:t>
      </w:r>
      <w:r>
        <w:t xml:space="preserve"> </w:t>
      </w:r>
      <w:hyperlink r:id="rId384">
        <w:r>
          <w:rPr>
            <w:rStyle w:val="Hyperlink"/>
          </w:rPr>
          <w:t xml:space="preserve">https://doi.org/10.1111/coep.12241</w:t>
        </w:r>
      </w:hyperlink>
    </w:p>
    <w:bookmarkEnd w:id="385"/>
    <w:bookmarkStart w:id="386" w:name="ref-saavedraLaborMarketReforms2004"/>
    <w:p>
      <w:pPr>
        <w:pStyle w:val="Bibliography"/>
      </w:pPr>
      <w:r>
        <w:t xml:space="preserve">Saavedra, J., &amp; Torero, M. (2004). Labor</w:t>
      </w:r>
      <w:r>
        <w:t xml:space="preserve"> </w:t>
      </w:r>
      <w:r>
        <w:t xml:space="preserve">Market</w:t>
      </w:r>
      <w:r>
        <w:t xml:space="preserve"> </w:t>
      </w:r>
      <w:r>
        <w:t xml:space="preserve">reforms and their impact over formal labor demand and job market turnover.</w:t>
      </w:r>
      <w:r>
        <w:t xml:space="preserve"> </w:t>
      </w:r>
      <w:r>
        <w:t xml:space="preserve">The</w:t>
      </w:r>
      <w:r>
        <w:t xml:space="preserve"> </w:t>
      </w:r>
      <w:r>
        <w:t xml:space="preserve">case of</w:t>
      </w:r>
      <w:r>
        <w:t xml:space="preserve"> </w:t>
      </w:r>
      <w:r>
        <w:t xml:space="preserve">Peru</w:t>
      </w:r>
      <w:r>
        <w:t xml:space="preserve">. In</w:t>
      </w:r>
      <w:r>
        <w:t xml:space="preserve"> </w:t>
      </w:r>
      <w:r>
        <w:rPr>
          <w:iCs/>
          <w:i/>
        </w:rPr>
        <w:t xml:space="preserve">Law and</w:t>
      </w:r>
      <w:r>
        <w:rPr>
          <w:iCs/>
          <w:i/>
        </w:rPr>
        <w:t xml:space="preserve"> </w:t>
      </w:r>
      <w:r>
        <w:rPr>
          <w:iCs/>
          <w:i/>
        </w:rPr>
        <w:t xml:space="preserve">Employment</w:t>
      </w:r>
      <w:r>
        <w:rPr>
          <w:iCs/>
          <w:i/>
        </w:rPr>
        <w:t xml:space="preserve">:</w:t>
      </w:r>
      <w:r>
        <w:rPr>
          <w:iCs/>
          <w:i/>
        </w:rPr>
        <w:t xml:space="preserve"> </w:t>
      </w:r>
      <w:r>
        <w:rPr>
          <w:iCs/>
          <w:i/>
        </w:rPr>
        <w:t xml:space="preserve">Lessons</w:t>
      </w:r>
      <w:r>
        <w:rPr>
          <w:iCs/>
          <w:i/>
        </w:rPr>
        <w:t xml:space="preserve"> </w:t>
      </w:r>
      <w:r>
        <w:rPr>
          <w:iCs/>
          <w:i/>
        </w:rPr>
        <w:t xml:space="preserve">from</w:t>
      </w:r>
      <w:r>
        <w:rPr>
          <w:iCs/>
          <w:i/>
        </w:rPr>
        <w:t xml:space="preserve"> </w:t>
      </w:r>
      <w:r>
        <w:rPr>
          <w:iCs/>
          <w:i/>
        </w:rPr>
        <w:t xml:space="preserve">Latin America</w:t>
      </w:r>
      <w:r>
        <w:rPr>
          <w:iCs/>
          <w:i/>
        </w:rPr>
        <w:t xml:space="preserve"> </w:t>
      </w:r>
      <w:r>
        <w:rPr>
          <w:iCs/>
          <w:i/>
        </w:rPr>
        <w:t xml:space="preserve">and the</w:t>
      </w:r>
      <w:r>
        <w:rPr>
          <w:iCs/>
          <w:i/>
        </w:rPr>
        <w:t xml:space="preserve"> </w:t>
      </w:r>
      <w:r>
        <w:rPr>
          <w:iCs/>
          <w:i/>
        </w:rPr>
        <w:t xml:space="preserve">Caribbean</w:t>
      </w:r>
      <w:r>
        <w:t xml:space="preserve"> </w:t>
      </w:r>
      <w:r>
        <w:t xml:space="preserve">(pp. 131–182). University of Chicago Press.</w:t>
      </w:r>
    </w:p>
    <w:bookmarkEnd w:id="386"/>
    <w:bookmarkStart w:id="388" w:name="ref-schultzWhatInventorship2021"/>
    <w:p>
      <w:pPr>
        <w:pStyle w:val="Bibliography"/>
      </w:pPr>
      <w:r>
        <w:t xml:space="preserve">Schultz, E. (2021, November 19).</w:t>
      </w:r>
      <w:r>
        <w:t xml:space="preserve"> </w:t>
      </w:r>
      <w:r>
        <w:rPr>
          <w:iCs/>
          <w:i/>
        </w:rPr>
        <w:t xml:space="preserve">What is</w:t>
      </w:r>
      <w:r>
        <w:rPr>
          <w:iCs/>
          <w:i/>
        </w:rPr>
        <w:t xml:space="preserve"> </w:t>
      </w:r>
      <w:r>
        <w:rPr>
          <w:iCs/>
          <w:i/>
        </w:rPr>
        <w:t xml:space="preserve">Inventorship</w:t>
      </w:r>
      <w:r>
        <w:rPr>
          <w:iCs/>
          <w:i/>
        </w:rPr>
        <w:t xml:space="preserve">?</w:t>
      </w:r>
      <w:r>
        <w:t xml:space="preserve"> What is Inventorship?</w:t>
      </w:r>
      <w:r>
        <w:t xml:space="preserve"> </w:t>
      </w:r>
      <w:hyperlink r:id="rId387">
        <w:r>
          <w:rPr>
            <w:rStyle w:val="Hyperlink"/>
          </w:rPr>
          <w:t xml:space="preserve">https://certificate.queenslaw.ca/blog/what-is-inventorship</w:t>
        </w:r>
      </w:hyperlink>
    </w:p>
    <w:bookmarkEnd w:id="388"/>
    <w:bookmarkStart w:id="390" w:name="ref-schwabCostsWrongfulDischargeLaws2006"/>
    <w:p>
      <w:pPr>
        <w:pStyle w:val="Bibliography"/>
      </w:pPr>
      <w:r>
        <w:t xml:space="preserve">Schwab, S., Autor, D., &amp; III, J. D. (2006). The</w:t>
      </w:r>
      <w:r>
        <w:t xml:space="preserve"> </w:t>
      </w:r>
      <w:r>
        <w:t xml:space="preserve">Costs</w:t>
      </w:r>
      <w:r>
        <w:t xml:space="preserve"> </w:t>
      </w:r>
      <w:r>
        <w:t xml:space="preserve">of</w:t>
      </w:r>
      <w:r>
        <w:t xml:space="preserve"> </w:t>
      </w:r>
      <w:r>
        <w:t xml:space="preserve">Wrongful-Discharge Laws</w:t>
      </w:r>
      <w:r>
        <w:t xml:space="preserve">.</w:t>
      </w:r>
      <w:r>
        <w:t xml:space="preserve"> </w:t>
      </w:r>
      <w:r>
        <w:rPr>
          <w:iCs/>
          <w:i/>
        </w:rPr>
        <w:t xml:space="preserve">Cornell Law Faculty Publications</w:t>
      </w:r>
      <w:r>
        <w:t xml:space="preserve">.</w:t>
      </w:r>
      <w:r>
        <w:t xml:space="preserve"> </w:t>
      </w:r>
      <w:hyperlink r:id="rId389">
        <w:r>
          <w:rPr>
            <w:rStyle w:val="Hyperlink"/>
          </w:rPr>
          <w:t xml:space="preserve">https://scholarship.law.cornell.edu/facpub/26</w:t>
        </w:r>
      </w:hyperlink>
    </w:p>
    <w:bookmarkEnd w:id="390"/>
    <w:bookmarkStart w:id="391" w:name="Xd84bcfe834598a84ebe3216182d58d59906d2f7"/>
    <w:p>
      <w:pPr>
        <w:pStyle w:val="Bibliography"/>
      </w:pPr>
      <w:r>
        <w:t xml:space="preserve">Schwarz, N., &amp; Clore, G. L. (1983). Mood, misattribution, and judgments of well-being: Informative and directive-effects of affective states.</w:t>
      </w:r>
      <w:r>
        <w:t xml:space="preserve"> </w:t>
      </w:r>
      <w:r>
        <w:rPr>
          <w:iCs/>
          <w:i/>
        </w:rPr>
        <w:t xml:space="preserve">Journal of Personality and Social Psychology</w:t>
      </w:r>
      <w:r>
        <w:t xml:space="preserve">,</w:t>
      </w:r>
      <w:r>
        <w:t xml:space="preserve"> </w:t>
      </w:r>
      <w:r>
        <w:rPr>
          <w:iCs/>
          <w:i/>
        </w:rPr>
        <w:t xml:space="preserve">45</w:t>
      </w:r>
      <w:r>
        <w:t xml:space="preserve">(3), 513–523.</w:t>
      </w:r>
    </w:p>
    <w:bookmarkEnd w:id="391"/>
    <w:bookmarkStart w:id="393" w:name="X9a4def1582a605f2bdb8136807112a055085f7d"/>
    <w:p>
      <w:pPr>
        <w:pStyle w:val="Bibliography"/>
      </w:pPr>
      <w:r>
        <w:t xml:space="preserve">Scoppa, V., &amp; Vuri, D. (2014). Absenteeism, unemployment and employment protection legislation: Evidence from</w:t>
      </w:r>
      <w:r>
        <w:t xml:space="preserve"> </w:t>
      </w:r>
      <w:r>
        <w:t xml:space="preserve">Italy</w:t>
      </w:r>
      <w:r>
        <w:t xml:space="preserve">.</w:t>
      </w:r>
      <w:r>
        <w:t xml:space="preserve"> </w:t>
      </w:r>
      <w:r>
        <w:rPr>
          <w:iCs/>
          <w:i/>
        </w:rPr>
        <w:t xml:space="preserve">IZA Journal of Labor Economics</w:t>
      </w:r>
      <w:r>
        <w:t xml:space="preserve">,</w:t>
      </w:r>
      <w:r>
        <w:t xml:space="preserve"> </w:t>
      </w:r>
      <w:r>
        <w:rPr>
          <w:iCs/>
          <w:i/>
        </w:rPr>
        <w:t xml:space="preserve">3</w:t>
      </w:r>
      <w:r>
        <w:t xml:space="preserve">(1), 3.</w:t>
      </w:r>
      <w:r>
        <w:t xml:space="preserve"> </w:t>
      </w:r>
      <w:hyperlink r:id="rId392">
        <w:r>
          <w:rPr>
            <w:rStyle w:val="Hyperlink"/>
          </w:rPr>
          <w:t xml:space="preserve">https://doi.org/10.1186/2193-8997-3-3</w:t>
        </w:r>
      </w:hyperlink>
    </w:p>
    <w:bookmarkEnd w:id="393"/>
    <w:bookmarkStart w:id="394" w:name="ref-ScopusDocumentdetails"/>
    <w:p>
      <w:pPr>
        <w:pStyle w:val="Bibliography"/>
      </w:pPr>
      <w:r>
        <w:rPr>
          <w:iCs/>
          <w:i/>
        </w:rPr>
        <w:t xml:space="preserve">Scopus -</w:t>
      </w:r>
      <w:r>
        <w:rPr>
          <w:iCs/>
          <w:i/>
        </w:rPr>
        <w:t xml:space="preserve"> </w:t>
      </w:r>
      <w:r>
        <w:rPr>
          <w:iCs/>
          <w:i/>
        </w:rPr>
        <w:t xml:space="preserve">Document</w:t>
      </w:r>
      <w:r>
        <w:rPr>
          <w:iCs/>
          <w:i/>
        </w:rPr>
        <w:t xml:space="preserve"> </w:t>
      </w:r>
      <w:r>
        <w:rPr>
          <w:iCs/>
          <w:i/>
        </w:rPr>
        <w:t xml:space="preserve">details -</w:t>
      </w:r>
      <w:r>
        <w:rPr>
          <w:iCs/>
          <w:i/>
        </w:rPr>
        <w:t xml:space="preserve"> </w:t>
      </w:r>
      <w:r>
        <w:rPr>
          <w:iCs/>
          <w:i/>
        </w:rPr>
        <w:t xml:space="preserve">Economic Growth</w:t>
      </w:r>
      <w:r>
        <w:rPr>
          <w:iCs/>
          <w:i/>
        </w:rPr>
        <w:t xml:space="preserve"> </w:t>
      </w:r>
      <w:r>
        <w:rPr>
          <w:iCs/>
          <w:i/>
        </w:rPr>
        <w:t xml:space="preserve">and</w:t>
      </w:r>
      <w:r>
        <w:rPr>
          <w:iCs/>
          <w:i/>
        </w:rPr>
        <w:t xml:space="preserve"> </w:t>
      </w:r>
      <w:r>
        <w:rPr>
          <w:iCs/>
          <w:i/>
        </w:rPr>
        <w:t xml:space="preserve">Political Approval Ratings</w:t>
      </w:r>
      <w:r>
        <w:rPr>
          <w:iCs/>
          <w:i/>
        </w:rPr>
        <w:t xml:space="preserve">:</w:t>
      </w:r>
      <w:r>
        <w:rPr>
          <w:iCs/>
          <w:i/>
        </w:rPr>
        <w:t xml:space="preserve"> </w:t>
      </w:r>
      <w:r>
        <w:rPr>
          <w:iCs/>
          <w:i/>
        </w:rPr>
        <w:t xml:space="preserve">Evidence</w:t>
      </w:r>
      <w:r>
        <w:rPr>
          <w:iCs/>
          <w:i/>
        </w:rPr>
        <w:t xml:space="preserve"> </w:t>
      </w:r>
      <w:r>
        <w:rPr>
          <w:iCs/>
          <w:i/>
        </w:rPr>
        <w:t xml:space="preserve">from</w:t>
      </w:r>
      <w:r>
        <w:rPr>
          <w:iCs/>
          <w:i/>
        </w:rPr>
        <w:t xml:space="preserve"> </w:t>
      </w:r>
      <w:r>
        <w:rPr>
          <w:iCs/>
          <w:i/>
        </w:rPr>
        <w:t xml:space="preserve">Latin America</w:t>
      </w:r>
      <w:r>
        <w:rPr>
          <w:iCs/>
          <w:i/>
        </w:rPr>
        <w:t xml:space="preserve"> </w:t>
      </w:r>
      <w:r>
        <w:rPr>
          <w:iCs/>
          <w:i/>
        </w:rPr>
        <w:t xml:space="preserve">|</w:t>
      </w:r>
      <w:r>
        <w:rPr>
          <w:iCs/>
          <w:i/>
        </w:rPr>
        <w:t xml:space="preserve"> </w:t>
      </w:r>
      <w:r>
        <w:rPr>
          <w:iCs/>
          <w:i/>
        </w:rPr>
        <w:t xml:space="preserve">Signed</w:t>
      </w:r>
      <w:r>
        <w:rPr>
          <w:iCs/>
          <w:i/>
        </w:rPr>
        <w:t xml:space="preserve"> </w:t>
      </w:r>
      <w:r>
        <w:rPr>
          <w:iCs/>
          <w:i/>
        </w:rPr>
        <w:t xml:space="preserve">in</w:t>
      </w:r>
      <w:r>
        <w:t xml:space="preserve">. (n.d.).</w:t>
      </w:r>
      <w:r>
        <w:t xml:space="preserve"> </w:t>
      </w:r>
      <w:hyperlink r:id="rId122">
        <w:r>
          <w:rPr>
            <w:rStyle w:val="Hyperlink"/>
          </w:rPr>
          <w:t xml:space="preserve">https://doi.org/10.1007/s11109-022-09798-y</w:t>
        </w:r>
      </w:hyperlink>
    </w:p>
    <w:bookmarkEnd w:id="394"/>
    <w:bookmarkStart w:id="396" w:name="ref-senTeenEmploymentPoverty2011"/>
    <w:p>
      <w:pPr>
        <w:pStyle w:val="Bibliography"/>
      </w:pPr>
      <w:r>
        <w:t xml:space="preserve">Sen, A., Rybczynski, K., &amp; Van De Waal, C. (2011). Teen employment, poverty, and the minimum wage:</w:t>
      </w:r>
      <w:r>
        <w:t xml:space="preserve"> </w:t>
      </w:r>
      <w:r>
        <w:t xml:space="preserve">Evidence</w:t>
      </w:r>
      <w:r>
        <w:t xml:space="preserve"> </w:t>
      </w:r>
      <w:r>
        <w:t xml:space="preserve">from</w:t>
      </w:r>
      <w:r>
        <w:t xml:space="preserve"> </w:t>
      </w:r>
      <w:r>
        <w:t xml:space="preserve">Canada</w:t>
      </w:r>
      <w:r>
        <w:t xml:space="preserve">.</w:t>
      </w:r>
      <w:r>
        <w:t xml:space="preserve"> </w:t>
      </w:r>
      <w:r>
        <w:rPr>
          <w:iCs/>
          <w:i/>
        </w:rPr>
        <w:t xml:space="preserve">Labour Economics</w:t>
      </w:r>
      <w:r>
        <w:t xml:space="preserve">,</w:t>
      </w:r>
      <w:r>
        <w:t xml:space="preserve"> </w:t>
      </w:r>
      <w:r>
        <w:rPr>
          <w:iCs/>
          <w:i/>
        </w:rPr>
        <w:t xml:space="preserve">18</w:t>
      </w:r>
      <w:r>
        <w:t xml:space="preserve">(1), 36–47.</w:t>
      </w:r>
      <w:r>
        <w:t xml:space="preserve"> </w:t>
      </w:r>
      <w:hyperlink r:id="rId395">
        <w:r>
          <w:rPr>
            <w:rStyle w:val="Hyperlink"/>
          </w:rPr>
          <w:t xml:space="preserve">https://doi.org/10.1016/j.labeco.2010.06.003</w:t>
        </w:r>
      </w:hyperlink>
    </w:p>
    <w:bookmarkEnd w:id="396"/>
    <w:bookmarkStart w:id="398" w:name="ref-slatteryEvaluatingStateLocal2020"/>
    <w:p>
      <w:pPr>
        <w:pStyle w:val="Bibliography"/>
      </w:pPr>
      <w:r>
        <w:t xml:space="preserve">Slattery, C., &amp; Zidar, O. (2020). Evaluating</w:t>
      </w:r>
      <w:r>
        <w:t xml:space="preserve"> </w:t>
      </w:r>
      <w:r>
        <w:t xml:space="preserve">State</w:t>
      </w:r>
      <w:r>
        <w:t xml:space="preserve"> </w:t>
      </w:r>
      <w:r>
        <w:t xml:space="preserve">and</w:t>
      </w:r>
      <w:r>
        <w:t xml:space="preserve"> </w:t>
      </w:r>
      <w:r>
        <w:t xml:space="preserve">Local Business Incentives</w:t>
      </w:r>
      <w:r>
        <w:t xml:space="preserve">.</w:t>
      </w:r>
      <w:r>
        <w:t xml:space="preserve"> </w:t>
      </w:r>
      <w:r>
        <w:rPr>
          <w:iCs/>
          <w:i/>
        </w:rPr>
        <w:t xml:space="preserve">Journal of Economic Perspectives</w:t>
      </w:r>
      <w:r>
        <w:t xml:space="preserve">,</w:t>
      </w:r>
      <w:r>
        <w:t xml:space="preserve"> </w:t>
      </w:r>
      <w:r>
        <w:rPr>
          <w:iCs/>
          <w:i/>
        </w:rPr>
        <w:t xml:space="preserve">34</w:t>
      </w:r>
      <w:r>
        <w:t xml:space="preserve">(2), 90–118.</w:t>
      </w:r>
      <w:r>
        <w:t xml:space="preserve"> </w:t>
      </w:r>
      <w:hyperlink r:id="rId397">
        <w:r>
          <w:rPr>
            <w:rStyle w:val="Hyperlink"/>
          </w:rPr>
          <w:t xml:space="preserve">https://doi.org/10.1257/jep.34.2.90</w:t>
        </w:r>
      </w:hyperlink>
    </w:p>
    <w:bookmarkEnd w:id="398"/>
    <w:bookmarkStart w:id="400" w:name="ref-solowPerspectivesGrowthTheory1994"/>
    <w:p>
      <w:pPr>
        <w:pStyle w:val="Bibliography"/>
      </w:pPr>
      <w:r>
        <w:t xml:space="preserve">Solow, R. M. (1994). Perspectives on</w:t>
      </w:r>
      <w:r>
        <w:t xml:space="preserve"> </w:t>
      </w:r>
      <w:r>
        <w:t xml:space="preserve">Growth Theory</w:t>
      </w:r>
      <w:r>
        <w:t xml:space="preserve">.</w:t>
      </w:r>
      <w:r>
        <w:t xml:space="preserve"> </w:t>
      </w:r>
      <w:r>
        <w:rPr>
          <w:iCs/>
          <w:i/>
        </w:rPr>
        <w:t xml:space="preserve">Journal of Economic Perspectives</w:t>
      </w:r>
      <w:r>
        <w:t xml:space="preserve">,</w:t>
      </w:r>
      <w:r>
        <w:t xml:space="preserve"> </w:t>
      </w:r>
      <w:r>
        <w:rPr>
          <w:iCs/>
          <w:i/>
        </w:rPr>
        <w:t xml:space="preserve">8</w:t>
      </w:r>
      <w:r>
        <w:t xml:space="preserve">(1), 45–54.</w:t>
      </w:r>
      <w:r>
        <w:t xml:space="preserve"> </w:t>
      </w:r>
      <w:hyperlink r:id="rId399">
        <w:r>
          <w:rPr>
            <w:rStyle w:val="Hyperlink"/>
          </w:rPr>
          <w:t xml:space="preserve">https://doi.org/10.1257/jep.8.1.45</w:t>
        </w:r>
      </w:hyperlink>
    </w:p>
    <w:bookmarkEnd w:id="400"/>
    <w:bookmarkStart w:id="402" w:name="ref-retail_trade_sales"/>
    <w:p>
      <w:pPr>
        <w:pStyle w:val="Bibliography"/>
      </w:pPr>
      <w:r>
        <w:t xml:space="preserve">Statistics Canada. (2023).</w:t>
      </w:r>
      <w:r>
        <w:t xml:space="preserve"> </w:t>
      </w:r>
      <w:r>
        <w:rPr>
          <w:iCs/>
          <w:i/>
        </w:rPr>
        <w:t xml:space="preserve">Table 20-10-0008-01</w:t>
      </w:r>
      <w:r>
        <w:rPr>
          <w:iCs/>
          <w:i/>
        </w:rPr>
        <w:t xml:space="preserve"> </w:t>
      </w:r>
      <w:r>
        <w:rPr>
          <w:iCs/>
          <w:i/>
        </w:rPr>
        <w:t xml:space="preserve">Retail</w:t>
      </w:r>
      <w:r>
        <w:rPr>
          <w:iCs/>
          <w:i/>
        </w:rPr>
        <w:t xml:space="preserve"> </w:t>
      </w:r>
      <w:r>
        <w:rPr>
          <w:iCs/>
          <w:i/>
        </w:rPr>
        <w:t xml:space="preserve">trade sales by province and territory, inactive (x 1,000)</w:t>
      </w:r>
      <w:r>
        <w:t xml:space="preserve"> </w:t>
      </w:r>
      <w:r>
        <w:t xml:space="preserve">[Data table].</w:t>
      </w:r>
      <w:r>
        <w:t xml:space="preserve"> </w:t>
      </w:r>
      <w:hyperlink r:id="rId401">
        <w:r>
          <w:rPr>
            <w:rStyle w:val="Hyperlink"/>
          </w:rPr>
          <w:t xml:space="preserve">https://doi.org/10.25318/2010000801-eng</w:t>
        </w:r>
      </w:hyperlink>
    </w:p>
    <w:bookmarkEnd w:id="402"/>
    <w:bookmarkStart w:id="404" w:name="ref-merchandise_imports"/>
    <w:p>
      <w:pPr>
        <w:pStyle w:val="Bibliography"/>
      </w:pPr>
      <w:r>
        <w:t xml:space="preserve">Statistics Canada. (2024a).</w:t>
      </w:r>
      <w:r>
        <w:t xml:space="preserve"> </w:t>
      </w:r>
      <w:r>
        <w:rPr>
          <w:iCs/>
          <w:i/>
        </w:rPr>
        <w:t xml:space="preserve">Table 12-10-0175-01</w:t>
      </w:r>
      <w:r>
        <w:rPr>
          <w:iCs/>
          <w:i/>
        </w:rPr>
        <w:t xml:space="preserve"> </w:t>
      </w:r>
      <w:r>
        <w:rPr>
          <w:iCs/>
          <w:i/>
        </w:rPr>
        <w:t xml:space="preserve">International</w:t>
      </w:r>
      <w:r>
        <w:rPr>
          <w:iCs/>
          <w:i/>
        </w:rPr>
        <w:t xml:space="preserve"> </w:t>
      </w:r>
      <w:r>
        <w:rPr>
          <w:iCs/>
          <w:i/>
        </w:rPr>
        <w:t xml:space="preserve">merchandise trade by province, commodity, and</w:t>
      </w:r>
      <w:r>
        <w:rPr>
          <w:iCs/>
          <w:i/>
        </w:rPr>
        <w:t xml:space="preserve"> </w:t>
      </w:r>
      <w:r>
        <w:rPr>
          <w:iCs/>
          <w:i/>
        </w:rPr>
        <w:t xml:space="preserve">Principal Trading Partners</w:t>
      </w:r>
      <w:r>
        <w:rPr>
          <w:iCs/>
          <w:i/>
        </w:rPr>
        <w:t xml:space="preserve"> </w:t>
      </w:r>
      <w:r>
        <w:rPr>
          <w:iCs/>
          <w:i/>
        </w:rPr>
        <w:t xml:space="preserve">(x 1,000)</w:t>
      </w:r>
      <w:r>
        <w:t xml:space="preserve"> </w:t>
      </w:r>
      <w:r>
        <w:t xml:space="preserve">[Data table].</w:t>
      </w:r>
      <w:r>
        <w:t xml:space="preserve"> </w:t>
      </w:r>
      <w:hyperlink r:id="rId403">
        <w:r>
          <w:rPr>
            <w:rStyle w:val="Hyperlink"/>
          </w:rPr>
          <w:t xml:space="preserve">https://doi.org/10.25318/1210017501-eng</w:t>
        </w:r>
      </w:hyperlink>
    </w:p>
    <w:bookmarkEnd w:id="404"/>
    <w:bookmarkStart w:id="406" w:name="ref-ei_claims"/>
    <w:p>
      <w:pPr>
        <w:pStyle w:val="Bibliography"/>
      </w:pPr>
      <w:r>
        <w:t xml:space="preserve">Statistics Canada. (2024b).</w:t>
      </w:r>
      <w:r>
        <w:t xml:space="preserve"> </w:t>
      </w:r>
      <w:r>
        <w:rPr>
          <w:iCs/>
          <w:i/>
        </w:rPr>
        <w:t xml:space="preserve">Table 14-10-0005-01</w:t>
      </w:r>
      <w:r>
        <w:rPr>
          <w:iCs/>
          <w:i/>
        </w:rPr>
        <w:t xml:space="preserve"> </w:t>
      </w:r>
      <w:r>
        <w:rPr>
          <w:iCs/>
          <w:i/>
        </w:rPr>
        <w:t xml:space="preserve">Employment</w:t>
      </w:r>
      <w:r>
        <w:rPr>
          <w:iCs/>
          <w:i/>
        </w:rPr>
        <w:t xml:space="preserve"> </w:t>
      </w:r>
      <w:r>
        <w:rPr>
          <w:iCs/>
          <w:i/>
        </w:rPr>
        <w:t xml:space="preserve">insurance claims received by province and territory, monthly, seasonally adjusted</w:t>
      </w:r>
      <w:r>
        <w:t xml:space="preserve"> </w:t>
      </w:r>
      <w:r>
        <w:t xml:space="preserve">[Data table].</w:t>
      </w:r>
      <w:r>
        <w:t xml:space="preserve"> </w:t>
      </w:r>
      <w:hyperlink r:id="rId405">
        <w:r>
          <w:rPr>
            <w:rStyle w:val="Hyperlink"/>
          </w:rPr>
          <w:t xml:space="preserve">https://doi.org/10.25318/1410000501-eng</w:t>
        </w:r>
      </w:hyperlink>
    </w:p>
    <w:bookmarkEnd w:id="406"/>
    <w:bookmarkStart w:id="408" w:name="ref-usual_hours_worked"/>
    <w:p>
      <w:pPr>
        <w:pStyle w:val="Bibliography"/>
      </w:pPr>
      <w:r>
        <w:t xml:space="preserve">Statistics Canada. (2024c).</w:t>
      </w:r>
      <w:r>
        <w:t xml:space="preserve"> </w:t>
      </w:r>
      <w:r>
        <w:rPr>
          <w:iCs/>
          <w:i/>
        </w:rPr>
        <w:t xml:space="preserve">Table 14-10-0030-01</w:t>
      </w:r>
      <w:r>
        <w:rPr>
          <w:iCs/>
          <w:i/>
        </w:rPr>
        <w:t xml:space="preserve"> </w:t>
      </w:r>
      <w:r>
        <w:rPr>
          <w:iCs/>
          <w:i/>
        </w:rPr>
        <w:t xml:space="preserve">Usual</w:t>
      </w:r>
      <w:r>
        <w:rPr>
          <w:iCs/>
          <w:i/>
        </w:rPr>
        <w:t xml:space="preserve"> </w:t>
      </w:r>
      <w:r>
        <w:rPr>
          <w:iCs/>
          <w:i/>
        </w:rPr>
        <w:t xml:space="preserve">hours worked by job type (main or all jobs), monthly, unadjusted for seasonality</w:t>
      </w:r>
      <w:r>
        <w:t xml:space="preserve"> </w:t>
      </w:r>
      <w:r>
        <w:t xml:space="preserve">[Data table].</w:t>
      </w:r>
      <w:r>
        <w:t xml:space="preserve"> </w:t>
      </w:r>
      <w:hyperlink r:id="rId407">
        <w:r>
          <w:rPr>
            <w:rStyle w:val="Hyperlink"/>
          </w:rPr>
          <w:t xml:space="preserve">https://doi.org/10.25318/1410003001-eng</w:t>
        </w:r>
      </w:hyperlink>
    </w:p>
    <w:bookmarkEnd w:id="408"/>
    <w:bookmarkStart w:id="410" w:name="ref-lfs_employee_wages"/>
    <w:p>
      <w:pPr>
        <w:pStyle w:val="Bibliography"/>
      </w:pPr>
      <w:r>
        <w:t xml:space="preserve">Statistics Canada. (2024d).</w:t>
      </w:r>
      <w:r>
        <w:t xml:space="preserve"> </w:t>
      </w:r>
      <w:r>
        <w:rPr>
          <w:iCs/>
          <w:i/>
        </w:rPr>
        <w:t xml:space="preserve">Table 14-10-0063-01</w:t>
      </w:r>
      <w:r>
        <w:rPr>
          <w:iCs/>
          <w:i/>
        </w:rPr>
        <w:t xml:space="preserve"> </w:t>
      </w:r>
      <w:r>
        <w:rPr>
          <w:iCs/>
          <w:i/>
        </w:rPr>
        <w:t xml:space="preserve">Employee</w:t>
      </w:r>
      <w:r>
        <w:rPr>
          <w:iCs/>
          <w:i/>
        </w:rPr>
        <w:t xml:space="preserve"> </w:t>
      </w:r>
      <w:r>
        <w:rPr>
          <w:iCs/>
          <w:i/>
        </w:rPr>
        <w:t xml:space="preserve">wages by industry, monthly, unadjusted for seasonality</w:t>
      </w:r>
      <w:r>
        <w:t xml:space="preserve"> </w:t>
      </w:r>
      <w:r>
        <w:t xml:space="preserve">[Data table].</w:t>
      </w:r>
      <w:r>
        <w:t xml:space="preserve"> </w:t>
      </w:r>
      <w:hyperlink r:id="rId409">
        <w:r>
          <w:rPr>
            <w:rStyle w:val="Hyperlink"/>
          </w:rPr>
          <w:t xml:space="preserve">https://doi.org/10.25318/1410006301-eng</w:t>
        </w:r>
      </w:hyperlink>
    </w:p>
    <w:bookmarkEnd w:id="410"/>
    <w:bookmarkStart w:id="412" w:name="ref-lfs_lfc_table"/>
    <w:p>
      <w:pPr>
        <w:pStyle w:val="Bibliography"/>
      </w:pPr>
      <w:r>
        <w:t xml:space="preserve">Statistics Canada. (2024e).</w:t>
      </w:r>
      <w:r>
        <w:t xml:space="preserve"> </w:t>
      </w:r>
      <w:r>
        <w:rPr>
          <w:iCs/>
          <w:i/>
        </w:rPr>
        <w:t xml:space="preserve">Table 14-10-0287-03</w:t>
      </w:r>
      <w:r>
        <w:rPr>
          <w:iCs/>
          <w:i/>
        </w:rPr>
        <w:t xml:space="preserve"> </w:t>
      </w:r>
      <w:r>
        <w:rPr>
          <w:iCs/>
          <w:i/>
        </w:rPr>
        <w:t xml:space="preserve">Labour</w:t>
      </w:r>
      <w:r>
        <w:rPr>
          <w:iCs/>
          <w:i/>
        </w:rPr>
        <w:t xml:space="preserve"> </w:t>
      </w:r>
      <w:r>
        <w:rPr>
          <w:iCs/>
          <w:i/>
        </w:rPr>
        <w:t xml:space="preserve">force characteristics by province, monthly, seasonally adjusted</w:t>
      </w:r>
      <w:r>
        <w:t xml:space="preserve"> </w:t>
      </w:r>
      <w:r>
        <w:t xml:space="preserve">[Data table].</w:t>
      </w:r>
      <w:r>
        <w:t xml:space="preserve"> </w:t>
      </w:r>
      <w:hyperlink r:id="rId411">
        <w:r>
          <w:rPr>
            <w:rStyle w:val="Hyperlink"/>
          </w:rPr>
          <w:t xml:space="preserve">https://doi.org/10.25318/1410028701-eng</w:t>
        </w:r>
      </w:hyperlink>
    </w:p>
    <w:bookmarkEnd w:id="412"/>
    <w:bookmarkStart w:id="414" w:name="ref-manufacturing_sales"/>
    <w:p>
      <w:pPr>
        <w:pStyle w:val="Bibliography"/>
      </w:pPr>
      <w:r>
        <w:t xml:space="preserve">Statistics Canada. (2024f).</w:t>
      </w:r>
      <w:r>
        <w:t xml:space="preserve"> </w:t>
      </w:r>
      <w:r>
        <w:rPr>
          <w:iCs/>
          <w:i/>
        </w:rPr>
        <w:t xml:space="preserve">Table 16-10-0048-01</w:t>
      </w:r>
      <w:r>
        <w:rPr>
          <w:iCs/>
          <w:i/>
        </w:rPr>
        <w:t xml:space="preserve"> </w:t>
      </w:r>
      <w:r>
        <w:rPr>
          <w:iCs/>
          <w:i/>
        </w:rPr>
        <w:t xml:space="preserve">Manufacturing</w:t>
      </w:r>
      <w:r>
        <w:rPr>
          <w:iCs/>
          <w:i/>
        </w:rPr>
        <w:t xml:space="preserve"> </w:t>
      </w:r>
      <w:r>
        <w:rPr>
          <w:iCs/>
          <w:i/>
        </w:rPr>
        <w:t xml:space="preserve">sales by industry and province, monthly (dollars unless otherwise noted) (x 1,000)</w:t>
      </w:r>
      <w:r>
        <w:t xml:space="preserve"> </w:t>
      </w:r>
      <w:r>
        <w:t xml:space="preserve">[Data table].</w:t>
      </w:r>
      <w:r>
        <w:t xml:space="preserve"> </w:t>
      </w:r>
      <w:hyperlink r:id="rId413">
        <w:r>
          <w:rPr>
            <w:rStyle w:val="Hyperlink"/>
          </w:rPr>
          <w:t xml:space="preserve">https://doi.org/10.25318/1610004801-eng</w:t>
        </w:r>
      </w:hyperlink>
    </w:p>
    <w:bookmarkEnd w:id="414"/>
    <w:bookmarkStart w:id="416" w:name="ref-cpi"/>
    <w:p>
      <w:pPr>
        <w:pStyle w:val="Bibliography"/>
      </w:pPr>
      <w:r>
        <w:t xml:space="preserve">Statistics Canada. (2024g).</w:t>
      </w:r>
      <w:r>
        <w:t xml:space="preserve"> </w:t>
      </w:r>
      <w:r>
        <w:rPr>
          <w:iCs/>
          <w:i/>
        </w:rPr>
        <w:t xml:space="preserve">Table 18-10-0004-01</w:t>
      </w:r>
      <w:r>
        <w:rPr>
          <w:iCs/>
          <w:i/>
        </w:rPr>
        <w:t xml:space="preserve"> </w:t>
      </w:r>
      <w:r>
        <w:rPr>
          <w:iCs/>
          <w:i/>
        </w:rPr>
        <w:t xml:space="preserve">Consumer Price Index</w:t>
      </w:r>
      <w:r>
        <w:rPr>
          <w:iCs/>
          <w:i/>
        </w:rPr>
        <w:t xml:space="preserve">, monthly, not seasonally adjusted</w:t>
      </w:r>
      <w:r>
        <w:t xml:space="preserve"> </w:t>
      </w:r>
      <w:r>
        <w:t xml:space="preserve">[Data table].</w:t>
      </w:r>
      <w:r>
        <w:t xml:space="preserve"> </w:t>
      </w:r>
      <w:hyperlink r:id="rId415">
        <w:r>
          <w:rPr>
            <w:rStyle w:val="Hyperlink"/>
          </w:rPr>
          <w:t xml:space="preserve">https://doi.org/10.25318/2010007401-eng</w:t>
        </w:r>
      </w:hyperlink>
    </w:p>
    <w:bookmarkEnd w:id="416"/>
    <w:bookmarkStart w:id="417" w:name="ref-wholesale_trade"/>
    <w:p>
      <w:pPr>
        <w:pStyle w:val="Bibliography"/>
      </w:pPr>
      <w:r>
        <w:t xml:space="preserve">Statistics Canada. (2024h).</w:t>
      </w:r>
      <w:r>
        <w:t xml:space="preserve"> </w:t>
      </w:r>
      <w:r>
        <w:rPr>
          <w:iCs/>
          <w:i/>
        </w:rPr>
        <w:t xml:space="preserve">Table 20-10-0074-01</w:t>
      </w:r>
      <w:r>
        <w:rPr>
          <w:iCs/>
          <w:i/>
        </w:rPr>
        <w:t xml:space="preserve"> </w:t>
      </w:r>
      <w:r>
        <w:rPr>
          <w:iCs/>
          <w:i/>
        </w:rPr>
        <w:t xml:space="preserve">Wholesale</w:t>
      </w:r>
      <w:r>
        <w:rPr>
          <w:iCs/>
          <w:i/>
        </w:rPr>
        <w:t xml:space="preserve"> </w:t>
      </w:r>
      <w:r>
        <w:rPr>
          <w:iCs/>
          <w:i/>
        </w:rPr>
        <w:t xml:space="preserve">trade, sales (x 1,000)</w:t>
      </w:r>
      <w:r>
        <w:t xml:space="preserve"> </w:t>
      </w:r>
      <w:r>
        <w:t xml:space="preserve">[Data table].</w:t>
      </w:r>
      <w:r>
        <w:t xml:space="preserve"> </w:t>
      </w:r>
      <w:hyperlink r:id="rId415">
        <w:r>
          <w:rPr>
            <w:rStyle w:val="Hyperlink"/>
          </w:rPr>
          <w:t xml:space="preserve">https://doi.org/10.25318/2010007401-eng</w:t>
        </w:r>
      </w:hyperlink>
    </w:p>
    <w:bookmarkEnd w:id="417"/>
    <w:bookmarkStart w:id="419" w:name="ref-sunEstimatingdynamictreatment2021"/>
    <w:p>
      <w:pPr>
        <w:pStyle w:val="Bibliography"/>
      </w:pPr>
      <w:r>
        <w:t xml:space="preserve">Sun, L., &amp; Abraham, S. (2021). Estimating dynamic treatment effects in event studies with heterogeneous treatment effects.</w:t>
      </w:r>
      <w:r>
        <w:t xml:space="preserve"> </w:t>
      </w:r>
      <w:r>
        <w:rPr>
          <w:iCs/>
          <w:i/>
        </w:rPr>
        <w:t xml:space="preserve">Journal of Econometrics</w:t>
      </w:r>
      <w:r>
        <w:t xml:space="preserve">,</w:t>
      </w:r>
      <w:r>
        <w:t xml:space="preserve"> </w:t>
      </w:r>
      <w:r>
        <w:rPr>
          <w:iCs/>
          <w:i/>
        </w:rPr>
        <w:t xml:space="preserve">225</w:t>
      </w:r>
      <w:r>
        <w:t xml:space="preserve">(2), 175–199.</w:t>
      </w:r>
      <w:r>
        <w:t xml:space="preserve"> </w:t>
      </w:r>
      <w:hyperlink r:id="rId418">
        <w:r>
          <w:rPr>
            <w:rStyle w:val="Hyperlink"/>
          </w:rPr>
          <w:t xml:space="preserve">https://doi.org/10.1016/j.jeconom.2020.09.006</w:t>
        </w:r>
      </w:hyperlink>
    </w:p>
    <w:bookmarkEnd w:id="419"/>
    <w:bookmarkStart w:id="421" w:name="ref-sweezyProfessorSchumpeterTheory1943"/>
    <w:p>
      <w:pPr>
        <w:pStyle w:val="Bibliography"/>
      </w:pPr>
      <w:r>
        <w:t xml:space="preserve">Sweezy, P. M. (1943). Professor</w:t>
      </w:r>
      <w:r>
        <w:t xml:space="preserve"> </w:t>
      </w:r>
      <w:r>
        <w:t xml:space="preserve">Schumpeter</w:t>
      </w:r>
      <w:r>
        <w:t xml:space="preserve">’s</w:t>
      </w:r>
      <w:r>
        <w:t xml:space="preserve"> </w:t>
      </w:r>
      <w:r>
        <w:t xml:space="preserve">Theory</w:t>
      </w:r>
      <w:r>
        <w:t xml:space="preserve"> </w:t>
      </w:r>
      <w:r>
        <w:t xml:space="preserve">of</w:t>
      </w:r>
      <w:r>
        <w:t xml:space="preserve"> </w:t>
      </w:r>
      <w:r>
        <w:t xml:space="preserve">Innovation</w:t>
      </w:r>
      <w:r>
        <w:t xml:space="preserve">.</w:t>
      </w:r>
      <w:r>
        <w:t xml:space="preserve"> </w:t>
      </w:r>
      <w:r>
        <w:rPr>
          <w:iCs/>
          <w:i/>
        </w:rPr>
        <w:t xml:space="preserve">The Review of Economics and Statistics</w:t>
      </w:r>
      <w:r>
        <w:t xml:space="preserve">,</w:t>
      </w:r>
      <w:r>
        <w:t xml:space="preserve"> </w:t>
      </w:r>
      <w:r>
        <w:rPr>
          <w:iCs/>
          <w:i/>
        </w:rPr>
        <w:t xml:space="preserve">25</w:t>
      </w:r>
      <w:r>
        <w:t xml:space="preserve">(1), 93–96.</w:t>
      </w:r>
      <w:r>
        <w:t xml:space="preserve"> </w:t>
      </w:r>
      <w:hyperlink r:id="rId420">
        <w:r>
          <w:rPr>
            <w:rStyle w:val="Hyperlink"/>
          </w:rPr>
          <w:t xml:space="preserve">https://doi.org/10.2307/1924551</w:t>
        </w:r>
      </w:hyperlink>
    </w:p>
    <w:bookmarkEnd w:id="421"/>
    <w:bookmarkStart w:id="423" w:name="ref-swidinskyMinimumWagesTeenage1980"/>
    <w:p>
      <w:pPr>
        <w:pStyle w:val="Bibliography"/>
      </w:pPr>
      <w:r>
        <w:t xml:space="preserve">Swidinsky, R. (1980). Minimum</w:t>
      </w:r>
      <w:r>
        <w:t xml:space="preserve"> </w:t>
      </w:r>
      <w:r>
        <w:t xml:space="preserve">Wages</w:t>
      </w:r>
      <w:r>
        <w:t xml:space="preserve"> </w:t>
      </w:r>
      <w:r>
        <w:t xml:space="preserve">and</w:t>
      </w:r>
      <w:r>
        <w:t xml:space="preserve"> </w:t>
      </w:r>
      <w:r>
        <w:t xml:space="preserve">Teenage Unemployment</w:t>
      </w:r>
      <w:r>
        <w:t xml:space="preserve">.</w:t>
      </w:r>
      <w:r>
        <w:t xml:space="preserve"> </w:t>
      </w:r>
      <w:r>
        <w:rPr>
          <w:iCs/>
          <w:i/>
        </w:rPr>
        <w:t xml:space="preserve">The Canadian Journal of Economics / Revue Canadienne d’Economique</w:t>
      </w:r>
      <w:r>
        <w:t xml:space="preserve">,</w:t>
      </w:r>
      <w:r>
        <w:t xml:space="preserve"> </w:t>
      </w:r>
      <w:r>
        <w:rPr>
          <w:iCs/>
          <w:i/>
        </w:rPr>
        <w:t xml:space="preserve">13</w:t>
      </w:r>
      <w:r>
        <w:t xml:space="preserve">(1), 158–171.</w:t>
      </w:r>
      <w:r>
        <w:t xml:space="preserve"> </w:t>
      </w:r>
      <w:hyperlink r:id="rId422">
        <w:r>
          <w:rPr>
            <w:rStyle w:val="Hyperlink"/>
          </w:rPr>
          <w:t xml:space="preserve">https://doi.org/10.2307/134629</w:t>
        </w:r>
      </w:hyperlink>
    </w:p>
    <w:bookmarkEnd w:id="423"/>
    <w:bookmarkStart w:id="425" w:name="ref-ABDatasets"/>
    <w:p>
      <w:pPr>
        <w:pStyle w:val="Bibliography"/>
      </w:pPr>
      <w:r>
        <w:t xml:space="preserve">The AmericasBarometer by the LAPOP Lab. (n.d.).</w:t>
      </w:r>
      <w:r>
        <w:t xml:space="preserve"> </w:t>
      </w:r>
      <w:r>
        <w:rPr>
          <w:iCs/>
          <w:i/>
        </w:rPr>
        <w:t xml:space="preserve">The</w:t>
      </w:r>
      <w:r>
        <w:rPr>
          <w:iCs/>
          <w:i/>
        </w:rPr>
        <w:t xml:space="preserve"> </w:t>
      </w:r>
      <w:r>
        <w:rPr>
          <w:iCs/>
          <w:i/>
        </w:rPr>
        <w:t xml:space="preserve">AmericasBarometer</w:t>
      </w:r>
      <w:r>
        <w:t xml:space="preserve"> </w:t>
      </w:r>
      <w:r>
        <w:t xml:space="preserve">[Datasets with codebooks]. Retrieved February 11, 2024, from</w:t>
      </w:r>
      <w:r>
        <w:t xml:space="preserve"> </w:t>
      </w:r>
      <w:hyperlink r:id="rId424">
        <w:r>
          <w:rPr>
            <w:rStyle w:val="Hyperlink"/>
          </w:rPr>
          <w:t xml:space="preserve">https://www.vanderbilt.edu/lapop/raw-data.php</w:t>
        </w:r>
      </w:hyperlink>
    </w:p>
    <w:bookmarkEnd w:id="425"/>
    <w:bookmarkStart w:id="427" w:name="ref-EconomicsEconomicGrowth"/>
    <w:p>
      <w:pPr>
        <w:pStyle w:val="Bibliography"/>
      </w:pPr>
      <w:r>
        <w:rPr>
          <w:iCs/>
          <w:i/>
        </w:rPr>
        <w:t xml:space="preserve">The economics of</w:t>
      </w:r>
      <w:r>
        <w:rPr>
          <w:iCs/>
          <w:i/>
        </w:rPr>
        <w:t xml:space="preserve"> </w:t>
      </w:r>
      <w:r>
        <w:rPr>
          <w:iCs/>
          <w:i/>
        </w:rPr>
        <w:t xml:space="preserve">R</w:t>
      </w:r>
      <w:r>
        <w:rPr>
          <w:iCs/>
          <w:i/>
        </w:rPr>
        <w:t xml:space="preserve">&amp;</w:t>
      </w:r>
      <w:r>
        <w:rPr>
          <w:iCs/>
          <w:i/>
        </w:rPr>
        <w:t xml:space="preserve">D</w:t>
      </w:r>
      <w:r>
        <w:rPr>
          <w:iCs/>
          <w:i/>
        </w:rPr>
        <w:t xml:space="preserve"> </w:t>
      </w:r>
      <w:r>
        <w:rPr>
          <w:iCs/>
          <w:i/>
        </w:rPr>
        <w:t xml:space="preserve">and economic growth |</w:t>
      </w:r>
      <w:r>
        <w:rPr>
          <w:iCs/>
          <w:i/>
        </w:rPr>
        <w:t xml:space="preserve"> </w:t>
      </w:r>
      <w:r>
        <w:rPr>
          <w:iCs/>
          <w:i/>
        </w:rPr>
        <w:t xml:space="preserve">Innovation</w:t>
      </w:r>
      <w:r>
        <w:rPr>
          <w:iCs/>
          <w:i/>
        </w:rPr>
        <w:t xml:space="preserve">,</w:t>
      </w:r>
      <w:r>
        <w:rPr>
          <w:iCs/>
          <w:i/>
        </w:rPr>
        <w:t xml:space="preserve"> </w:t>
      </w:r>
      <w:r>
        <w:rPr>
          <w:iCs/>
          <w:i/>
        </w:rPr>
        <w:t xml:space="preserve">Entrepreneurship</w:t>
      </w:r>
      <w:r>
        <w:rPr>
          <w:iCs/>
          <w:i/>
        </w:rPr>
        <w:t xml:space="preserve">, and</w:t>
      </w:r>
      <w:r>
        <w:rPr>
          <w:iCs/>
          <w:i/>
        </w:rPr>
        <w:t xml:space="preserve"> </w:t>
      </w:r>
      <w:r>
        <w:rPr>
          <w:iCs/>
          <w:i/>
        </w:rPr>
        <w:t xml:space="preserve">Technological Change</w:t>
      </w:r>
      <w:r>
        <w:rPr>
          <w:iCs/>
          <w:i/>
        </w:rPr>
        <w:t xml:space="preserve"> </w:t>
      </w:r>
      <w:r>
        <w:rPr>
          <w:iCs/>
          <w:i/>
        </w:rPr>
        <w:t xml:space="preserve">|</w:t>
      </w:r>
      <w:r>
        <w:rPr>
          <w:iCs/>
          <w:i/>
        </w:rPr>
        <w:t xml:space="preserve"> </w:t>
      </w:r>
      <w:r>
        <w:rPr>
          <w:iCs/>
          <w:i/>
        </w:rPr>
        <w:t xml:space="preserve">Oxford Academic</w:t>
      </w:r>
      <w:r>
        <w:t xml:space="preserve">. (n.d.). Retrieved January 23, 2024, from</w:t>
      </w:r>
      <w:r>
        <w:t xml:space="preserve"> </w:t>
      </w:r>
      <w:hyperlink r:id="rId426">
        <w:r>
          <w:rPr>
            <w:rStyle w:val="Hyperlink"/>
          </w:rPr>
          <w:t xml:space="preserve">https://academic.oup.com/book/11251/chapter/159788501</w:t>
        </w:r>
      </w:hyperlink>
    </w:p>
    <w:bookmarkEnd w:id="427"/>
    <w:bookmarkStart w:id="429" w:name="Xb002e427c9cc09cb23069289371302861c182a7"/>
    <w:p>
      <w:pPr>
        <w:pStyle w:val="Bibliography"/>
      </w:pPr>
      <w:r>
        <w:t xml:space="preserve">Tourigny, D., &amp; Le, C. D. (2004). Impediments to innovation faced by</w:t>
      </w:r>
      <w:r>
        <w:t xml:space="preserve"> </w:t>
      </w:r>
      <w:r>
        <w:t xml:space="preserve">Canadian</w:t>
      </w:r>
      <w:r>
        <w:t xml:space="preserve"> </w:t>
      </w:r>
      <w:r>
        <w:t xml:space="preserve">manufacturing firms.</w:t>
      </w:r>
      <w:r>
        <w:t xml:space="preserve"> </w:t>
      </w:r>
      <w:r>
        <w:rPr>
          <w:iCs/>
          <w:i/>
        </w:rPr>
        <w:t xml:space="preserve">Economics of Innovation and New Technology</w:t>
      </w:r>
      <w:r>
        <w:t xml:space="preserve">,</w:t>
      </w:r>
      <w:r>
        <w:t xml:space="preserve"> </w:t>
      </w:r>
      <w:r>
        <w:rPr>
          <w:iCs/>
          <w:i/>
        </w:rPr>
        <w:t xml:space="preserve">13</w:t>
      </w:r>
      <w:r>
        <w:t xml:space="preserve">(3), 217–250.</w:t>
      </w:r>
      <w:r>
        <w:t xml:space="preserve"> </w:t>
      </w:r>
      <w:hyperlink r:id="rId428">
        <w:r>
          <w:rPr>
            <w:rStyle w:val="Hyperlink"/>
          </w:rPr>
          <w:t xml:space="preserve">https://doi.org/10.1080/10438590410001628387</w:t>
        </w:r>
      </w:hyperlink>
    </w:p>
    <w:bookmarkEnd w:id="429"/>
    <w:bookmarkStart w:id="431" w:name="X0964ae23ba3e819b63df296aa098ab8e634bb3a"/>
    <w:p>
      <w:pPr>
        <w:pStyle w:val="Bibliography"/>
      </w:pPr>
      <w:r>
        <w:t xml:space="preserve">Trade, A. E. D. and. (2019).</w:t>
      </w:r>
      <w:r>
        <w:t xml:space="preserve"> </w:t>
      </w:r>
      <w:r>
        <w:rPr>
          <w:iCs/>
          <w:i/>
        </w:rPr>
        <w:t xml:space="preserve">Alberta</w:t>
      </w:r>
      <w:r>
        <w:rPr>
          <w:iCs/>
          <w:i/>
        </w:rPr>
        <w:t xml:space="preserve"> </w:t>
      </w:r>
      <w:r>
        <w:rPr>
          <w:iCs/>
          <w:i/>
        </w:rPr>
        <w:t xml:space="preserve">Investor Tax Credit</w:t>
      </w:r>
      <w:r>
        <w:rPr>
          <w:iCs/>
          <w:i/>
        </w:rPr>
        <w:t xml:space="preserve"> </w:t>
      </w:r>
      <w:r>
        <w:rPr>
          <w:iCs/>
          <w:i/>
        </w:rPr>
        <w:t xml:space="preserve">(</w:t>
      </w:r>
      <w:r>
        <w:rPr>
          <w:iCs/>
          <w:i/>
        </w:rPr>
        <w:t xml:space="preserve">AITC</w:t>
      </w:r>
      <w:r>
        <w:rPr>
          <w:iCs/>
          <w:i/>
        </w:rPr>
        <w:t xml:space="preserve">) guidelines</w:t>
      </w:r>
      <w:r>
        <w:t xml:space="preserve">. Alberta Economic Development; Trade.</w:t>
      </w:r>
      <w:r>
        <w:t xml:space="preserve"> </w:t>
      </w:r>
      <w:hyperlink r:id="rId430">
        <w:r>
          <w:rPr>
            <w:rStyle w:val="Hyperlink"/>
          </w:rPr>
          <w:t xml:space="preserve">https://open.alberta.ca/publications/alberta-investor-tax-credit-guidelines</w:t>
        </w:r>
      </w:hyperlink>
    </w:p>
    <w:bookmarkEnd w:id="431"/>
    <w:bookmarkStart w:id="433" w:name="ref-wangMarriageNetworksNepotism2013"/>
    <w:p>
      <w:pPr>
        <w:pStyle w:val="Bibliography"/>
      </w:pPr>
      <w:r>
        <w:t xml:space="preserve">Wang, S.-Y. (2013). Marriage</w:t>
      </w:r>
      <w:r>
        <w:t xml:space="preserve"> </w:t>
      </w:r>
      <w:r>
        <w:t xml:space="preserve">Networks</w:t>
      </w:r>
      <w:r>
        <w:t xml:space="preserve">,</w:t>
      </w:r>
      <w:r>
        <w:t xml:space="preserve"> </w:t>
      </w:r>
      <w:r>
        <w:t xml:space="preserve">Nepotism</w:t>
      </w:r>
      <w:r>
        <w:t xml:space="preserve">, and</w:t>
      </w:r>
      <w:r>
        <w:t xml:space="preserve"> </w:t>
      </w:r>
      <w:r>
        <w:t xml:space="preserve">Labor Market Outcomes</w:t>
      </w:r>
      <w:r>
        <w:t xml:space="preserve"> </w:t>
      </w:r>
      <w:r>
        <w:t xml:space="preserve">in</w:t>
      </w:r>
      <w:r>
        <w:t xml:space="preserve"> </w:t>
      </w:r>
      <w:r>
        <w:t xml:space="preserve">China</w:t>
      </w:r>
      <w:r>
        <w:t xml:space="preserve">.</w:t>
      </w:r>
      <w:r>
        <w:t xml:space="preserve"> </w:t>
      </w:r>
      <w:r>
        <w:rPr>
          <w:iCs/>
          <w:i/>
        </w:rPr>
        <w:t xml:space="preserve">American Economic Journal: Applied Economics</w:t>
      </w:r>
      <w:r>
        <w:t xml:space="preserve">,</w:t>
      </w:r>
      <w:r>
        <w:t xml:space="preserve"> </w:t>
      </w:r>
      <w:r>
        <w:rPr>
          <w:iCs/>
          <w:i/>
        </w:rPr>
        <w:t xml:space="preserve">5</w:t>
      </w:r>
      <w:r>
        <w:t xml:space="preserve">(3), 91–112.</w:t>
      </w:r>
      <w:r>
        <w:t xml:space="preserve"> </w:t>
      </w:r>
      <w:hyperlink r:id="rId432">
        <w:r>
          <w:rPr>
            <w:rStyle w:val="Hyperlink"/>
          </w:rPr>
          <w:t xml:space="preserve">https://doi.org/10.1257/app.5.3.91</w:t>
        </w:r>
      </w:hyperlink>
    </w:p>
    <w:bookmarkEnd w:id="433"/>
    <w:bookmarkStart w:id="435" w:name="ref-wardaTaxTreatmentCanada1998"/>
    <w:p>
      <w:pPr>
        <w:pStyle w:val="Bibliography"/>
      </w:pPr>
      <w:r>
        <w:t xml:space="preserve">Warda, J. (1998, September 25).</w:t>
      </w:r>
      <w:r>
        <w:t xml:space="preserve"> </w:t>
      </w:r>
      <w:r>
        <w:rPr>
          <w:iCs/>
          <w:i/>
        </w:rPr>
        <w:t xml:space="preserve">R&amp;</w:t>
      </w:r>
      <w:r>
        <w:rPr>
          <w:iCs/>
          <w:i/>
        </w:rPr>
        <w:t xml:space="preserve">D Tax Treatment</w:t>
      </w:r>
      <w:r>
        <w:rPr>
          <w:iCs/>
          <w:i/>
        </w:rPr>
        <w:t xml:space="preserve"> </w:t>
      </w:r>
      <w:r>
        <w:rPr>
          <w:iCs/>
          <w:i/>
        </w:rPr>
        <w:t xml:space="preserve">in</w:t>
      </w:r>
      <w:r>
        <w:rPr>
          <w:iCs/>
          <w:i/>
        </w:rPr>
        <w:t xml:space="preserve"> </w:t>
      </w:r>
      <w:r>
        <w:rPr>
          <w:iCs/>
          <w:i/>
        </w:rPr>
        <w:t xml:space="preserve">Canada</w:t>
      </w:r>
      <w:r>
        <w:rPr>
          <w:iCs/>
          <w:i/>
        </w:rPr>
        <w:t xml:space="preserve">:</w:t>
      </w:r>
      <w:r>
        <w:rPr>
          <w:iCs/>
          <w:i/>
        </w:rPr>
        <w:t xml:space="preserve"> </w:t>
      </w:r>
      <w:r>
        <w:rPr>
          <w:iCs/>
          <w:i/>
        </w:rPr>
        <w:t xml:space="preserve">A Provincial Comparison</w:t>
      </w:r>
      <w:r>
        <w:rPr>
          <w:iCs/>
          <w:i/>
        </w:rPr>
        <w:t xml:space="preserve"> </w:t>
      </w:r>
      <w:r>
        <w:rPr>
          <w:iCs/>
          <w:i/>
        </w:rPr>
        <w:t xml:space="preserve">-</w:t>
      </w:r>
      <w:r>
        <w:rPr>
          <w:iCs/>
          <w:i/>
        </w:rPr>
        <w:t xml:space="preserve"> </w:t>
      </w:r>
      <w:r>
        <w:rPr>
          <w:iCs/>
          <w:i/>
        </w:rPr>
        <w:t xml:space="preserve">ARCHIVED</w:t>
      </w:r>
      <w:r>
        <w:t xml:space="preserve"> </w:t>
      </w:r>
      <w:r>
        <w:t xml:space="preserve">(Working Paper 88F0006X1997009).</w:t>
      </w:r>
      <w:r>
        <w:t xml:space="preserve"> </w:t>
      </w:r>
      <w:hyperlink r:id="rId434">
        <w:r>
          <w:rPr>
            <w:rStyle w:val="Hyperlink"/>
          </w:rPr>
          <w:t xml:space="preserve">https://www150.statcan.gc.ca/n1/en/catalogue/88F0006X1997009</w:t>
        </w:r>
      </w:hyperlink>
    </w:p>
    <w:bookmarkEnd w:id="435"/>
    <w:bookmarkStart w:id="436" w:name="ref-wascherMinimumWagesEmployment2006"/>
    <w:p>
      <w:pPr>
        <w:pStyle w:val="Bibliography"/>
      </w:pPr>
      <w:r>
        <w:t xml:space="preserve">Wascher, W., &amp; Neumark, D. (2006).</w:t>
      </w:r>
      <w:r>
        <w:t xml:space="preserve"> </w:t>
      </w:r>
      <w:r>
        <w:rPr>
          <w:iCs/>
          <w:i/>
        </w:rPr>
        <w:t xml:space="preserve">Minimum wages and employment:</w:t>
      </w:r>
      <w:r>
        <w:rPr>
          <w:iCs/>
          <w:i/>
        </w:rPr>
        <w:t xml:space="preserve"> </w:t>
      </w:r>
      <w:r>
        <w:rPr>
          <w:iCs/>
          <w:i/>
        </w:rPr>
        <w:t xml:space="preserve">A</w:t>
      </w:r>
      <w:r>
        <w:rPr>
          <w:iCs/>
          <w:i/>
        </w:rPr>
        <w:t xml:space="preserve"> </w:t>
      </w:r>
      <w:r>
        <w:rPr>
          <w:iCs/>
          <w:i/>
        </w:rPr>
        <w:t xml:space="preserve">review of evidence from the new minimum wage research</w:t>
      </w:r>
      <w:r>
        <w:t xml:space="preserve">. National Bureau of Economic Research.</w:t>
      </w:r>
    </w:p>
    <w:bookmarkEnd w:id="436"/>
    <w:bookmarkStart w:id="438" w:name="X941fe0e116f9bf771a92195f5120bf1e4cd9179"/>
    <w:p>
      <w:pPr>
        <w:pStyle w:val="Bibliography"/>
      </w:pPr>
      <w:r>
        <w:t xml:space="preserve">Westholm, A. (1997). Distance versus</w:t>
      </w:r>
      <w:r>
        <w:t xml:space="preserve"> </w:t>
      </w:r>
      <w:r>
        <w:t xml:space="preserve">Direction</w:t>
      </w:r>
      <w:r>
        <w:t xml:space="preserve">:</w:t>
      </w:r>
      <w:r>
        <w:t xml:space="preserve"> </w:t>
      </w:r>
      <w:r>
        <w:t xml:space="preserve">The Illusory Defeat</w:t>
      </w:r>
      <w:r>
        <w:t xml:space="preserve"> </w:t>
      </w:r>
      <w:r>
        <w:t xml:space="preserve">of the</w:t>
      </w:r>
      <w:r>
        <w:t xml:space="preserve"> </w:t>
      </w:r>
      <w:r>
        <w:t xml:space="preserve">Proximity Theory</w:t>
      </w:r>
      <w:r>
        <w:t xml:space="preserve"> </w:t>
      </w:r>
      <w:r>
        <w:t xml:space="preserve">of</w:t>
      </w:r>
      <w:r>
        <w:t xml:space="preserve"> </w:t>
      </w:r>
      <w:r>
        <w:t xml:space="preserve">Electoral Choice</w:t>
      </w:r>
      <w:r>
        <w:t xml:space="preserve">.</w:t>
      </w:r>
      <w:r>
        <w:t xml:space="preserve"> </w:t>
      </w:r>
      <w:r>
        <w:rPr>
          <w:iCs/>
          <w:i/>
        </w:rPr>
        <w:t xml:space="preserve">The American Political Science Review</w:t>
      </w:r>
      <w:r>
        <w:t xml:space="preserve">,</w:t>
      </w:r>
      <w:r>
        <w:t xml:space="preserve"> </w:t>
      </w:r>
      <w:r>
        <w:rPr>
          <w:iCs/>
          <w:i/>
        </w:rPr>
        <w:t xml:space="preserve">91</w:t>
      </w:r>
      <w:r>
        <w:t xml:space="preserve">(4), 865–883.</w:t>
      </w:r>
      <w:r>
        <w:t xml:space="preserve"> </w:t>
      </w:r>
      <w:hyperlink r:id="rId437">
        <w:r>
          <w:rPr>
            <w:rStyle w:val="Hyperlink"/>
          </w:rPr>
          <w:t xml:space="preserve">https://doi.org/10.2307/2952170</w:t>
        </w:r>
      </w:hyperlink>
    </w:p>
    <w:bookmarkEnd w:id="438"/>
    <w:bookmarkStart w:id="440" w:name="ref-wlezienEconomicPerceptionsVote1997"/>
    <w:p>
      <w:pPr>
        <w:pStyle w:val="Bibliography"/>
      </w:pPr>
      <w:r>
        <w:t xml:space="preserve">Wlezien, C., Franklin, M., &amp; Twiggs, D. (1997). Economic</w:t>
      </w:r>
      <w:r>
        <w:t xml:space="preserve"> </w:t>
      </w:r>
      <w:r>
        <w:t xml:space="preserve">Perceptions</w:t>
      </w:r>
      <w:r>
        <w:t xml:space="preserve"> </w:t>
      </w:r>
      <w:r>
        <w:t xml:space="preserve">and</w:t>
      </w:r>
      <w:r>
        <w:t xml:space="preserve"> </w:t>
      </w:r>
      <w:r>
        <w:t xml:space="preserve">Vote Choice</w:t>
      </w:r>
      <w:r>
        <w:t xml:space="preserve">:</w:t>
      </w:r>
      <w:r>
        <w:t xml:space="preserve"> </w:t>
      </w:r>
      <w:r>
        <w:t xml:space="preserve">Disentangling</w:t>
      </w:r>
      <w:r>
        <w:t xml:space="preserve"> </w:t>
      </w:r>
      <w:r>
        <w:t xml:space="preserve">the</w:t>
      </w:r>
      <w:r>
        <w:t xml:space="preserve"> </w:t>
      </w:r>
      <w:r>
        <w:t xml:space="preserve">Endogeneity</w:t>
      </w:r>
      <w:r>
        <w:t xml:space="preserve">.</w:t>
      </w:r>
      <w:r>
        <w:t xml:space="preserve"> </w:t>
      </w:r>
      <w:r>
        <w:rPr>
          <w:iCs/>
          <w:i/>
        </w:rPr>
        <w:t xml:space="preserve">Political Behavior</w:t>
      </w:r>
      <w:r>
        <w:t xml:space="preserve">,</w:t>
      </w:r>
      <w:r>
        <w:t xml:space="preserve"> </w:t>
      </w:r>
      <w:r>
        <w:rPr>
          <w:iCs/>
          <w:i/>
        </w:rPr>
        <w:t xml:space="preserve">19</w:t>
      </w:r>
      <w:r>
        <w:t xml:space="preserve">(1), 7–17.</w:t>
      </w:r>
      <w:r>
        <w:t xml:space="preserve"> </w:t>
      </w:r>
      <w:hyperlink r:id="rId439">
        <w:r>
          <w:rPr>
            <w:rStyle w:val="Hyperlink"/>
          </w:rPr>
          <w:t xml:space="preserve">https://www.jstor.org/stable/586547</w:t>
        </w:r>
      </w:hyperlink>
    </w:p>
    <w:bookmarkEnd w:id="440"/>
    <w:bookmarkStart w:id="442" w:name="ref-yanEconomicEnvironmentalImpacts2018"/>
    <w:p>
      <w:pPr>
        <w:pStyle w:val="Bibliography"/>
      </w:pPr>
      <w:r>
        <w:t xml:space="preserve">Yan, S. (2018). The economic and environmental impacts of tax incentives for battery electric vehicles in</w:t>
      </w:r>
      <w:r>
        <w:t xml:space="preserve"> </w:t>
      </w:r>
      <w:r>
        <w:t xml:space="preserve">Europe</w:t>
      </w:r>
      <w:r>
        <w:t xml:space="preserve">.</w:t>
      </w:r>
      <w:r>
        <w:t xml:space="preserve"> </w:t>
      </w:r>
      <w:r>
        <w:rPr>
          <w:iCs/>
          <w:i/>
        </w:rPr>
        <w:t xml:space="preserve">Energy Policy</w:t>
      </w:r>
      <w:r>
        <w:t xml:space="preserve">,</w:t>
      </w:r>
      <w:r>
        <w:t xml:space="preserve"> </w:t>
      </w:r>
      <w:r>
        <w:rPr>
          <w:iCs/>
          <w:i/>
        </w:rPr>
        <w:t xml:space="preserve">123</w:t>
      </w:r>
      <w:r>
        <w:t xml:space="preserve">, 53–63.</w:t>
      </w:r>
      <w:r>
        <w:t xml:space="preserve"> </w:t>
      </w:r>
      <w:hyperlink r:id="rId441">
        <w:r>
          <w:rPr>
            <w:rStyle w:val="Hyperlink"/>
          </w:rPr>
          <w:t xml:space="preserve">https://doi.org/10.1016/j.enpol.2018.08.032</w:t>
        </w:r>
      </w:hyperlink>
    </w:p>
    <w:bookmarkEnd w:id="442"/>
    <w:bookmarkStart w:id="444" w:name="ref-yanowSilencesPublicPolicy1992"/>
    <w:p>
      <w:pPr>
        <w:pStyle w:val="Bibliography"/>
      </w:pPr>
      <w:r>
        <w:t xml:space="preserve">Yanow, D. (1992). Silences in</w:t>
      </w:r>
      <w:r>
        <w:t xml:space="preserve"> </w:t>
      </w:r>
      <w:r>
        <w:t xml:space="preserve">Public Policy Discourse</w:t>
      </w:r>
      <w:r>
        <w:t xml:space="preserve">:</w:t>
      </w:r>
      <w:r>
        <w:t xml:space="preserve"> </w:t>
      </w:r>
      <w:r>
        <w:t xml:space="preserve">Organizational</w:t>
      </w:r>
      <w:r>
        <w:t xml:space="preserve"> </w:t>
      </w:r>
      <w:r>
        <w:t xml:space="preserve">and</w:t>
      </w:r>
      <w:r>
        <w:t xml:space="preserve"> </w:t>
      </w:r>
      <w:r>
        <w:t xml:space="preserve">Policy Myths</w:t>
      </w:r>
      <w:r>
        <w:t xml:space="preserve">.</w:t>
      </w:r>
      <w:r>
        <w:t xml:space="preserve"> </w:t>
      </w:r>
      <w:r>
        <w:rPr>
          <w:iCs/>
          <w:i/>
        </w:rPr>
        <w:t xml:space="preserve">Journal of Public Administration Research and Theory: J-PART</w:t>
      </w:r>
      <w:r>
        <w:t xml:space="preserve">,</w:t>
      </w:r>
      <w:r>
        <w:t xml:space="preserve"> </w:t>
      </w:r>
      <w:r>
        <w:rPr>
          <w:iCs/>
          <w:i/>
        </w:rPr>
        <w:t xml:space="preserve">2</w:t>
      </w:r>
      <w:r>
        <w:t xml:space="preserve">(4), 399–423.</w:t>
      </w:r>
      <w:r>
        <w:t xml:space="preserve"> </w:t>
      </w:r>
      <w:hyperlink r:id="rId443">
        <w:r>
          <w:rPr>
            <w:rStyle w:val="Hyperlink"/>
          </w:rPr>
          <w:t xml:space="preserve">https://www.jstor.org/stable/1181698</w:t>
        </w:r>
      </w:hyperlink>
    </w:p>
    <w:bookmarkEnd w:id="444"/>
    <w:bookmarkStart w:id="446" w:name="ref-yehninochangingclimate2009"/>
    <w:p>
      <w:pPr>
        <w:pStyle w:val="Bibliography"/>
      </w:pPr>
      <w:r>
        <w:t xml:space="preserve">Yeh, S.-W., Kug, J.-S., Dewitte, B., Kwon, M.-H., Kirtman, B. P., &amp; Jin, F.-F. (2009). El niño in a changing climate.</w:t>
      </w:r>
      <w:r>
        <w:t xml:space="preserve"> </w:t>
      </w:r>
      <w:r>
        <w:rPr>
          <w:iCs/>
          <w:i/>
        </w:rPr>
        <w:t xml:space="preserve">Nature</w:t>
      </w:r>
      <w:r>
        <w:t xml:space="preserve">,</w:t>
      </w:r>
      <w:r>
        <w:t xml:space="preserve"> </w:t>
      </w:r>
      <w:r>
        <w:rPr>
          <w:iCs/>
          <w:i/>
        </w:rPr>
        <w:t xml:space="preserve">461</w:t>
      </w:r>
      <w:r>
        <w:t xml:space="preserve">(7263), 511–514.</w:t>
      </w:r>
      <w:r>
        <w:t xml:space="preserve"> </w:t>
      </w:r>
      <w:hyperlink r:id="rId445">
        <w:r>
          <w:rPr>
            <w:rStyle w:val="Hyperlink"/>
          </w:rPr>
          <w:t xml:space="preserve">https://doi.org/10.1038/nature08316</w:t>
        </w:r>
      </w:hyperlink>
    </w:p>
    <w:bookmarkEnd w:id="446"/>
    <w:bookmarkStart w:id="448" w:name="ref-yuenEffectMinimumWages2003"/>
    <w:p>
      <w:pPr>
        <w:pStyle w:val="Bibliography"/>
      </w:pPr>
      <w:r>
        <w:t xml:space="preserve">Yuen, T. (2003). The</w:t>
      </w:r>
      <w:r>
        <w:t xml:space="preserve"> </w:t>
      </w:r>
      <w:r>
        <w:t xml:space="preserve">Effect</w:t>
      </w:r>
      <w:r>
        <w:t xml:space="preserve"> </w:t>
      </w:r>
      <w:r>
        <w:t xml:space="preserve">of</w:t>
      </w:r>
      <w:r>
        <w:t xml:space="preserve"> </w:t>
      </w:r>
      <w:r>
        <w:t xml:space="preserve">Minimum Wages</w:t>
      </w:r>
      <w:r>
        <w:t xml:space="preserve"> </w:t>
      </w:r>
      <w:r>
        <w:t xml:space="preserve">on</w:t>
      </w:r>
      <w:r>
        <w:t xml:space="preserve"> </w:t>
      </w:r>
      <w:r>
        <w:t xml:space="preserve">Youth Employment</w:t>
      </w:r>
      <w:r>
        <w:t xml:space="preserve"> </w:t>
      </w:r>
      <w:r>
        <w:t xml:space="preserve">in</w:t>
      </w:r>
      <w:r>
        <w:t xml:space="preserve"> </w:t>
      </w:r>
      <w:r>
        <w:t xml:space="preserve">Canada</w:t>
      </w:r>
      <w:r>
        <w:t xml:space="preserve">:</w:t>
      </w:r>
      <w:r>
        <w:t xml:space="preserve"> </w:t>
      </w:r>
      <w:r>
        <w:t xml:space="preserve">A Panel Study</w:t>
      </w:r>
      <w:r>
        <w:t xml:space="preserve">.</w:t>
      </w:r>
      <w:r>
        <w:t xml:space="preserve"> </w:t>
      </w:r>
      <w:r>
        <w:rPr>
          <w:iCs/>
          <w:i/>
        </w:rPr>
        <w:t xml:space="preserve">The Journal of Human Resources</w:t>
      </w:r>
      <w:r>
        <w:t xml:space="preserve">,</w:t>
      </w:r>
      <w:r>
        <w:t xml:space="preserve"> </w:t>
      </w:r>
      <w:r>
        <w:rPr>
          <w:iCs/>
          <w:i/>
        </w:rPr>
        <w:t xml:space="preserve">38</w:t>
      </w:r>
      <w:r>
        <w:t xml:space="preserve">(3), 647–672.</w:t>
      </w:r>
      <w:r>
        <w:t xml:space="preserve"> </w:t>
      </w:r>
      <w:hyperlink r:id="rId447">
        <w:r>
          <w:rPr>
            <w:rStyle w:val="Hyperlink"/>
          </w:rPr>
          <w:t xml:space="preserve">https://doi.org/10.2307/1558771</w:t>
        </w:r>
      </w:hyperlink>
    </w:p>
    <w:bookmarkEnd w:id="448"/>
    <w:bookmarkEnd w:id="449"/>
    <w:bookmarkEnd w:id="450"/>
    <w:bookmarkStart w:id="451" w:name="appendix-average-marginal-effects"/>
    <w:p>
      <w:pPr>
        <w:pStyle w:val="Heading1"/>
      </w:pPr>
      <w:r>
        <w:t xml:space="preserve">Appendix: Average marginal effects</w:t>
      </w:r>
    </w:p>
    <w:bookmarkEnd w:id="451"/>
    <w:sectPr w:rsidR="00F43B9E">
      <w:pgSz w:h="16838" w:w="11906"/>
      <w:pgMar w:bottom="1134" w:footer="709" w:gutter="0" w:header="709" w:left="1701" w:right="850" w:top="1134"/>
      <w:cols w:space="1701"/>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The 2004 and 2006 waves did not record interview dates. The eight waves took place every two years between 2008 and 2016. The 2018/19 wave took place between late 2018 and 2019. The two most recent two survey waves were carried out in 2021 and 2023.</w:t>
      </w:r>
    </w:p>
  </w:footnote>
  <w:footnote w:id="22">
    <w:p>
      <w:pPr>
        <w:pStyle w:val="FootnoteText"/>
      </w:pPr>
      <w:r>
        <w:rPr>
          <w:rStyle w:val="FootnoteReference"/>
        </w:rPr>
        <w:footnoteRef/>
      </w:r>
      <w:r>
        <w:t xml:space="preserve"> </w:t>
      </w:r>
      <w:r>
        <w:t xml:space="preserve">In Ecuador, the relevant institution is the Instituto Nacional de Meteorología e Hidrología.</w:t>
      </w:r>
    </w:p>
  </w:footnote>
  <w:footnote w:id="23">
    <w:p>
      <w:pPr>
        <w:pStyle w:val="FootnoteText"/>
      </w:pPr>
      <w:r>
        <w:rPr>
          <w:rStyle w:val="FootnoteReference"/>
        </w:rPr>
        <w:footnoteRef/>
      </w:r>
      <w:r>
        <w:t xml:space="preserve"> </w:t>
      </w:r>
      <w:r>
        <w:t xml:space="preserve">Cantons in Ecuador are the second highest level of the political-administrative division of the country, after to provinces. They are similar to municipalities.</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2E076C3C"/>
    <w:multiLevelType w:val="hybridMultilevel"/>
    <w:tmpl w:val="14EAAB5C"/>
    <w:lvl w:ilvl="0" w:tplc="7AC8B0FE">
      <w:start w:val="1"/>
      <w:numFmt w:val="bullet"/>
      <w:lvlText w:val=" "/>
      <w:lvlJc w:val="left"/>
      <w:pPr>
        <w:tabs>
          <w:tab w:pos="0" w:val="num"/>
        </w:tabs>
        <w:ind w:hanging="480" w:left="480"/>
      </w:pPr>
    </w:lvl>
    <w:lvl w:ilvl="1" w:tplc="796ED1F6">
      <w:start w:val="1"/>
      <w:numFmt w:val="bullet"/>
      <w:lvlText w:val=" "/>
      <w:lvlJc w:val="left"/>
      <w:pPr>
        <w:tabs>
          <w:tab w:pos="720" w:val="num"/>
        </w:tabs>
        <w:ind w:hanging="480" w:left="1200"/>
      </w:pPr>
    </w:lvl>
    <w:lvl w:ilvl="2" w:tplc="8AF07A10">
      <w:start w:val="1"/>
      <w:numFmt w:val="bullet"/>
      <w:lvlText w:val=" "/>
      <w:lvlJc w:val="left"/>
      <w:pPr>
        <w:tabs>
          <w:tab w:pos="1440" w:val="num"/>
        </w:tabs>
        <w:ind w:hanging="480" w:left="1920"/>
      </w:pPr>
    </w:lvl>
    <w:lvl w:ilvl="3" w:tplc="4CA011E0">
      <w:start w:val="1"/>
      <w:numFmt w:val="bullet"/>
      <w:lvlText w:val=" "/>
      <w:lvlJc w:val="left"/>
      <w:pPr>
        <w:tabs>
          <w:tab w:pos="2160" w:val="num"/>
        </w:tabs>
        <w:ind w:hanging="480" w:left="2640"/>
      </w:pPr>
    </w:lvl>
    <w:lvl w:ilvl="4" w:tplc="28A213A2">
      <w:start w:val="1"/>
      <w:numFmt w:val="bullet"/>
      <w:lvlText w:val=" "/>
      <w:lvlJc w:val="left"/>
      <w:pPr>
        <w:tabs>
          <w:tab w:pos="2880" w:val="num"/>
        </w:tabs>
        <w:ind w:hanging="480" w:left="3360"/>
      </w:pPr>
    </w:lvl>
    <w:lvl w:ilvl="5" w:tplc="7072435E">
      <w:start w:val="1"/>
      <w:numFmt w:val="bullet"/>
      <w:lvlText w:val=" "/>
      <w:lvlJc w:val="left"/>
      <w:pPr>
        <w:tabs>
          <w:tab w:pos="3600" w:val="num"/>
        </w:tabs>
        <w:ind w:hanging="480" w:left="4080"/>
      </w:pPr>
    </w:lvl>
    <w:lvl w:ilvl="6" w:tplc="C9FC5F80">
      <w:start w:val="1"/>
      <w:numFmt w:val="bullet"/>
      <w:lvlText w:val=" "/>
      <w:lvlJc w:val="left"/>
      <w:pPr>
        <w:tabs>
          <w:tab w:pos="4320" w:val="num"/>
        </w:tabs>
        <w:ind w:hanging="480" w:left="4800"/>
      </w:pPr>
    </w:lvl>
    <w:lvl w:ilvl="7" w:tplc="3A042260">
      <w:start w:val="1"/>
      <w:numFmt w:val="bullet"/>
      <w:lvlText w:val=" "/>
      <w:lvlJc w:val="left"/>
      <w:pPr>
        <w:tabs>
          <w:tab w:pos="5040" w:val="num"/>
        </w:tabs>
        <w:ind w:hanging="480" w:left="5520"/>
      </w:pPr>
    </w:lvl>
    <w:lvl w:ilvl="8" w:tplc="19BA36CA">
      <w:start w:val="1"/>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37579606"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76F1E"/>
    <w:rPr>
      <w:rFonts w:ascii="Times New Roman" w:hAnsi="Times New Roman"/>
    </w:rPr>
  </w:style>
  <w:style w:styleId="Heading1" w:type="paragraph">
    <w:name w:val="heading 1"/>
    <w:basedOn w:val="Normal"/>
    <w:next w:val="BodyText"/>
    <w:link w:val="Heading1Char"/>
    <w:uiPriority w:val="9"/>
    <w:qFormat/>
    <w:pPr>
      <w:keepNext/>
      <w:keepLines/>
      <w:spacing w:after="0" w:before="480"/>
      <w:jc w:val="center"/>
      <w:outlineLvl w:val="0"/>
    </w:pPr>
    <w:rPr>
      <w:rFonts w:cs="Times New Roman" w:eastAsiaTheme="majorEastAsia"/>
      <w:b/>
      <w:bCs/>
    </w:rPr>
  </w:style>
  <w:style w:styleId="Heading2" w:type="paragraph">
    <w:name w:val="heading 2"/>
    <w:basedOn w:val="Normal"/>
    <w:next w:val="BodyText"/>
    <w:link w:val="Heading2Char"/>
    <w:uiPriority w:val="9"/>
    <w:unhideWhenUsed/>
    <w:qFormat/>
    <w:pPr>
      <w:keepNext/>
      <w:keepLines/>
      <w:spacing w:after="0" w:before="200"/>
      <w:outlineLvl w:val="1"/>
    </w:pPr>
    <w:rPr>
      <w:rFonts w:cs="Times New Roman" w:eastAsiaTheme="majorEastAsia"/>
      <w:b/>
      <w:bCs/>
    </w:rPr>
  </w:style>
  <w:style w:styleId="Heading3" w:type="paragraph">
    <w:name w:val="heading 3"/>
    <w:basedOn w:val="Normal"/>
    <w:next w:val="BodyText"/>
    <w:link w:val="Heading3Char"/>
    <w:uiPriority w:val="9"/>
    <w:unhideWhenUsed/>
    <w:qFormat/>
    <w:pPr>
      <w:keepNext/>
      <w:keepLines/>
      <w:spacing w:after="0" w:before="200"/>
      <w:outlineLvl w:val="2"/>
    </w:pPr>
    <w:rPr>
      <w:rFonts w:cs="Times New Roman" w:eastAsiaTheme="majorEastAsia"/>
      <w:b/>
      <w:bCs/>
      <w:i/>
      <w:iCs/>
    </w:rPr>
  </w:style>
  <w:style w:styleId="Heading4" w:type="paragraph">
    <w:name w:val="heading 4"/>
    <w:basedOn w:val="Normal"/>
    <w:next w:val="BodyText"/>
    <w:link w:val="Heading4Char"/>
    <w:uiPriority w:val="9"/>
    <w:unhideWhenUsed/>
    <w:qFormat/>
    <w:pPr>
      <w:keepNext/>
      <w:keepLines/>
      <w:spacing w:after="0" w:before="200"/>
      <w:ind w:firstLine="709"/>
      <w:outlineLvl w:val="3"/>
    </w:pPr>
    <w:rPr>
      <w:rFonts w:cs="Times New Roman" w:eastAsiaTheme="majorEastAsia"/>
      <w:b/>
      <w:bCs/>
    </w:rPr>
  </w:style>
  <w:style w:styleId="Heading5" w:type="paragraph">
    <w:name w:val="heading 5"/>
    <w:basedOn w:val="Normal"/>
    <w:next w:val="BodyText"/>
    <w:link w:val="Heading5Char"/>
    <w:uiPriority w:val="9"/>
    <w:unhideWhenUsed/>
    <w:qFormat/>
    <w:pPr>
      <w:keepNext/>
      <w:keepLines/>
      <w:spacing w:after="0" w:before="200"/>
      <w:ind w:firstLine="709"/>
      <w:outlineLvl w:val="4"/>
    </w:pPr>
    <w:rPr>
      <w:rFonts w:cs="Times New Roman" w:eastAsiaTheme="majorEastAsia"/>
      <w:b/>
      <w:bCs/>
      <w:i/>
      <w:iCs/>
    </w:rPr>
  </w:style>
  <w:style w:styleId="Heading6" w:type="paragraph">
    <w:name w:val="heading 6"/>
    <w:basedOn w:val="Normal"/>
    <w:next w:val="BodyText"/>
    <w:link w:val="Heading6Cha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Pr>
      <w:rFonts w:ascii="Arial" w:cs="Arial" w:eastAsia="Arial" w:hAnsi="Arial"/>
      <w:sz w:val="40"/>
      <w:szCs w:val="40"/>
    </w:rPr>
  </w:style>
  <w:style w:customStyle="1" w:styleId="Heading2Char" w:type="character">
    <w:name w:val="Heading 2 Char"/>
    <w:basedOn w:val="DefaultParagraphFont"/>
    <w:link w:val="Heading2"/>
    <w:uiPriority w:val="9"/>
    <w:rPr>
      <w:rFonts w:ascii="Arial" w:cs="Arial" w:eastAsia="Arial" w:hAnsi="Arial"/>
      <w:sz w:val="34"/>
    </w:rPr>
  </w:style>
  <w:style w:customStyle="1" w:styleId="Heading3Char" w:type="character">
    <w:name w:val="Heading 3 Char"/>
    <w:basedOn w:val="DefaultParagraphFont"/>
    <w:link w:val="Heading3"/>
    <w:uiPriority w:val="9"/>
    <w:rPr>
      <w:rFonts w:ascii="Arial" w:cs="Arial" w:eastAsia="Arial" w:hAnsi="Arial"/>
      <w:sz w:val="30"/>
      <w:szCs w:val="30"/>
    </w:rPr>
  </w:style>
  <w:style w:customStyle="1" w:styleId="Heading4Char" w:type="character">
    <w:name w:val="Heading 4 Char"/>
    <w:basedOn w:val="DefaultParagraphFont"/>
    <w:link w:val="Heading4"/>
    <w:uiPriority w:val="9"/>
    <w:rPr>
      <w:rFonts w:ascii="Arial" w:cs="Arial" w:eastAsia="Arial" w:hAnsi="Arial"/>
      <w:b/>
      <w:bCs/>
      <w:sz w:val="26"/>
      <w:szCs w:val="26"/>
    </w:rPr>
  </w:style>
  <w:style w:customStyle="1" w:styleId="Heading5Char" w:type="character">
    <w:name w:val="Heading 5 Char"/>
    <w:basedOn w:val="DefaultParagraphFont"/>
    <w:link w:val="Heading5"/>
    <w:uiPriority w:val="9"/>
    <w:rPr>
      <w:rFonts w:ascii="Arial" w:cs="Arial" w:eastAsia="Arial" w:hAnsi="Arial"/>
      <w:b/>
      <w:bCs/>
      <w:sz w:val="24"/>
      <w:szCs w:val="24"/>
    </w:rPr>
  </w:style>
  <w:style w:customStyle="1" w:styleId="Heading6Char" w:type="character">
    <w:name w:val="Heading 6 Char"/>
    <w:basedOn w:val="DefaultParagraphFont"/>
    <w:link w:val="Heading6"/>
    <w:uiPriority w:val="9"/>
    <w:rPr>
      <w:rFonts w:ascii="Arial" w:cs="Arial" w:eastAsia="Arial" w:hAnsi="Arial"/>
      <w:b/>
      <w:bCs/>
      <w:sz w:val="22"/>
      <w:szCs w:val="22"/>
    </w:rPr>
  </w:style>
  <w:style w:customStyle="1" w:styleId="Heading7Char" w:type="character">
    <w:name w:val="Heading 7 Char"/>
    <w:basedOn w:val="DefaultParagraphFont"/>
    <w:link w:val="Heading7"/>
    <w:uiPriority w:val="9"/>
    <w:rPr>
      <w:rFonts w:ascii="Arial" w:cs="Arial" w:eastAsia="Arial" w:hAnsi="Arial"/>
      <w:b/>
      <w:bCs/>
      <w:i/>
      <w:iCs/>
      <w:sz w:val="22"/>
      <w:szCs w:val="22"/>
    </w:rPr>
  </w:style>
  <w:style w:customStyle="1" w:styleId="Heading8Char" w:type="character">
    <w:name w:val="Heading 8 Char"/>
    <w:basedOn w:val="DefaultParagraphFont"/>
    <w:link w:val="Heading8"/>
    <w:uiPriority w:val="9"/>
    <w:rPr>
      <w:rFonts w:ascii="Arial" w:cs="Arial" w:eastAsia="Arial" w:hAnsi="Arial"/>
      <w:i/>
      <w:iCs/>
      <w:sz w:val="22"/>
      <w:szCs w:val="22"/>
    </w:rPr>
  </w:style>
  <w:style w:customStyle="1" w:styleId="Heading9Char" w:type="character">
    <w:name w:val="Heading 9 Char"/>
    <w:basedOn w:val="DefaultParagraphFont"/>
    <w:link w:val="Heading9"/>
    <w:uiPriority w:val="9"/>
    <w:rPr>
      <w:rFonts w:ascii="Arial" w:cs="Arial" w:eastAsia="Arial" w:hAnsi="Arial"/>
      <w:i/>
      <w:iCs/>
      <w:sz w:val="21"/>
      <w:szCs w:val="21"/>
    </w:rPr>
  </w:style>
  <w:style w:styleId="ListParagraph" w:type="paragraph">
    <w:name w:val="List Paragraph"/>
    <w:basedOn w:val="Normal"/>
    <w:uiPriority w:val="34"/>
    <w:qFormat/>
    <w:pPr>
      <w:ind w:left="720"/>
      <w:contextualSpacing/>
    </w:pPr>
  </w:style>
  <w:style w:styleId="NoSpacing" w:type="paragraph">
    <w:name w:val="No Spacing"/>
    <w:uiPriority w:val="1"/>
    <w:qFormat/>
    <w:pPr>
      <w:spacing w:after="0"/>
    </w:pPr>
  </w:style>
  <w:style w:customStyle="1" w:styleId="TitleChar" w:type="character">
    <w:name w:val="Title Char"/>
    <w:basedOn w:val="DefaultParagraphFont"/>
    <w:link w:val="Title"/>
    <w:uiPriority w:val="10"/>
    <w:rPr>
      <w:sz w:val="48"/>
      <w:szCs w:val="48"/>
    </w:rPr>
  </w:style>
  <w:style w:customStyle="1" w:styleId="SubtitleChar" w:type="character">
    <w:name w:val="Subtitle Char"/>
    <w:basedOn w:val="DefaultParagraphFont"/>
    <w:link w:val="Subtitle"/>
    <w:uiPriority w:val="11"/>
    <w:rPr>
      <w:sz w:val="24"/>
      <w:szCs w:val="24"/>
    </w:rPr>
  </w:style>
  <w:style w:styleId="Quote" w:type="paragraph">
    <w:name w:val="Quote"/>
    <w:basedOn w:val="Normal"/>
    <w:next w:val="Normal"/>
    <w:link w:val="QuoteChar"/>
    <w:uiPriority w:val="29"/>
    <w:qFormat/>
    <w:pPr>
      <w:ind w:left="720" w:right="720"/>
    </w:pPr>
    <w:rPr>
      <w:i/>
    </w:rPr>
  </w:style>
  <w:style w:customStyle="1" w:styleId="QuoteChar" w:type="character">
    <w:name w:val="Quote Char"/>
    <w:link w:val="Quote"/>
    <w:uiPriority w:val="29"/>
    <w:rPr>
      <w:i/>
    </w:rPr>
  </w:style>
  <w:style w:styleId="IntenseQuote" w:type="paragraph">
    <w:name w:val="Intense Quote"/>
    <w:basedOn w:val="Normal"/>
    <w:next w:val="Normal"/>
    <w:link w:val="IntenseQuoteChar"/>
    <w:uiPriority w:val="30"/>
    <w:qFormat/>
    <w:pPr>
      <w:pBdr>
        <w:top w:color="FFFFFF" w:space="5" w:sz="4" w:val="single"/>
        <w:left w:color="FFFFFF" w:space="10" w:sz="4" w:val="single"/>
        <w:bottom w:color="FFFFFF" w:space="5" w:sz="4" w:val="single"/>
        <w:right w:color="FFFFFF" w:space="10" w:sz="4" w:val="single"/>
      </w:pBdr>
      <w:shd w:color="auto" w:fill="F2F2F2" w:val="clear"/>
      <w:ind w:left="720" w:right="720"/>
    </w:pPr>
    <w:rPr>
      <w:i/>
    </w:rPr>
  </w:style>
  <w:style w:customStyle="1" w:styleId="IntenseQuoteChar" w:type="character">
    <w:name w:val="Intense Quote Char"/>
    <w:link w:val="IntenseQuote"/>
    <w:uiPriority w:val="30"/>
    <w:rPr>
      <w:i/>
    </w:rPr>
  </w:style>
  <w:style w:styleId="Header" w:type="paragraph">
    <w:name w:val="header"/>
    <w:basedOn w:val="Normal"/>
    <w:link w:val="HeaderChar"/>
    <w:uiPriority w:val="99"/>
    <w:unhideWhenUsed/>
    <w:pPr>
      <w:tabs>
        <w:tab w:pos="7143" w:val="center"/>
        <w:tab w:pos="14287" w:val="right"/>
      </w:tabs>
      <w:spacing w:after="0"/>
    </w:pPr>
  </w:style>
  <w:style w:customStyle="1" w:styleId="HeaderChar" w:type="character">
    <w:name w:val="Header Char"/>
    <w:basedOn w:val="DefaultParagraphFont"/>
    <w:link w:val="Header"/>
    <w:uiPriority w:val="99"/>
  </w:style>
  <w:style w:styleId="Footer" w:type="paragraph">
    <w:name w:val="footer"/>
    <w:basedOn w:val="Normal"/>
    <w:link w:val="FooterChar1"/>
    <w:uiPriority w:val="99"/>
    <w:unhideWhenUsed/>
    <w:pPr>
      <w:tabs>
        <w:tab w:pos="7143" w:val="center"/>
        <w:tab w:pos="14287" w:val="right"/>
      </w:tabs>
      <w:spacing w:after="0"/>
    </w:pPr>
  </w:style>
  <w:style w:customStyle="1" w:styleId="FooterChar" w:type="character">
    <w:name w:val="Footer Char"/>
    <w:basedOn w:val="DefaultParagraphFont"/>
    <w:uiPriority w:val="99"/>
  </w:style>
  <w:style w:customStyle="1" w:styleId="FooterChar1" w:type="character">
    <w:name w:val="Footer Char1"/>
    <w:link w:val="Footer"/>
    <w:uiPriority w:val="99"/>
  </w:style>
  <w:style w:styleId="TableGrid" w:type="table">
    <w:name w:val="Table Grid"/>
    <w:basedOn w:val="TableNormal"/>
    <w:uiPriority w:val="59"/>
    <w:pPr>
      <w:spacing w:after="0"/>
    </w:p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styleId="TableGridLight" w:type="table">
    <w:name w:val="Grid Table Light"/>
    <w:basedOn w:val="TableNormal"/>
    <w:uiPriority w:val="59"/>
    <w:pPr>
      <w:spacing w:after="0"/>
    </w:pPr>
    <w:tblPr>
      <w:tblBorders>
        <w:top w:color="AFAFAF" w:space="0" w:sz="4" w:themeColor="text1" w:themeTint="50" w:val="single"/>
        <w:left w:color="AFAFAF" w:space="0" w:sz="4" w:themeColor="text1" w:themeTint="50" w:val="single"/>
        <w:bottom w:color="AFAFAF" w:space="0" w:sz="4" w:themeColor="text1" w:themeTint="50" w:val="single"/>
        <w:right w:color="AFAFAF" w:space="0" w:sz="4" w:themeColor="text1" w:themeTint="50" w:val="single"/>
        <w:insideH w:color="AFAFAF" w:space="0" w:sz="4" w:themeColor="text1" w:themeTint="50" w:val="single"/>
        <w:insideV w:color="AFAFAF" w:space="0" w:sz="4" w:themeColor="text1" w:themeTint="50" w:val="single"/>
      </w:tblBorders>
    </w:tblPr>
  </w:style>
  <w:style w:styleId="PlainTable1" w:type="table">
    <w:name w:val="Plain Table 1"/>
    <w:basedOn w:val="TableNormal"/>
    <w:uiPriority w:val="59"/>
    <w:pPr>
      <w:spacing w:after="0"/>
    </w:pPr>
    <w:tblPr>
      <w:tblBorders>
        <w:top w:color="AFAFAF" w:space="0" w:sz="4" w:themeColor="text1" w:themeTint="50" w:val="single"/>
        <w:left w:color="AFAFAF" w:space="0" w:sz="4" w:themeColor="text1" w:themeTint="50" w:val="single"/>
        <w:bottom w:color="AFAFAF" w:space="0" w:sz="4" w:themeColor="text1" w:themeTint="50" w:val="single"/>
        <w:right w:color="AFAFAF" w:space="0" w:sz="4" w:themeColor="text1" w:themeTint="50" w:val="single"/>
        <w:insideH w:color="AFAFAF" w:space="0" w:sz="4" w:themeColor="text1" w:themeTint="50" w:val="single"/>
        <w:insideV w:color="AFAFAF" w:space="0" w:sz="4" w:themeColor="text1" w:themeTint="50" w:val="single"/>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color="F2F2F2" w:fill="F2F2F2" w:themeColor="text1" w:themeFill="text1" w:themeFillTint="0D" w:themeTint="0D" w:val="clear"/>
      </w:tcPr>
    </w:tblStylePr>
    <w:tblStylePr w:type="band1Horz">
      <w:tblPr/>
      <w:tcPr>
        <w:shd w:color="F2F2F2" w:fill="F2F2F2" w:themeColor="text1" w:themeFill="text1" w:themeFillTint="0D" w:themeTint="0D" w:val="clear"/>
      </w:tcPr>
    </w:tblStylePr>
  </w:style>
  <w:style w:styleId="PlainTable2" w:type="table">
    <w:name w:val="Plain Table 2"/>
    <w:basedOn w:val="TableNormal"/>
    <w:uiPriority w:val="59"/>
    <w:pPr>
      <w:spacing w:after="0"/>
    </w:pPr>
    <w:tblPr>
      <w:tblBorders>
        <w:top w:color="000000" w:space="0" w:sz="4" w:themeColor="text1" w:val="single"/>
        <w:left w:color="000000" w:space="0" w:sz="4" w:themeColor="text1" w:val="none"/>
        <w:bottom w:color="000000" w:space="0" w:sz="4" w:themeColor="text1" w:val="single"/>
        <w:right w:color="000000" w:space="0" w:sz="4" w:themeColor="text1" w:val="none"/>
      </w:tblBorders>
    </w:tblPr>
    <w:tblStylePr w:type="firstRow">
      <w:rPr>
        <w:rFonts w:ascii="Arial" w:hAnsi="Arial"/>
        <w:b/>
        <w:color w:val="404040"/>
        <w:sz w:val="22"/>
      </w:rPr>
      <w:tblPr/>
      <w:tcPr>
        <w:tcBorders>
          <w:top w:color="000000" w:space="0" w:sz="4" w:themeColor="text1" w:val="single"/>
          <w:bottom w:color="000000" w:space="0" w:sz="4" w:themeColor="text1" w:val="single"/>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color="000000" w:space="0" w:sz="4" w:themeColor="text1" w:val="single"/>
          <w:right w:color="000000" w:space="0" w:sz="4" w:themeColor="text1" w:val="single"/>
        </w:tcBorders>
      </w:tcPr>
    </w:tblStylePr>
    <w:tblStylePr w:type="band2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tcBorders>
      </w:tcPr>
    </w:tblStylePr>
  </w:style>
  <w:style w:styleId="PlainTable3" w:type="table">
    <w:name w:val="Plain Table 3"/>
    <w:basedOn w:val="TableNormal"/>
    <w:uiPriority w:val="99"/>
    <w:pPr>
      <w:spacing w:after="0"/>
    </w:pPr>
    <w:tblPr>
      <w:tblStyleRowBandSize w:val="1"/>
      <w:tblStyleColBandSize w:val="1"/>
    </w:tblPr>
    <w:tblStylePr w:type="firstRow">
      <w:rPr>
        <w:b/>
        <w:caps/>
        <w:color w:val="404040"/>
      </w:rPr>
      <w:tblPr/>
      <w:tcPr>
        <w:tcBorders>
          <w:top w:color="000000" w:space="0" w:sz="4" w:val="none"/>
          <w:left w:color="000000" w:space="0" w:sz="4" w:val="none"/>
          <w:bottom w:color="404040" w:space="0" w:sz="4" w:val="single"/>
          <w:right w:color="000000" w:space="0" w:sz="4" w:val="none"/>
        </w:tcBorders>
      </w:tcPr>
    </w:tblStylePr>
    <w:tblStylePr w:type="lastRow">
      <w:rPr>
        <w:b/>
        <w:caps/>
        <w:color w:val="404040"/>
      </w:rPr>
    </w:tblStylePr>
    <w:tblStylePr w:type="firstCol">
      <w:rPr>
        <w:b/>
        <w:caps/>
        <w:color w:val="404040"/>
      </w:rPr>
      <w:tblPr/>
      <w:tcPr>
        <w:tcBorders>
          <w:top w:color="000000" w:space="0" w:sz="4" w:val="none"/>
          <w:left w:color="000000" w:space="0" w:sz="4" w:val="none"/>
          <w:bottom w:color="000000" w:space="0" w:sz="4" w:val="none"/>
          <w:right w:color="404040" w:space="0" w:sz="4" w:val="single"/>
        </w:tcBorders>
      </w:tcPr>
    </w:tblStylePr>
    <w:tblStylePr w:type="lastCol">
      <w:rPr>
        <w:b/>
        <w:caps/>
        <w:color w:val="404040"/>
      </w:rPr>
    </w:tblStylePr>
    <w:tblStylePr w:type="band1Vert">
      <w:rPr>
        <w:rFonts w:ascii="Arial" w:hAnsi="Arial"/>
        <w:color w:val="404040"/>
        <w:sz w:val="22"/>
      </w:rPr>
      <w:tblPr/>
      <w:tcPr>
        <w:shd w:color="F2F2F2" w:fill="F2F2F2" w:themeColor="text1" w:themeFill="text1" w:themeFillTint="0D" w:themeTint="0D" w:val="clear"/>
      </w:tcPr>
    </w:tblStylePr>
    <w:tblStylePr w:type="band1Horz">
      <w:rPr>
        <w:rFonts w:ascii="Arial" w:hAnsi="Arial"/>
        <w:color w:val="404040"/>
        <w:sz w:val="22"/>
      </w:rPr>
      <w:tblPr/>
      <w:tcPr>
        <w:shd w:color="F2F2F2" w:fill="F2F2F2" w:themeColor="text1" w:themeFill="text1" w:themeFillTint="0D" w:themeTint="0D" w:val="clear"/>
      </w:tcPr>
    </w:tblStylePr>
  </w:style>
  <w:style w:styleId="PlainTable4" w:type="table">
    <w:name w:val="Plain Table 4"/>
    <w:basedOn w:val="TableNormal"/>
    <w:uiPriority w:val="99"/>
    <w:pPr>
      <w:spacing w:after="0"/>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F2F2F2" w:fill="F2F2F2" w:themeColor="text1" w:themeFill="text1" w:themeFillTint="0D" w:themeTint="0D" w:val="clear"/>
      </w:tcPr>
    </w:tblStylePr>
    <w:tblStylePr w:type="band1Horz">
      <w:rPr>
        <w:rFonts w:ascii="Arial" w:hAnsi="Arial"/>
        <w:color w:val="404040"/>
        <w:sz w:val="22"/>
      </w:rPr>
      <w:tblPr/>
      <w:tcPr>
        <w:shd w:color="F2F2F2" w:fill="F2F2F2" w:themeColor="text1" w:themeFill="text1" w:themeFillTint="0D" w:themeTint="0D" w:val="clear"/>
      </w:tcPr>
    </w:tblStylePr>
  </w:style>
  <w:style w:styleId="PlainTable5" w:type="table">
    <w:name w:val="Plain Table 5"/>
    <w:basedOn w:val="TableNormal"/>
    <w:uiPriority w:val="99"/>
    <w:pPr>
      <w:spacing w:after="0"/>
    </w:pPr>
    <w:tblPr>
      <w:tblStyleRowBandSize w:val="1"/>
      <w:tblStyleColBandSize w:val="1"/>
    </w:tblPr>
    <w:tblStylePr w:type="firstRow">
      <w:rPr>
        <w:i/>
        <w:color w:val="404040"/>
      </w:rPr>
      <w:tblPr/>
      <w:tcPr>
        <w:tcBorders>
          <w:left w:color="000000" w:space="0" w:sz="4" w:val="none"/>
          <w:bottom w:color="404040" w:space="0" w:sz="4" w:val="single"/>
          <w:right w:color="000000" w:space="0" w:sz="4" w:val="none"/>
        </w:tcBorders>
        <w:shd w:color="FFFFFF" w:fill="auto" w:val="clear"/>
      </w:tcPr>
    </w:tblStylePr>
    <w:tblStylePr w:type="lastRow">
      <w:rPr>
        <w:i/>
        <w:color w:val="404040"/>
      </w:rPr>
      <w:tblPr/>
      <w:tcPr>
        <w:tcBorders>
          <w:top w:color="404040" w:space="0" w:sz="4" w:val="single"/>
          <w:left w:color="000000" w:space="0" w:sz="4" w:val="none"/>
          <w:right w:color="000000" w:space="0" w:sz="4" w:val="none"/>
        </w:tcBorders>
        <w:shd w:color="FFFFFF" w:fill="auto" w:val="clear"/>
      </w:tcPr>
    </w:tblStylePr>
    <w:tblStylePr w:type="firstCol">
      <w:pPr>
        <w:jc w:val="right"/>
      </w:pPr>
      <w:rPr>
        <w:i/>
        <w:color w:val="404040"/>
      </w:rPr>
      <w:tblPr/>
      <w:tcPr>
        <w:tcBorders>
          <w:right w:color="404040" w:space="0" w:sz="4" w:val="single"/>
        </w:tcBorders>
        <w:shd w:color="FFFFFF" w:fill="auto" w:val="clear"/>
      </w:tcPr>
    </w:tblStylePr>
    <w:tblStylePr w:type="lastCol">
      <w:rPr>
        <w:i/>
        <w:color w:val="404040"/>
      </w:rPr>
      <w:tblPr/>
      <w:tcPr>
        <w:tcBorders>
          <w:left w:color="404040" w:space="0" w:sz="4" w:val="single"/>
        </w:tcBorders>
        <w:shd w:color="FFFFFF" w:fill="auto" w:val="clear"/>
      </w:tcPr>
    </w:tblStylePr>
    <w:tblStylePr w:type="band1Vert">
      <w:rPr>
        <w:rFonts w:ascii="Arial" w:hAnsi="Arial"/>
        <w:color w:val="404040"/>
        <w:sz w:val="22"/>
      </w:rPr>
      <w:tblPr/>
      <w:tcPr>
        <w:shd w:color="F2F2F2" w:fill="F2F2F2" w:themeColor="text1" w:themeFill="text1" w:themeFillTint="0D" w:themeTint="0D" w:val="clear"/>
      </w:tcPr>
    </w:tblStylePr>
    <w:tblStylePr w:type="band1Horz">
      <w:rPr>
        <w:rFonts w:ascii="Arial" w:hAnsi="Arial"/>
        <w:color w:val="404040"/>
        <w:sz w:val="22"/>
      </w:rPr>
      <w:tblPr/>
      <w:tcPr>
        <w:shd w:color="F2F2F2" w:fill="F2F2F2" w:themeColor="text1" w:themeFill="text1" w:themeFillTint="0D" w:themeTint="0D" w:val="clear"/>
      </w:tcPr>
    </w:tblStylePr>
  </w:style>
  <w:style w:styleId="GridTable1Light" w:type="table">
    <w:name w:val="Grid Table 1 Light"/>
    <w:basedOn w:val="TableNormal"/>
    <w:uiPriority w:val="99"/>
    <w:pPr>
      <w:spacing w:after="0"/>
    </w:pPr>
    <w:tblPr>
      <w:tblStyleRowBandSize w:val="1"/>
      <w:tblStyleColBandSize w:val="1"/>
      <w:tblBorders>
        <w:top w:color="989898" w:space="0" w:sz="4" w:themeColor="text1" w:themeTint="67" w:val="single"/>
        <w:left w:color="989898" w:space="0" w:sz="4" w:themeColor="text1" w:themeTint="67" w:val="single"/>
        <w:bottom w:color="989898" w:space="0" w:sz="4" w:themeColor="text1" w:themeTint="67" w:val="single"/>
        <w:right w:color="989898" w:space="0" w:sz="4" w:themeColor="text1" w:themeTint="67" w:val="single"/>
        <w:insideH w:color="989898" w:space="0" w:sz="4" w:themeColor="text1" w:themeTint="67" w:val="single"/>
        <w:insideV w:color="989898" w:space="0" w:sz="4" w:themeColor="text1" w:themeTint="67" w:val="single"/>
      </w:tblBorders>
    </w:tblPr>
    <w:tblStylePr w:type="firstRow">
      <w:rPr>
        <w:b/>
        <w:color w:val="404040"/>
      </w:rPr>
      <w:tblPr/>
      <w:tcPr>
        <w:tcBorders>
          <w:bottom w:color="6A6A6A" w:space="0" w:sz="12" w:themeColor="text1"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989898" w:space="0" w:sz="4" w:themeColor="text1" w:themeTint="67" w:val="single"/>
          <w:left w:color="989898" w:space="0" w:sz="4" w:themeColor="text1" w:themeTint="67" w:val="single"/>
          <w:bottom w:color="989898" w:space="0" w:sz="4" w:themeColor="text1" w:themeTint="67" w:val="single"/>
          <w:right w:color="989898" w:space="0" w:sz="4" w:themeColor="text1" w:themeTint="67" w:val="single"/>
        </w:tcBorders>
      </w:tcPr>
    </w:tblStylePr>
  </w:style>
  <w:style w:styleId="GridTable1Light-Accent1" w:type="table">
    <w:name w:val="Grid Table 1 Light Accent 1"/>
    <w:basedOn w:val="TableNormal"/>
    <w:uiPriority w:val="99"/>
    <w:pPr>
      <w:spacing w:after="0"/>
    </w:pPr>
    <w:tblPr>
      <w:tblStyleRowBandSize w:val="1"/>
      <w:tblStyleColBandSize w:val="1"/>
      <w:tblBorders>
        <w:top w:color="B7CBE4" w:space="0" w:sz="4" w:themeColor="accent1" w:themeTint="67" w:val="single"/>
        <w:left w:color="B7CBE4" w:space="0" w:sz="4" w:themeColor="accent1" w:themeTint="67" w:val="single"/>
        <w:bottom w:color="B7CBE4" w:space="0" w:sz="4" w:themeColor="accent1" w:themeTint="67" w:val="single"/>
        <w:right w:color="B7CBE4" w:space="0" w:sz="4" w:themeColor="accent1" w:themeTint="67" w:val="single"/>
        <w:insideH w:color="B7CBE4" w:space="0" w:sz="4" w:themeColor="accent1" w:themeTint="67" w:val="single"/>
        <w:insideV w:color="B7CBE4" w:space="0" w:sz="4" w:themeColor="accent1" w:themeTint="67" w:val="single"/>
      </w:tblBorders>
    </w:tblPr>
    <w:tblStylePr w:type="firstRow">
      <w:rPr>
        <w:b/>
        <w:color w:val="404040"/>
      </w:rPr>
      <w:tblPr/>
      <w:tcPr>
        <w:tcBorders>
          <w:bottom w:color="97B4D8" w:space="0" w:sz="12" w:themeColor="accent1"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B7CBE4" w:space="0" w:sz="4" w:themeColor="accent1" w:themeTint="67" w:val="single"/>
          <w:left w:color="B7CBE4" w:space="0" w:sz="4" w:themeColor="accent1" w:themeTint="67" w:val="single"/>
          <w:bottom w:color="B7CBE4" w:space="0" w:sz="4" w:themeColor="accent1" w:themeTint="67" w:val="single"/>
          <w:right w:color="B7CBE4" w:space="0" w:sz="4" w:themeColor="accent1" w:themeTint="67" w:val="single"/>
        </w:tcBorders>
      </w:tcPr>
    </w:tblStylePr>
  </w:style>
  <w:style w:styleId="GridTable1Light-Accent2" w:type="table">
    <w:name w:val="Grid Table 1 Light Accent 2"/>
    <w:basedOn w:val="TableNormal"/>
    <w:uiPriority w:val="99"/>
    <w:pPr>
      <w:spacing w:after="0"/>
    </w:pPr>
    <w:tblPr>
      <w:tblStyleRowBandSize w:val="1"/>
      <w:tblStyleColBandSize w:val="1"/>
      <w:tblBorders>
        <w:top w:color="E5B7B6" w:space="0" w:sz="4" w:themeColor="accent2" w:themeTint="67" w:val="single"/>
        <w:left w:color="E5B7B6" w:space="0" w:sz="4" w:themeColor="accent2" w:themeTint="67" w:val="single"/>
        <w:bottom w:color="E5B7B6" w:space="0" w:sz="4" w:themeColor="accent2" w:themeTint="67" w:val="single"/>
        <w:right w:color="E5B7B6" w:space="0" w:sz="4" w:themeColor="accent2" w:themeTint="67" w:val="single"/>
        <w:insideH w:color="E5B7B6" w:space="0" w:sz="4" w:themeColor="accent2" w:themeTint="67" w:val="single"/>
        <w:insideV w:color="E5B7B6" w:space="0" w:sz="4" w:themeColor="accent2" w:themeTint="67" w:val="single"/>
      </w:tblBorders>
    </w:tblPr>
    <w:tblStylePr w:type="firstRow">
      <w:rPr>
        <w:b/>
        <w:color w:val="404040"/>
      </w:rPr>
      <w:tblPr/>
      <w:tcPr>
        <w:tcBorders>
          <w:bottom w:color="DA9896" w:space="0" w:sz="12" w:themeColor="accent2"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E5B7B6" w:space="0" w:sz="4" w:themeColor="accent2" w:themeTint="67" w:val="single"/>
          <w:left w:color="E5B7B6" w:space="0" w:sz="4" w:themeColor="accent2" w:themeTint="67" w:val="single"/>
          <w:bottom w:color="E5B7B6" w:space="0" w:sz="4" w:themeColor="accent2" w:themeTint="67" w:val="single"/>
          <w:right w:color="E5B7B6" w:space="0" w:sz="4" w:themeColor="accent2" w:themeTint="67" w:val="single"/>
        </w:tcBorders>
      </w:tcPr>
    </w:tblStylePr>
  </w:style>
  <w:style w:styleId="GridTable1Light-Accent3" w:type="table">
    <w:name w:val="Grid Table 1 Light Accent 3"/>
    <w:basedOn w:val="TableNormal"/>
    <w:uiPriority w:val="99"/>
    <w:pPr>
      <w:spacing w:after="0"/>
    </w:pPr>
    <w:tblPr>
      <w:tblStyleRowBandSize w:val="1"/>
      <w:tblStyleColBandSize w:val="1"/>
      <w:tblBorders>
        <w:top w:color="D6E3BB" w:space="0" w:sz="4" w:themeColor="accent3" w:themeTint="67" w:val="single"/>
        <w:left w:color="D6E3BB" w:space="0" w:sz="4" w:themeColor="accent3" w:themeTint="67" w:val="single"/>
        <w:bottom w:color="D6E3BB" w:space="0" w:sz="4" w:themeColor="accent3" w:themeTint="67" w:val="single"/>
        <w:right w:color="D6E3BB" w:space="0" w:sz="4" w:themeColor="accent3" w:themeTint="67" w:val="single"/>
        <w:insideH w:color="D6E3BB" w:space="0" w:sz="4" w:themeColor="accent3" w:themeTint="67" w:val="single"/>
        <w:insideV w:color="D6E3BB" w:space="0" w:sz="4" w:themeColor="accent3" w:themeTint="67" w:val="single"/>
      </w:tblBorders>
    </w:tblPr>
    <w:tblStylePr w:type="firstRow">
      <w:rPr>
        <w:b/>
        <w:color w:val="404040"/>
      </w:rPr>
      <w:tblPr/>
      <w:tcPr>
        <w:tcBorders>
          <w:bottom w:color="C4D79D" w:space="0" w:sz="12" w:themeColor="accent3"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D6E3BB" w:space="0" w:sz="4" w:themeColor="accent3" w:themeTint="67" w:val="single"/>
          <w:left w:color="D6E3BB" w:space="0" w:sz="4" w:themeColor="accent3" w:themeTint="67" w:val="single"/>
          <w:bottom w:color="D6E3BB" w:space="0" w:sz="4" w:themeColor="accent3" w:themeTint="67" w:val="single"/>
          <w:right w:color="D6E3BB" w:space="0" w:sz="4" w:themeColor="accent3" w:themeTint="67" w:val="single"/>
        </w:tcBorders>
      </w:tcPr>
    </w:tblStylePr>
  </w:style>
  <w:style w:styleId="GridTable1Light-Accent4" w:type="table">
    <w:name w:val="Grid Table 1 Light Accent 4"/>
    <w:basedOn w:val="TableNormal"/>
    <w:uiPriority w:val="99"/>
    <w:pPr>
      <w:spacing w:after="0"/>
    </w:pPr>
    <w:tblPr>
      <w:tblStyleRowBandSize w:val="1"/>
      <w:tblStyleColBandSize w:val="1"/>
      <w:tblBorders>
        <w:top w:color="CBC0D9" w:space="0" w:sz="4" w:themeColor="accent4" w:themeTint="67" w:val="single"/>
        <w:left w:color="CBC0D9" w:space="0" w:sz="4" w:themeColor="accent4" w:themeTint="67" w:val="single"/>
        <w:bottom w:color="CBC0D9" w:space="0" w:sz="4" w:themeColor="accent4" w:themeTint="67" w:val="single"/>
        <w:right w:color="CBC0D9" w:space="0" w:sz="4" w:themeColor="accent4" w:themeTint="67" w:val="single"/>
        <w:insideH w:color="CBC0D9" w:space="0" w:sz="4" w:themeColor="accent4" w:themeTint="67" w:val="single"/>
        <w:insideV w:color="CBC0D9" w:space="0" w:sz="4" w:themeColor="accent4" w:themeTint="67" w:val="single"/>
      </w:tblBorders>
    </w:tblPr>
    <w:tblStylePr w:type="firstRow">
      <w:rPr>
        <w:b/>
        <w:color w:val="404040"/>
      </w:rPr>
      <w:tblPr/>
      <w:tcPr>
        <w:tcBorders>
          <w:bottom w:color="B4A4C8" w:space="0" w:sz="12" w:themeColor="accent4"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CBC0D9" w:space="0" w:sz="4" w:themeColor="accent4" w:themeTint="67" w:val="single"/>
          <w:left w:color="CBC0D9" w:space="0" w:sz="4" w:themeColor="accent4" w:themeTint="67" w:val="single"/>
          <w:bottom w:color="CBC0D9" w:space="0" w:sz="4" w:themeColor="accent4" w:themeTint="67" w:val="single"/>
          <w:right w:color="CBC0D9" w:space="0" w:sz="4" w:themeColor="accent4" w:themeTint="67" w:val="single"/>
        </w:tcBorders>
      </w:tcPr>
    </w:tblStylePr>
  </w:style>
  <w:style w:styleId="GridTable1Light-Accent5" w:type="table">
    <w:name w:val="Grid Table 1 Light Accent 5"/>
    <w:basedOn w:val="TableNormal"/>
    <w:uiPriority w:val="99"/>
    <w:pPr>
      <w:spacing w:after="0"/>
    </w:pPr>
    <w:tblPr>
      <w:tblStyleRowBandSize w:val="1"/>
      <w:tblStyleColBandSize w:val="1"/>
      <w:tblBorders>
        <w:top w:color="B6DDE8" w:space="0" w:sz="4" w:themeColor="accent5" w:themeTint="67" w:val="single"/>
        <w:left w:color="B6DDE8" w:space="0" w:sz="4" w:themeColor="accent5" w:themeTint="67" w:val="single"/>
        <w:bottom w:color="B6DDE8" w:space="0" w:sz="4" w:themeColor="accent5" w:themeTint="67" w:val="single"/>
        <w:right w:color="B6DDE8" w:space="0" w:sz="4" w:themeColor="accent5" w:themeTint="67" w:val="single"/>
        <w:insideH w:color="B6DDE8" w:space="0" w:sz="4" w:themeColor="accent5" w:themeTint="67" w:val="single"/>
        <w:insideV w:color="B6DDE8" w:space="0" w:sz="4" w:themeColor="accent5" w:themeTint="67" w:val="single"/>
      </w:tblBorders>
    </w:tblPr>
    <w:tblStylePr w:type="firstRow">
      <w:rPr>
        <w:b/>
        <w:color w:val="404040"/>
      </w:rPr>
      <w:tblPr/>
      <w:tcPr>
        <w:tcBorders>
          <w:bottom w:color="95CEDD" w:space="0" w:sz="12" w:themeColor="accent5"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B6DDE8" w:space="0" w:sz="4" w:themeColor="accent5" w:themeTint="67" w:val="single"/>
          <w:left w:color="B6DDE8" w:space="0" w:sz="4" w:themeColor="accent5" w:themeTint="67" w:val="single"/>
          <w:bottom w:color="B6DDE8" w:space="0" w:sz="4" w:themeColor="accent5" w:themeTint="67" w:val="single"/>
          <w:right w:color="B6DDE8" w:space="0" w:sz="4" w:themeColor="accent5" w:themeTint="67" w:val="single"/>
        </w:tcBorders>
      </w:tcPr>
    </w:tblStylePr>
  </w:style>
  <w:style w:styleId="GridTable1Light-Accent6" w:type="table">
    <w:name w:val="Grid Table 1 Light Accent 6"/>
    <w:basedOn w:val="TableNormal"/>
    <w:uiPriority w:val="99"/>
    <w:pPr>
      <w:spacing w:after="0"/>
    </w:pPr>
    <w:tblPr>
      <w:tblStyleRowBandSize w:val="1"/>
      <w:tblStyleColBandSize w:val="1"/>
      <w:tblBorders>
        <w:top w:color="FBD4B4" w:space="0" w:sz="4" w:themeColor="accent6" w:themeTint="67" w:val="single"/>
        <w:left w:color="FBD4B4" w:space="0" w:sz="4" w:themeColor="accent6" w:themeTint="67" w:val="single"/>
        <w:bottom w:color="FBD4B4" w:space="0" w:sz="4" w:themeColor="accent6" w:themeTint="67" w:val="single"/>
        <w:right w:color="FBD4B4" w:space="0" w:sz="4" w:themeColor="accent6" w:themeTint="67" w:val="single"/>
        <w:insideH w:color="FBD4B4" w:space="0" w:sz="4" w:themeColor="accent6" w:themeTint="67" w:val="single"/>
        <w:insideV w:color="FBD4B4" w:space="0" w:sz="4" w:themeColor="accent6" w:themeTint="67" w:val="single"/>
      </w:tblBorders>
    </w:tblPr>
    <w:tblStylePr w:type="firstRow">
      <w:rPr>
        <w:b/>
        <w:color w:val="404040"/>
      </w:rPr>
      <w:tblPr/>
      <w:tcPr>
        <w:tcBorders>
          <w:bottom w:color="FAC192" w:space="0" w:sz="12" w:themeColor="accent6" w:themeTint="95" w:val="single"/>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color="FBD4B4" w:space="0" w:sz="4" w:themeColor="accent6" w:themeTint="67" w:val="single"/>
          <w:left w:color="FBD4B4" w:space="0" w:sz="4" w:themeColor="accent6" w:themeTint="67" w:val="single"/>
          <w:bottom w:color="FBD4B4" w:space="0" w:sz="4" w:themeColor="accent6" w:themeTint="67" w:val="single"/>
          <w:right w:color="FBD4B4" w:space="0" w:sz="4" w:themeColor="accent6" w:themeTint="67" w:val="single"/>
        </w:tcBorders>
      </w:tcPr>
    </w:tblStylePr>
  </w:style>
  <w:style w:styleId="GridTable2" w:type="table">
    <w:name w:val="Grid Table 2"/>
    <w:basedOn w:val="TableNormal"/>
    <w:uiPriority w:val="99"/>
    <w:pPr>
      <w:spacing w:after="0"/>
    </w:pPr>
    <w:tblPr>
      <w:tblStyleRowBandSize w:val="1"/>
      <w:tblStyleColBandSize w:val="1"/>
      <w:tblBorders>
        <w:bottom w:color="6A6A6A" w:space="0" w:sz="4" w:themeColor="text1" w:themeTint="95" w:val="single"/>
        <w:insideH w:color="6A6A6A" w:space="0" w:sz="4" w:themeColor="text1" w:themeTint="95" w:val="single"/>
        <w:insideV w:color="6A6A6A" w:space="0" w:sz="4" w:themeColor="text1" w:themeTint="95" w:val="single"/>
      </w:tblBorders>
    </w:tblPr>
    <w:tblStylePr w:type="firstRow">
      <w:rPr>
        <w:b/>
        <w:color w:val="404040"/>
      </w:rPr>
      <w:tblPr/>
      <w:tcPr>
        <w:tcBorders>
          <w:top w:color="000000" w:space="0" w:sz="4" w:val="none"/>
          <w:left w:color="000000" w:space="0" w:sz="4" w:val="none"/>
          <w:bottom w:color="6A6A6A" w:space="0" w:sz="12" w:themeColor="text1" w:themeTint="95" w:val="single"/>
          <w:right w:color="000000" w:space="0" w:sz="4" w:val="none"/>
        </w:tcBorders>
        <w:shd w:color="FFFFFF" w:fill="auto" w:val="clear"/>
      </w:tcPr>
    </w:tblStylePr>
    <w:tblStylePr w:type="lastRow">
      <w:rPr>
        <w:b/>
        <w:color w:val="404040"/>
      </w:rPr>
      <w:tblPr/>
      <w:tcPr>
        <w:tcBorders>
          <w:top w:color="6A6A6A" w:space="0" w:sz="4" w:themeColor="text1" w:themeTint="95"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CBCBCB" w:fill="CBCBCB" w:themeColor="text1" w:themeFill="text1" w:themeFillTint="34" w:themeTint="34" w:val="clear"/>
      </w:tcPr>
    </w:tblStylePr>
    <w:tblStylePr w:type="band1Horz">
      <w:rPr>
        <w:rFonts w:ascii="Arial" w:hAnsi="Arial"/>
        <w:color w:val="404040"/>
        <w:sz w:val="22"/>
      </w:rPr>
      <w:tblPr/>
      <w:tcPr>
        <w:shd w:color="CBCBCB" w:fill="CBCBCB" w:themeColor="text1" w:themeFill="text1" w:themeFillTint="34" w:themeTint="34" w:val="clear"/>
      </w:tcPr>
    </w:tblStylePr>
  </w:style>
  <w:style w:styleId="GridTable2-Accent1" w:type="table">
    <w:name w:val="Grid Table 2 Accent 1"/>
    <w:basedOn w:val="TableNormal"/>
    <w:uiPriority w:val="99"/>
    <w:pPr>
      <w:spacing w:after="0"/>
    </w:pPr>
    <w:tblPr>
      <w:tblStyleRowBandSize w:val="1"/>
      <w:tblStyleColBandSize w:val="1"/>
      <w:tblBorders>
        <w:bottom w:color="5D8AC2" w:space="0" w:sz="4" w:themeColor="accent1" w:themeTint="EA" w:val="single"/>
        <w:insideH w:color="5D8AC2" w:space="0" w:sz="4" w:themeColor="accent1" w:themeTint="EA" w:val="single"/>
        <w:insideV w:color="5D8AC2" w:space="0" w:sz="4" w:themeColor="accent1" w:themeTint="EA" w:val="single"/>
      </w:tblBorders>
    </w:tblPr>
    <w:tblStylePr w:type="firstRow">
      <w:rPr>
        <w:b/>
        <w:color w:val="404040"/>
      </w:rPr>
      <w:tblPr/>
      <w:tcPr>
        <w:tcBorders>
          <w:top w:color="000000" w:space="0" w:sz="4" w:val="none"/>
          <w:left w:color="000000" w:space="0" w:sz="4" w:val="none"/>
          <w:bottom w:color="5D8AC2" w:space="0" w:sz="12" w:themeColor="accent1" w:themeTint="EA" w:val="single"/>
          <w:right w:color="000000" w:space="0" w:sz="4" w:val="none"/>
        </w:tcBorders>
        <w:shd w:color="FFFFFF" w:fill="auto" w:val="clear"/>
      </w:tcPr>
    </w:tblStylePr>
    <w:tblStylePr w:type="lastRow">
      <w:rPr>
        <w:b/>
        <w:color w:val="404040"/>
      </w:rPr>
      <w:tblPr/>
      <w:tcPr>
        <w:tcBorders>
          <w:top w:color="5D8AC2" w:space="0" w:sz="4" w:themeColor="accent1" w:themeTint="EA"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DAE5F1" w:fill="DAE5F1" w:themeColor="accent1" w:themeFill="accent1" w:themeFillTint="34" w:themeTint="34" w:val="clear"/>
      </w:tcPr>
    </w:tblStylePr>
    <w:tblStylePr w:type="band1Horz">
      <w:rPr>
        <w:rFonts w:ascii="Arial" w:hAnsi="Arial"/>
        <w:color w:val="404040"/>
        <w:sz w:val="22"/>
      </w:rPr>
      <w:tblPr/>
      <w:tcPr>
        <w:shd w:color="DAE5F1" w:fill="DAE5F1" w:themeColor="accent1" w:themeFill="accent1" w:themeFillTint="34" w:themeTint="34" w:val="clear"/>
      </w:tcPr>
    </w:tblStylePr>
  </w:style>
  <w:style w:styleId="GridTable2-Accent2" w:type="table">
    <w:name w:val="Grid Table 2 Accent 2"/>
    <w:basedOn w:val="TableNormal"/>
    <w:uiPriority w:val="99"/>
    <w:pPr>
      <w:spacing w:after="0"/>
    </w:pPr>
    <w:tblPr>
      <w:tblStyleRowBandSize w:val="1"/>
      <w:tblStyleColBandSize w:val="1"/>
      <w:tblBorders>
        <w:bottom w:color="D99695" w:space="0" w:sz="4" w:themeColor="accent2" w:themeTint="97" w:val="single"/>
        <w:insideH w:color="D99695" w:space="0" w:sz="4" w:themeColor="accent2" w:themeTint="97" w:val="single"/>
        <w:insideV w:color="D99695" w:space="0" w:sz="4" w:themeColor="accent2" w:themeTint="97" w:val="single"/>
      </w:tblBorders>
    </w:tblPr>
    <w:tblStylePr w:type="firstRow">
      <w:rPr>
        <w:b/>
        <w:color w:val="404040"/>
      </w:rPr>
      <w:tblPr/>
      <w:tcPr>
        <w:tcBorders>
          <w:top w:color="000000" w:space="0" w:sz="4" w:val="none"/>
          <w:left w:color="000000" w:space="0" w:sz="4" w:val="none"/>
          <w:bottom w:color="D99695" w:space="0" w:sz="12" w:themeColor="accent2" w:themeTint="97" w:val="single"/>
          <w:right w:color="000000" w:space="0" w:sz="4" w:val="none"/>
        </w:tcBorders>
        <w:shd w:color="FFFFFF" w:fill="auto" w:val="clear"/>
      </w:tcPr>
    </w:tblStylePr>
    <w:tblStylePr w:type="lastRow">
      <w:rPr>
        <w:b/>
        <w:color w:val="404040"/>
      </w:rPr>
      <w:tblPr/>
      <w:tcPr>
        <w:tcBorders>
          <w:top w:color="D99695" w:space="0" w:sz="4" w:themeColor="accent2" w:themeTint="97"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F2DCDC" w:fill="F2DCDC" w:themeColor="accent2" w:themeFill="accent2" w:themeFillTint="32" w:themeTint="32" w:val="clear"/>
      </w:tcPr>
    </w:tblStylePr>
    <w:tblStylePr w:type="band1Horz">
      <w:rPr>
        <w:rFonts w:ascii="Arial" w:hAnsi="Arial"/>
        <w:color w:val="404040"/>
        <w:sz w:val="22"/>
      </w:rPr>
      <w:tblPr/>
      <w:tcPr>
        <w:shd w:color="F2DCDC" w:fill="F2DCDC" w:themeColor="accent2" w:themeFill="accent2" w:themeFillTint="32" w:themeTint="32" w:val="clear"/>
      </w:tcPr>
    </w:tblStylePr>
  </w:style>
  <w:style w:styleId="GridTable2-Accent3" w:type="table">
    <w:name w:val="Grid Table 2 Accent 3"/>
    <w:basedOn w:val="TableNormal"/>
    <w:uiPriority w:val="99"/>
    <w:pPr>
      <w:spacing w:after="0"/>
    </w:pPr>
    <w:tblPr>
      <w:tblStyleRowBandSize w:val="1"/>
      <w:tblStyleColBandSize w:val="1"/>
      <w:tblBorders>
        <w:bottom w:color="9ABB59" w:space="0" w:sz="4" w:themeColor="accent3" w:themeTint="FE" w:val="single"/>
        <w:insideH w:color="9ABB59" w:space="0" w:sz="4" w:themeColor="accent3" w:themeTint="FE" w:val="single"/>
        <w:insideV w:color="9ABB59" w:space="0" w:sz="4" w:themeColor="accent3" w:themeTint="FE" w:val="single"/>
      </w:tblBorders>
    </w:tblPr>
    <w:tblStylePr w:type="firstRow">
      <w:rPr>
        <w:b/>
        <w:color w:val="404040"/>
      </w:rPr>
      <w:tblPr/>
      <w:tcPr>
        <w:tcBorders>
          <w:top w:color="000000" w:space="0" w:sz="4" w:val="none"/>
          <w:left w:color="000000" w:space="0" w:sz="4" w:val="none"/>
          <w:bottom w:color="9ABB59" w:space="0" w:sz="12" w:themeColor="accent3" w:themeTint="FE" w:val="single"/>
          <w:right w:color="000000" w:space="0" w:sz="4" w:val="none"/>
        </w:tcBorders>
        <w:shd w:color="FFFFFF" w:fill="auto" w:val="clear"/>
      </w:tcPr>
    </w:tblStylePr>
    <w:tblStylePr w:type="lastRow">
      <w:rPr>
        <w:b/>
        <w:color w:val="404040"/>
      </w:rPr>
      <w:tblPr/>
      <w:tcPr>
        <w:tcBorders>
          <w:top w:color="9ABB59" w:space="0" w:sz="4" w:themeColor="accent3" w:themeTint="FE"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EAF1DC" w:fill="EAF1DC" w:themeColor="accent3" w:themeFill="accent3" w:themeFillTint="34" w:themeTint="34" w:val="clear"/>
      </w:tcPr>
    </w:tblStylePr>
    <w:tblStylePr w:type="band1Horz">
      <w:rPr>
        <w:rFonts w:ascii="Arial" w:hAnsi="Arial"/>
        <w:color w:val="404040"/>
        <w:sz w:val="22"/>
      </w:rPr>
      <w:tblPr/>
      <w:tcPr>
        <w:shd w:color="EAF1DC" w:fill="EAF1DC" w:themeColor="accent3" w:themeFill="accent3" w:themeFillTint="34" w:themeTint="34" w:val="clear"/>
      </w:tcPr>
    </w:tblStylePr>
  </w:style>
  <w:style w:styleId="GridTable2-Accent4" w:type="table">
    <w:name w:val="Grid Table 2 Accent 4"/>
    <w:basedOn w:val="TableNormal"/>
    <w:uiPriority w:val="99"/>
    <w:pPr>
      <w:spacing w:after="0"/>
    </w:pPr>
    <w:tblPr>
      <w:tblStyleRowBandSize w:val="1"/>
      <w:tblStyleColBandSize w:val="1"/>
      <w:tblBorders>
        <w:bottom w:color="B2A1C6" w:space="0" w:sz="4" w:themeColor="accent4" w:themeTint="9A" w:val="single"/>
        <w:insideH w:color="B2A1C6" w:space="0" w:sz="4" w:themeColor="accent4" w:themeTint="9A" w:val="single"/>
        <w:insideV w:color="B2A1C6" w:space="0" w:sz="4" w:themeColor="accent4" w:themeTint="9A" w:val="single"/>
      </w:tblBorders>
    </w:tblPr>
    <w:tblStylePr w:type="firstRow">
      <w:rPr>
        <w:b/>
        <w:color w:val="404040"/>
      </w:rPr>
      <w:tblPr/>
      <w:tcPr>
        <w:tcBorders>
          <w:top w:color="000000" w:space="0" w:sz="4" w:val="none"/>
          <w:left w:color="000000" w:space="0" w:sz="4" w:val="none"/>
          <w:bottom w:color="B2A1C6" w:space="0" w:sz="12" w:themeColor="accent4" w:themeTint="9A" w:val="single"/>
          <w:right w:color="000000" w:space="0" w:sz="4" w:val="none"/>
        </w:tcBorders>
        <w:shd w:color="FFFFFF" w:fill="auto" w:val="clear"/>
      </w:tcPr>
    </w:tblStylePr>
    <w:tblStylePr w:type="lastRow">
      <w:rPr>
        <w:b/>
        <w:color w:val="404040"/>
      </w:rPr>
      <w:tblPr/>
      <w:tcPr>
        <w:tcBorders>
          <w:top w:color="B2A1C6" w:space="0" w:sz="4" w:themeColor="accent4" w:themeTint="9A"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E5DFEC" w:fill="E5DFEC" w:themeColor="accent4" w:themeFill="accent4" w:themeFillTint="34" w:themeTint="34" w:val="clear"/>
      </w:tcPr>
    </w:tblStylePr>
    <w:tblStylePr w:type="band1Horz">
      <w:rPr>
        <w:rFonts w:ascii="Arial" w:hAnsi="Arial"/>
        <w:color w:val="404040"/>
        <w:sz w:val="22"/>
      </w:rPr>
      <w:tblPr/>
      <w:tcPr>
        <w:shd w:color="E5DFEC" w:fill="E5DFEC" w:themeColor="accent4" w:themeFill="accent4" w:themeFillTint="34" w:themeTint="34" w:val="clear"/>
      </w:tcPr>
    </w:tblStylePr>
  </w:style>
  <w:style w:styleId="GridTable2-Accent5" w:type="table">
    <w:name w:val="Grid Table 2 Accent 5"/>
    <w:basedOn w:val="TableNormal"/>
    <w:uiPriority w:val="99"/>
    <w:pPr>
      <w:spacing w:after="0"/>
    </w:pPr>
    <w:tblPr>
      <w:tblStyleRowBandSize w:val="1"/>
      <w:tblStyleColBandSize w:val="1"/>
      <w:tblBorders>
        <w:bottom w:color="4BACC6" w:space="0" w:sz="4" w:themeColor="accent5" w:val="single"/>
        <w:insideH w:color="4BACC6" w:space="0" w:sz="4" w:themeColor="accent5" w:val="single"/>
        <w:insideV w:color="4BACC6" w:space="0" w:sz="4" w:themeColor="accent5" w:val="single"/>
      </w:tblBorders>
    </w:tblPr>
    <w:tblStylePr w:type="firstRow">
      <w:rPr>
        <w:b/>
        <w:color w:val="404040"/>
      </w:rPr>
      <w:tblPr/>
      <w:tcPr>
        <w:tcBorders>
          <w:top w:color="000000" w:space="0" w:sz="4" w:val="none"/>
          <w:left w:color="000000" w:space="0" w:sz="4" w:val="none"/>
          <w:bottom w:color="4BACC6" w:space="0" w:sz="12" w:themeColor="accent5" w:val="single"/>
          <w:right w:color="000000" w:space="0" w:sz="4" w:val="none"/>
        </w:tcBorders>
        <w:shd w:color="FFFFFF" w:fill="auto" w:val="clear"/>
      </w:tcPr>
    </w:tblStylePr>
    <w:tblStylePr w:type="lastRow">
      <w:rPr>
        <w:b/>
        <w:color w:val="404040"/>
      </w:rPr>
      <w:tblPr/>
      <w:tcPr>
        <w:tcBorders>
          <w:top w:color="4BACC6" w:space="0" w:sz="4" w:themeColor="accent5"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DAEEF3" w:fill="DAEEF3" w:themeColor="accent5" w:themeFill="accent5" w:themeFillTint="34" w:themeTint="34" w:val="clear"/>
      </w:tcPr>
    </w:tblStylePr>
    <w:tblStylePr w:type="band1Horz">
      <w:rPr>
        <w:rFonts w:ascii="Arial" w:hAnsi="Arial"/>
        <w:color w:val="404040"/>
        <w:sz w:val="22"/>
      </w:rPr>
      <w:tblPr/>
      <w:tcPr>
        <w:shd w:color="DAEEF3" w:fill="DAEEF3" w:themeColor="accent5" w:themeFill="accent5" w:themeFillTint="34" w:themeTint="34" w:val="clear"/>
      </w:tcPr>
    </w:tblStylePr>
  </w:style>
  <w:style w:styleId="GridTable2-Accent6" w:type="table">
    <w:name w:val="Grid Table 2 Accent 6"/>
    <w:basedOn w:val="TableNormal"/>
    <w:uiPriority w:val="99"/>
    <w:pPr>
      <w:spacing w:after="0"/>
    </w:pPr>
    <w:tblPr>
      <w:tblStyleRowBandSize w:val="1"/>
      <w:tblStyleColBandSize w:val="1"/>
      <w:tblBorders>
        <w:bottom w:color="F79646" w:space="0" w:sz="4" w:themeColor="accent6" w:val="single"/>
        <w:insideH w:color="F79646" w:space="0" w:sz="4" w:themeColor="accent6" w:val="single"/>
        <w:insideV w:color="F79646" w:space="0" w:sz="4" w:themeColor="accent6" w:val="single"/>
      </w:tblBorders>
    </w:tblPr>
    <w:tblStylePr w:type="firstRow">
      <w:rPr>
        <w:b/>
        <w:color w:val="404040"/>
      </w:rPr>
      <w:tblPr/>
      <w:tcPr>
        <w:tcBorders>
          <w:top w:color="000000" w:space="0" w:sz="4" w:val="none"/>
          <w:left w:color="000000" w:space="0" w:sz="4" w:val="none"/>
          <w:bottom w:color="F79646" w:space="0" w:sz="12" w:themeColor="accent6" w:val="single"/>
          <w:right w:color="000000" w:space="0" w:sz="4" w:val="none"/>
        </w:tcBorders>
        <w:shd w:color="FFFFFF" w:fill="auto" w:val="clear"/>
      </w:tcPr>
    </w:tblStylePr>
    <w:tblStylePr w:type="lastRow">
      <w:rPr>
        <w:b/>
        <w:color w:val="404040"/>
      </w:rPr>
      <w:tblPr/>
      <w:tcPr>
        <w:tcBorders>
          <w:top w:color="F79646" w:space="0" w:sz="4" w:themeColor="accent6" w:val="single"/>
          <w:left w:color="000000" w:space="0" w:sz="4" w:val="none"/>
          <w:bottom w:color="000000" w:space="0" w:sz="4" w:val="none"/>
          <w:right w:color="000000" w:space="0" w:sz="4" w:val="none"/>
        </w:tcBorders>
        <w:shd w:color="FFFFFF" w:fill="auto" w:val="clear"/>
      </w:tcPr>
    </w:tblStylePr>
    <w:tblStylePr w:type="firstCol">
      <w:rPr>
        <w:b/>
        <w:color w:val="404040"/>
      </w:rPr>
    </w:tblStylePr>
    <w:tblStylePr w:type="lastCol">
      <w:rPr>
        <w:b/>
        <w:color w:val="404040"/>
      </w:rPr>
    </w:tblStylePr>
    <w:tblStylePr w:type="band1Vert">
      <w:rPr>
        <w:rFonts w:ascii="Arial" w:hAnsi="Arial"/>
        <w:color w:val="404040"/>
        <w:sz w:val="22"/>
      </w:rPr>
      <w:tblPr/>
      <w:tcPr>
        <w:shd w:color="FDE9D8" w:fill="FDE9D8" w:themeColor="accent6" w:themeFill="accent6" w:themeFillTint="34" w:themeTint="34" w:val="clear"/>
      </w:tcPr>
    </w:tblStylePr>
    <w:tblStylePr w:type="band1Horz">
      <w:rPr>
        <w:rFonts w:ascii="Arial" w:hAnsi="Arial"/>
        <w:color w:val="404040"/>
        <w:sz w:val="22"/>
      </w:rPr>
      <w:tblPr/>
      <w:tcPr>
        <w:shd w:color="FDE9D8" w:fill="FDE9D8" w:themeColor="accent6" w:themeFill="accent6" w:themeFillTint="34" w:themeTint="34" w:val="clear"/>
      </w:tcPr>
    </w:tblStylePr>
  </w:style>
  <w:style w:styleId="GridTable3" w:type="table">
    <w:name w:val="Grid Table 3"/>
    <w:basedOn w:val="TableNormal"/>
    <w:uiPriority w:val="99"/>
    <w:pPr>
      <w:spacing w:after="0"/>
    </w:pPr>
    <w:tblPr>
      <w:tblStyleRowBandSize w:val="1"/>
      <w:tblStyleColBandSize w:val="1"/>
      <w:tblBorders>
        <w:bottom w:color="6A6A6A" w:space="0" w:sz="4" w:themeColor="text1" w:themeTint="95" w:val="single"/>
        <w:insideH w:color="6A6A6A" w:space="0" w:sz="4" w:themeColor="text1" w:themeTint="95" w:val="single"/>
        <w:insideV w:color="6A6A6A" w:space="0" w:sz="4" w:themeColor="text1" w:themeTint="95"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CBCBCB" w:fill="CBCBCB" w:themeColor="text1" w:themeFill="text1" w:themeFillTint="34" w:themeTint="34" w:val="clear"/>
      </w:tcPr>
    </w:tblStylePr>
    <w:tblStylePr w:type="band1Horz">
      <w:rPr>
        <w:rFonts w:ascii="Arial" w:hAnsi="Arial"/>
        <w:color w:val="404040"/>
        <w:sz w:val="22"/>
      </w:rPr>
      <w:tblPr/>
      <w:tcPr>
        <w:shd w:color="CBCBCB" w:fill="CBCBCB" w:themeColor="text1" w:themeFill="text1" w:themeFillTint="34" w:themeTint="34" w:val="clear"/>
      </w:tcPr>
    </w:tblStylePr>
  </w:style>
  <w:style w:styleId="GridTable3-Accent1" w:type="table">
    <w:name w:val="Grid Table 3 Accent 1"/>
    <w:basedOn w:val="TableNormal"/>
    <w:uiPriority w:val="99"/>
    <w:pPr>
      <w:spacing w:after="0"/>
    </w:pPr>
    <w:tblPr>
      <w:tblStyleRowBandSize w:val="1"/>
      <w:tblStyleColBandSize w:val="1"/>
      <w:tblBorders>
        <w:bottom w:color="5D8AC2" w:space="0" w:sz="4" w:themeColor="accent1" w:themeTint="EA" w:val="single"/>
        <w:insideH w:color="5D8AC2" w:space="0" w:sz="4" w:themeColor="accent1" w:themeTint="EA" w:val="single"/>
        <w:insideV w:color="5D8AC2" w:space="0" w:sz="4" w:themeColor="accent1" w:themeTint="EA"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DAE5F1" w:fill="DAE5F1" w:themeColor="accent1" w:themeFill="accent1" w:themeFillTint="34" w:themeTint="34" w:val="clear"/>
      </w:tcPr>
    </w:tblStylePr>
    <w:tblStylePr w:type="band1Horz">
      <w:rPr>
        <w:rFonts w:ascii="Arial" w:hAnsi="Arial"/>
        <w:color w:val="404040"/>
        <w:sz w:val="22"/>
      </w:rPr>
      <w:tblPr/>
      <w:tcPr>
        <w:shd w:color="DAE5F1" w:fill="DAE5F1" w:themeColor="accent1" w:themeFill="accent1" w:themeFillTint="34" w:themeTint="34" w:val="clear"/>
      </w:tcPr>
    </w:tblStylePr>
  </w:style>
  <w:style w:styleId="GridTable3-Accent2" w:type="table">
    <w:name w:val="Grid Table 3 Accent 2"/>
    <w:basedOn w:val="TableNormal"/>
    <w:uiPriority w:val="99"/>
    <w:pPr>
      <w:spacing w:after="0"/>
    </w:pPr>
    <w:tblPr>
      <w:tblStyleRowBandSize w:val="1"/>
      <w:tblStyleColBandSize w:val="1"/>
      <w:tblBorders>
        <w:bottom w:color="D99695" w:space="0" w:sz="4" w:themeColor="accent2" w:themeTint="97" w:val="single"/>
        <w:insideH w:color="D99695" w:space="0" w:sz="4" w:themeColor="accent2" w:themeTint="97" w:val="single"/>
        <w:insideV w:color="D99695" w:space="0" w:sz="4" w:themeColor="accent2" w:themeTint="97"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F2DCDC" w:fill="F2DCDC" w:themeColor="accent2" w:themeFill="accent2" w:themeFillTint="32" w:themeTint="32" w:val="clear"/>
      </w:tcPr>
    </w:tblStylePr>
    <w:tblStylePr w:type="band1Horz">
      <w:rPr>
        <w:rFonts w:ascii="Arial" w:hAnsi="Arial"/>
        <w:color w:val="404040"/>
        <w:sz w:val="22"/>
      </w:rPr>
      <w:tblPr/>
      <w:tcPr>
        <w:shd w:color="F2DCDC" w:fill="F2DCDC" w:themeColor="accent2" w:themeFill="accent2" w:themeFillTint="32" w:themeTint="32" w:val="clear"/>
      </w:tcPr>
    </w:tblStylePr>
  </w:style>
  <w:style w:styleId="GridTable3-Accent3" w:type="table">
    <w:name w:val="Grid Table 3 Accent 3"/>
    <w:basedOn w:val="TableNormal"/>
    <w:uiPriority w:val="99"/>
    <w:pPr>
      <w:spacing w:after="0"/>
    </w:pPr>
    <w:tblPr>
      <w:tblStyleRowBandSize w:val="1"/>
      <w:tblStyleColBandSize w:val="1"/>
      <w:tblBorders>
        <w:bottom w:color="9ABB59" w:space="0" w:sz="4" w:themeColor="accent3" w:themeTint="FE" w:val="single"/>
        <w:insideH w:color="9ABB59" w:space="0" w:sz="4" w:themeColor="accent3" w:themeTint="FE" w:val="single"/>
        <w:insideV w:color="9ABB59" w:space="0" w:sz="4" w:themeColor="accent3" w:themeTint="FE"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EAF1DC" w:fill="EAF1DC" w:themeColor="accent3" w:themeFill="accent3" w:themeFillTint="34" w:themeTint="34" w:val="clear"/>
      </w:tcPr>
    </w:tblStylePr>
    <w:tblStylePr w:type="band1Horz">
      <w:rPr>
        <w:rFonts w:ascii="Arial" w:hAnsi="Arial"/>
        <w:color w:val="404040"/>
        <w:sz w:val="22"/>
      </w:rPr>
      <w:tblPr/>
      <w:tcPr>
        <w:shd w:color="EAF1DC" w:fill="EAF1DC" w:themeColor="accent3" w:themeFill="accent3" w:themeFillTint="34" w:themeTint="34" w:val="clear"/>
      </w:tcPr>
    </w:tblStylePr>
  </w:style>
  <w:style w:styleId="GridTable3-Accent4" w:type="table">
    <w:name w:val="Grid Table 3 Accent 4"/>
    <w:basedOn w:val="TableNormal"/>
    <w:uiPriority w:val="99"/>
    <w:pPr>
      <w:spacing w:after="0"/>
    </w:pPr>
    <w:tblPr>
      <w:tblStyleRowBandSize w:val="1"/>
      <w:tblStyleColBandSize w:val="1"/>
      <w:tblBorders>
        <w:bottom w:color="B2A1C6" w:space="0" w:sz="4" w:themeColor="accent4" w:themeTint="9A" w:val="single"/>
        <w:insideH w:color="B2A1C6" w:space="0" w:sz="4" w:themeColor="accent4" w:themeTint="9A" w:val="single"/>
        <w:insideV w:color="B2A1C6" w:space="0" w:sz="4" w:themeColor="accent4" w:themeTint="9A"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E5DFEC" w:fill="E5DFEC" w:themeColor="accent4" w:themeFill="accent4" w:themeFillTint="34" w:themeTint="34" w:val="clear"/>
      </w:tcPr>
    </w:tblStylePr>
    <w:tblStylePr w:type="band1Horz">
      <w:rPr>
        <w:rFonts w:ascii="Arial" w:hAnsi="Arial"/>
        <w:color w:val="404040"/>
        <w:sz w:val="22"/>
      </w:rPr>
      <w:tblPr/>
      <w:tcPr>
        <w:shd w:color="E5DFEC" w:fill="E5DFEC" w:themeColor="accent4" w:themeFill="accent4" w:themeFillTint="34" w:themeTint="34" w:val="clear"/>
      </w:tcPr>
    </w:tblStylePr>
  </w:style>
  <w:style w:styleId="GridTable3-Accent5" w:type="table">
    <w:name w:val="Grid Table 3 Accent 5"/>
    <w:basedOn w:val="TableNormal"/>
    <w:uiPriority w:val="99"/>
    <w:pPr>
      <w:spacing w:after="0"/>
    </w:pPr>
    <w:tblPr>
      <w:tblStyleRowBandSize w:val="1"/>
      <w:tblStyleColBandSize w:val="1"/>
      <w:tblBorders>
        <w:bottom w:color="4BACC6" w:space="0" w:sz="4" w:themeColor="accent5" w:val="single"/>
        <w:insideH w:color="4BACC6" w:space="0" w:sz="4" w:themeColor="accent5" w:val="single"/>
        <w:insideV w:color="4BACC6" w:space="0" w:sz="4" w:themeColor="accent5"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DAEEF3" w:fill="DAEEF3" w:themeColor="accent5" w:themeFill="accent5" w:themeFillTint="34" w:themeTint="34" w:val="clear"/>
      </w:tcPr>
    </w:tblStylePr>
    <w:tblStylePr w:type="band1Horz">
      <w:rPr>
        <w:rFonts w:ascii="Arial" w:hAnsi="Arial"/>
        <w:color w:val="404040"/>
        <w:sz w:val="22"/>
      </w:rPr>
      <w:tblPr/>
      <w:tcPr>
        <w:shd w:color="DAEEF3" w:fill="DAEEF3" w:themeColor="accent5" w:themeFill="accent5" w:themeFillTint="34" w:themeTint="34" w:val="clear"/>
      </w:tcPr>
    </w:tblStylePr>
  </w:style>
  <w:style w:styleId="GridTable3-Accent6" w:type="table">
    <w:name w:val="Grid Table 3 Accent 6"/>
    <w:basedOn w:val="TableNormal"/>
    <w:uiPriority w:val="99"/>
    <w:pPr>
      <w:spacing w:after="0"/>
    </w:pPr>
    <w:tblPr>
      <w:tblStyleRowBandSize w:val="1"/>
      <w:tblStyleColBandSize w:val="1"/>
      <w:tblBorders>
        <w:bottom w:color="F79646" w:space="0" w:sz="4" w:themeColor="accent6" w:val="single"/>
        <w:insideH w:color="F79646" w:space="0" w:sz="4" w:themeColor="accent6" w:val="single"/>
        <w:insideV w:color="F79646" w:space="0" w:sz="4" w:themeColor="accent6" w:val="single"/>
      </w:tblBorders>
    </w:tblPr>
    <w:tblStylePr w:type="fir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Row">
      <w:rPr>
        <w:b/>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firstCol">
      <w:pPr>
        <w:jc w:val="right"/>
      </w:pPr>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lastCol">
      <w:rPr>
        <w:i/>
        <w:color w:val="404040"/>
      </w:rPr>
      <w:tblPr/>
      <w:tcPr>
        <w:tcBorders>
          <w:top w:color="000000" w:space="0" w:sz="4" w:val="none"/>
          <w:left w:color="000000" w:space="0" w:sz="4" w:val="none"/>
          <w:bottom w:color="000000" w:space="0" w:sz="4" w:val="none"/>
          <w:right w:color="000000" w:space="0" w:sz="4" w:val="none"/>
        </w:tcBorders>
        <w:shd w:color="FFFFFF" w:fill="auto" w:val="clear"/>
      </w:tcPr>
    </w:tblStylePr>
    <w:tblStylePr w:type="band1Vert">
      <w:rPr>
        <w:rFonts w:ascii="Arial" w:hAnsi="Arial"/>
        <w:color w:val="404040"/>
        <w:sz w:val="22"/>
      </w:rPr>
      <w:tblPr/>
      <w:tcPr>
        <w:shd w:color="FDE9D8" w:fill="FDE9D8" w:themeColor="accent6" w:themeFill="accent6" w:themeFillTint="34" w:themeTint="34" w:val="clear"/>
      </w:tcPr>
    </w:tblStylePr>
    <w:tblStylePr w:type="band1Horz">
      <w:rPr>
        <w:rFonts w:ascii="Arial" w:hAnsi="Arial"/>
        <w:color w:val="404040"/>
        <w:sz w:val="22"/>
      </w:rPr>
      <w:tblPr/>
      <w:tcPr>
        <w:shd w:color="FDE9D8" w:fill="FDE9D8" w:themeColor="accent6" w:themeFill="accent6" w:themeFillTint="34" w:themeTint="34" w:val="clear"/>
      </w:tcPr>
    </w:tblStylePr>
  </w:style>
  <w:style w:styleId="GridTable4" w:type="table">
    <w:name w:val="Grid Table 4"/>
    <w:basedOn w:val="TableNormal"/>
    <w:uiPriority w:val="59"/>
    <w:pPr>
      <w:spacing w:after="0"/>
    </w:pPr>
    <w:tblPr>
      <w:tblStyleRowBandSize w:val="1"/>
      <w:tblStyleColBandSize w:val="1"/>
      <w:tblBorders>
        <w:top w:color="6F6F6F" w:space="0" w:sz="4" w:themeColor="text1" w:themeTint="90" w:val="single"/>
        <w:left w:color="6F6F6F" w:space="0" w:sz="4" w:themeColor="text1" w:themeTint="90" w:val="single"/>
        <w:bottom w:color="6F6F6F" w:space="0" w:sz="4" w:themeColor="text1" w:themeTint="90" w:val="single"/>
        <w:right w:color="6F6F6F" w:space="0" w:sz="4" w:themeColor="text1" w:themeTint="90" w:val="single"/>
        <w:insideH w:color="6F6F6F" w:space="0" w:sz="4" w:themeColor="text1" w:themeTint="90" w:val="single"/>
        <w:insideV w:color="6F6F6F" w:space="0" w:sz="4" w:themeColor="text1" w:themeTint="90" w:val="single"/>
      </w:tblBorders>
    </w:tblPr>
    <w:tblStylePr w:type="firstRow">
      <w:rPr>
        <w:rFonts w:ascii="Arial" w:hAnsi="Arial"/>
        <w:b/>
        <w:color w:val="FFFFFF"/>
        <w:sz w:val="22"/>
      </w:rPr>
      <w:tbl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000000" w:fill="000000" w:themeColor="text1" w:themeFill="text1" w:val="clear"/>
      </w:tcPr>
    </w:tblStylePr>
    <w:tblStylePr w:type="lastRow">
      <w:rPr>
        <w:b/>
        <w:color w:val="404040"/>
      </w:rPr>
      <w:tblPr/>
      <w:tcPr>
        <w:tcBorders>
          <w:top w:color="000000" w:space="0" w:sz="4" w:themeColor="text1"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CBCBCB" w:fill="CBCBCB" w:themeColor="text1" w:themeFill="text1" w:themeFillTint="34" w:themeTint="34" w:val="clear"/>
      </w:tcPr>
    </w:tblStylePr>
    <w:tblStylePr w:type="band1Horz">
      <w:rPr>
        <w:rFonts w:ascii="Arial" w:hAnsi="Arial"/>
        <w:color w:val="404040"/>
        <w:sz w:val="22"/>
      </w:rPr>
      <w:tblPr/>
      <w:tcPr>
        <w:shd w:color="CBCBCB" w:fill="CBCBCB" w:themeColor="text1" w:themeFill="text1" w:themeFillTint="34" w:themeTint="34" w:val="clear"/>
      </w:tcPr>
    </w:tblStylePr>
  </w:style>
  <w:style w:styleId="GridTable4-Accent1" w:type="table">
    <w:name w:val="Grid Table 4 Accent 1"/>
    <w:basedOn w:val="TableNormal"/>
    <w:uiPriority w:val="59"/>
    <w:pPr>
      <w:spacing w:after="0"/>
    </w:pPr>
    <w:tblPr>
      <w:tblStyleRowBandSize w:val="1"/>
      <w:tblStyleColBandSize w:val="1"/>
      <w:tblBorders>
        <w:top w:color="9BB7D9" w:space="0" w:sz="4" w:themeColor="accent1" w:themeTint="90" w:val="single"/>
        <w:left w:color="9BB7D9" w:space="0" w:sz="4" w:themeColor="accent1" w:themeTint="90" w:val="single"/>
        <w:bottom w:color="9BB7D9" w:space="0" w:sz="4" w:themeColor="accent1" w:themeTint="90" w:val="single"/>
        <w:right w:color="9BB7D9" w:space="0" w:sz="4" w:themeColor="accent1" w:themeTint="90" w:val="single"/>
        <w:insideH w:color="9BB7D9" w:space="0" w:sz="4" w:themeColor="accent1" w:themeTint="90" w:val="single"/>
        <w:insideV w:color="9BB7D9" w:space="0" w:sz="4" w:themeColor="accent1" w:themeTint="90" w:val="single"/>
      </w:tblBorders>
    </w:tblPr>
    <w:tblStylePr w:type="firstRow">
      <w:rPr>
        <w:rFonts w:ascii="Arial" w:hAnsi="Arial"/>
        <w:b/>
        <w:color w:val="FFFFFF"/>
        <w:sz w:val="22"/>
      </w:rPr>
      <w:tblPr/>
      <w:tcPr>
        <w:tcBorders>
          <w:top w:color="5D8AC2" w:space="0" w:sz="4" w:themeColor="accent1" w:themeTint="EA" w:val="single"/>
          <w:left w:color="5D8AC2" w:space="0" w:sz="4" w:themeColor="accent1" w:themeTint="EA" w:val="single"/>
          <w:bottom w:color="5D8AC2" w:space="0" w:sz="4" w:themeColor="accent1" w:themeTint="EA" w:val="single"/>
          <w:right w:color="5D8AC2" w:space="0" w:sz="4" w:themeColor="accent1" w:themeTint="EA" w:val="single"/>
        </w:tcBorders>
        <w:shd w:color="5D8AC2" w:fill="5D8AC2" w:themeColor="accent1" w:themeFill="accent1" w:themeFillTint="EA" w:themeTint="EA" w:val="clear"/>
      </w:tcPr>
    </w:tblStylePr>
    <w:tblStylePr w:type="lastRow">
      <w:rPr>
        <w:b/>
        <w:color w:val="404040"/>
      </w:rPr>
      <w:tblPr/>
      <w:tcPr>
        <w:tcBorders>
          <w:top w:color="5D8AC2" w:space="0" w:sz="4" w:themeColor="accent1" w:themeTint="EA"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DCE6F2" w:fill="DCE6F2" w:themeColor="accent1" w:themeFill="accent1" w:themeFillTint="32" w:themeTint="32" w:val="clear"/>
      </w:tcPr>
    </w:tblStylePr>
    <w:tblStylePr w:type="band1Horz">
      <w:rPr>
        <w:rFonts w:ascii="Arial" w:hAnsi="Arial"/>
        <w:color w:val="404040"/>
        <w:sz w:val="22"/>
      </w:rPr>
      <w:tblPr/>
      <w:tcPr>
        <w:shd w:color="DCE6F2" w:fill="DCE6F2" w:themeColor="accent1" w:themeFill="accent1" w:themeFillTint="32" w:themeTint="32" w:val="clear"/>
      </w:tcPr>
    </w:tblStylePr>
  </w:style>
  <w:style w:styleId="GridTable4-Accent2" w:type="table">
    <w:name w:val="Grid Table 4 Accent 2"/>
    <w:basedOn w:val="TableNormal"/>
    <w:uiPriority w:val="59"/>
    <w:pPr>
      <w:spacing w:after="0"/>
    </w:pPr>
    <w:tblPr>
      <w:tblStyleRowBandSize w:val="1"/>
      <w:tblStyleColBandSize w:val="1"/>
      <w:tblBorders>
        <w:top w:color="DB9B9A" w:space="0" w:sz="4" w:themeColor="accent2" w:themeTint="90" w:val="single"/>
        <w:left w:color="DB9B9A" w:space="0" w:sz="4" w:themeColor="accent2" w:themeTint="90" w:val="single"/>
        <w:bottom w:color="DB9B9A" w:space="0" w:sz="4" w:themeColor="accent2" w:themeTint="90" w:val="single"/>
        <w:right w:color="DB9B9A" w:space="0" w:sz="4" w:themeColor="accent2" w:themeTint="90" w:val="single"/>
        <w:insideH w:color="DB9B9A" w:space="0" w:sz="4" w:themeColor="accent2" w:themeTint="90" w:val="single"/>
        <w:insideV w:color="DB9B9A" w:space="0" w:sz="4" w:themeColor="accent2" w:themeTint="90" w:val="single"/>
      </w:tblBorders>
    </w:tblPr>
    <w:tblStylePr w:type="firstRow">
      <w:rPr>
        <w:rFonts w:ascii="Arial" w:hAnsi="Arial"/>
        <w:b/>
        <w:color w:val="FFFFFF"/>
        <w:sz w:val="22"/>
      </w:rPr>
      <w:tblPr/>
      <w:tcPr>
        <w:tcBorders>
          <w:top w:color="D99695" w:space="0" w:sz="4" w:themeColor="accent2" w:themeTint="97" w:val="single"/>
          <w:left w:color="D99695" w:space="0" w:sz="4" w:themeColor="accent2" w:themeTint="97" w:val="single"/>
          <w:bottom w:color="D99695" w:space="0" w:sz="4" w:themeColor="accent2" w:themeTint="97" w:val="single"/>
          <w:right w:color="D99695" w:space="0" w:sz="4" w:themeColor="accent2" w:themeTint="97" w:val="single"/>
        </w:tcBorders>
        <w:shd w:color="D99695" w:fill="D99695" w:themeColor="accent2" w:themeFill="accent2" w:themeFillTint="97" w:themeTint="97" w:val="clear"/>
      </w:tcPr>
    </w:tblStylePr>
    <w:tblStylePr w:type="lastRow">
      <w:rPr>
        <w:b/>
        <w:color w:val="404040"/>
      </w:rPr>
      <w:tblPr/>
      <w:tcPr>
        <w:tcBorders>
          <w:top w:color="D99695" w:space="0" w:sz="4" w:themeColor="accent2" w:themeTint="97"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F2DCDC" w:fill="F2DCDC" w:themeColor="accent2" w:themeFill="accent2" w:themeFillTint="32" w:themeTint="32" w:val="clear"/>
      </w:tcPr>
    </w:tblStylePr>
    <w:tblStylePr w:type="band1Horz">
      <w:rPr>
        <w:rFonts w:ascii="Arial" w:hAnsi="Arial"/>
        <w:color w:val="404040"/>
        <w:sz w:val="22"/>
      </w:rPr>
      <w:tblPr/>
      <w:tcPr>
        <w:shd w:color="F2DCDC" w:fill="F2DCDC" w:themeColor="accent2" w:themeFill="accent2" w:themeFillTint="32" w:themeTint="32" w:val="clear"/>
      </w:tcPr>
    </w:tblStylePr>
  </w:style>
  <w:style w:styleId="GridTable4-Accent3" w:type="table">
    <w:name w:val="Grid Table 4 Accent 3"/>
    <w:basedOn w:val="TableNormal"/>
    <w:uiPriority w:val="59"/>
    <w:pPr>
      <w:spacing w:after="0"/>
    </w:pPr>
    <w:tblPr>
      <w:tblStyleRowBandSize w:val="1"/>
      <w:tblStyleColBandSize w:val="1"/>
      <w:tblBorders>
        <w:top w:color="C6D8A1" w:space="0" w:sz="4" w:themeColor="accent3" w:themeTint="90" w:val="single"/>
        <w:left w:color="C6D8A1" w:space="0" w:sz="4" w:themeColor="accent3" w:themeTint="90" w:val="single"/>
        <w:bottom w:color="C6D8A1" w:space="0" w:sz="4" w:themeColor="accent3" w:themeTint="90" w:val="single"/>
        <w:right w:color="C6D8A1" w:space="0" w:sz="4" w:themeColor="accent3" w:themeTint="90" w:val="single"/>
        <w:insideH w:color="C6D8A1" w:space="0" w:sz="4" w:themeColor="accent3" w:themeTint="90" w:val="single"/>
        <w:insideV w:color="C6D8A1" w:space="0" w:sz="4" w:themeColor="accent3" w:themeTint="90" w:val="single"/>
      </w:tblBorders>
    </w:tblPr>
    <w:tblStylePr w:type="firstRow">
      <w:rPr>
        <w:rFonts w:ascii="Arial" w:hAnsi="Arial"/>
        <w:b/>
        <w:color w:val="FFFFFF"/>
        <w:sz w:val="22"/>
      </w:rPr>
      <w:tblPr/>
      <w:tcPr>
        <w:tcBorders>
          <w:top w:color="9ABB59" w:space="0" w:sz="4" w:themeColor="accent3" w:themeTint="FE" w:val="single"/>
          <w:left w:color="9ABB59" w:space="0" w:sz="4" w:themeColor="accent3" w:themeTint="FE" w:val="single"/>
          <w:bottom w:color="9ABB59" w:space="0" w:sz="4" w:themeColor="accent3" w:themeTint="FE" w:val="single"/>
          <w:right w:color="9ABB59" w:space="0" w:sz="4" w:themeColor="accent3" w:themeTint="FE" w:val="single"/>
        </w:tcBorders>
        <w:shd w:color="9ABB59" w:fill="9ABB59" w:themeColor="accent3" w:themeFill="accent3" w:themeFillTint="FE" w:themeTint="FE" w:val="clear"/>
      </w:tcPr>
    </w:tblStylePr>
    <w:tblStylePr w:type="lastRow">
      <w:rPr>
        <w:b/>
        <w:color w:val="404040"/>
      </w:rPr>
      <w:tblPr/>
      <w:tcPr>
        <w:tcBorders>
          <w:top w:color="9ABB59" w:space="0" w:sz="4" w:themeColor="accent3" w:themeTint="FE"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EAF1DC" w:fill="EAF1DC" w:themeColor="accent3" w:themeFill="accent3" w:themeFillTint="34" w:themeTint="34" w:val="clear"/>
      </w:tcPr>
    </w:tblStylePr>
    <w:tblStylePr w:type="band1Horz">
      <w:rPr>
        <w:rFonts w:ascii="Arial" w:hAnsi="Arial"/>
        <w:color w:val="404040"/>
        <w:sz w:val="22"/>
      </w:rPr>
      <w:tblPr/>
      <w:tcPr>
        <w:shd w:color="EAF1DC" w:fill="EAF1DC" w:themeColor="accent3" w:themeFill="accent3" w:themeFillTint="34" w:themeTint="34" w:val="clear"/>
      </w:tcPr>
    </w:tblStylePr>
  </w:style>
  <w:style w:styleId="GridTable4-Accent4" w:type="table">
    <w:name w:val="Grid Table 4 Accent 4"/>
    <w:basedOn w:val="TableNormal"/>
    <w:uiPriority w:val="59"/>
    <w:pPr>
      <w:spacing w:after="0"/>
    </w:pPr>
    <w:tblPr>
      <w:tblStyleRowBandSize w:val="1"/>
      <w:tblStyleColBandSize w:val="1"/>
      <w:tblBorders>
        <w:top w:color="B7A7CA" w:space="0" w:sz="4" w:themeColor="accent4" w:themeTint="90" w:val="single"/>
        <w:left w:color="B7A7CA" w:space="0" w:sz="4" w:themeColor="accent4" w:themeTint="90" w:val="single"/>
        <w:bottom w:color="B7A7CA" w:space="0" w:sz="4" w:themeColor="accent4" w:themeTint="90" w:val="single"/>
        <w:right w:color="B7A7CA" w:space="0" w:sz="4" w:themeColor="accent4" w:themeTint="90" w:val="single"/>
        <w:insideH w:color="B7A7CA" w:space="0" w:sz="4" w:themeColor="accent4" w:themeTint="90" w:val="single"/>
        <w:insideV w:color="B7A7CA" w:space="0" w:sz="4" w:themeColor="accent4" w:themeTint="90" w:val="single"/>
      </w:tblBorders>
    </w:tblPr>
    <w:tblStylePr w:type="firstRow">
      <w:rPr>
        <w:rFonts w:ascii="Arial" w:hAnsi="Arial"/>
        <w:b/>
        <w:color w:val="FFFFFF"/>
        <w:sz w:val="22"/>
      </w:rPr>
      <w:tblPr/>
      <w:tcPr>
        <w:tcBorders>
          <w:top w:color="B2A1C6" w:space="0" w:sz="4" w:themeColor="accent4" w:themeTint="9A" w:val="single"/>
          <w:left w:color="B2A1C6" w:space="0" w:sz="4" w:themeColor="accent4" w:themeTint="9A" w:val="single"/>
          <w:bottom w:color="B2A1C6" w:space="0" w:sz="4" w:themeColor="accent4" w:themeTint="9A" w:val="single"/>
          <w:right w:color="B2A1C6" w:space="0" w:sz="4" w:themeColor="accent4" w:themeTint="9A" w:val="single"/>
        </w:tcBorders>
        <w:shd w:color="B2A1C6" w:fill="B2A1C6" w:themeColor="accent4" w:themeFill="accent4" w:themeFillTint="9A" w:themeTint="9A" w:val="clear"/>
      </w:tcPr>
    </w:tblStylePr>
    <w:tblStylePr w:type="lastRow">
      <w:rPr>
        <w:b/>
        <w:color w:val="404040"/>
      </w:rPr>
      <w:tblPr/>
      <w:tcPr>
        <w:tcBorders>
          <w:top w:color="B2A1C6" w:space="0" w:sz="4" w:themeColor="accent4" w:themeTint="9A"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E5DFEC" w:fill="E5DFEC" w:themeColor="accent4" w:themeFill="accent4" w:themeFillTint="34" w:themeTint="34" w:val="clear"/>
      </w:tcPr>
    </w:tblStylePr>
    <w:tblStylePr w:type="band1Horz">
      <w:rPr>
        <w:rFonts w:ascii="Arial" w:hAnsi="Arial"/>
        <w:color w:val="404040"/>
        <w:sz w:val="22"/>
      </w:rPr>
      <w:tblPr/>
      <w:tcPr>
        <w:shd w:color="E5DFEC" w:fill="E5DFEC" w:themeColor="accent4" w:themeFill="accent4" w:themeFillTint="34" w:themeTint="34" w:val="clear"/>
      </w:tcPr>
    </w:tblStylePr>
  </w:style>
  <w:style w:styleId="GridTable4-Accent5" w:type="table">
    <w:name w:val="Grid Table 4 Accent 5"/>
    <w:basedOn w:val="TableNormal"/>
    <w:uiPriority w:val="59"/>
    <w:pPr>
      <w:spacing w:after="0"/>
    </w:pPr>
    <w:tblPr>
      <w:tblStyleRowBandSize w:val="1"/>
      <w:tblStyleColBandSize w:val="1"/>
      <w:tblBorders>
        <w:top w:color="99D0DE" w:space="0" w:sz="4" w:themeColor="accent5" w:themeTint="90" w:val="single"/>
        <w:left w:color="99D0DE" w:space="0" w:sz="4" w:themeColor="accent5" w:themeTint="90" w:val="single"/>
        <w:bottom w:color="99D0DE" w:space="0" w:sz="4" w:themeColor="accent5" w:themeTint="90" w:val="single"/>
        <w:right w:color="99D0DE" w:space="0" w:sz="4" w:themeColor="accent5" w:themeTint="90" w:val="single"/>
        <w:insideH w:color="99D0DE" w:space="0" w:sz="4" w:themeColor="accent5" w:themeTint="90" w:val="single"/>
        <w:insideV w:color="99D0DE" w:space="0" w:sz="4" w:themeColor="accent5" w:themeTint="90" w:val="single"/>
      </w:tblBorders>
    </w:tblPr>
    <w:tblStylePr w:type="firstRow">
      <w:rPr>
        <w:rFonts w:ascii="Arial" w:hAnsi="Arial"/>
        <w:b/>
        <w:color w:val="FFFFFF"/>
        <w:sz w:val="22"/>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tcBorders>
        <w:shd w:color="4BACC6" w:fill="4BACC6" w:themeColor="accent5" w:themeFill="accent5" w:val="clear"/>
      </w:tcPr>
    </w:tblStylePr>
    <w:tblStylePr w:type="lastRow">
      <w:rPr>
        <w:b/>
        <w:color w:val="404040"/>
      </w:rPr>
      <w:tblPr/>
      <w:tcPr>
        <w:tcBorders>
          <w:top w:color="4BACC6" w:space="0" w:sz="4" w:themeColor="accent5"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DAEEF3" w:fill="DAEEF3" w:themeColor="accent5" w:themeFill="accent5" w:themeFillTint="34" w:themeTint="34" w:val="clear"/>
      </w:tcPr>
    </w:tblStylePr>
    <w:tblStylePr w:type="band1Horz">
      <w:rPr>
        <w:rFonts w:ascii="Arial" w:hAnsi="Arial"/>
        <w:color w:val="404040"/>
        <w:sz w:val="22"/>
      </w:rPr>
      <w:tblPr/>
      <w:tcPr>
        <w:shd w:color="DAEEF3" w:fill="DAEEF3" w:themeColor="accent5" w:themeFill="accent5" w:themeFillTint="34" w:themeTint="34" w:val="clear"/>
      </w:tcPr>
    </w:tblStylePr>
  </w:style>
  <w:style w:styleId="GridTable4-Accent6" w:type="table">
    <w:name w:val="Grid Table 4 Accent 6"/>
    <w:basedOn w:val="TableNormal"/>
    <w:uiPriority w:val="59"/>
    <w:pPr>
      <w:spacing w:after="0"/>
    </w:pPr>
    <w:tblPr>
      <w:tblStyleRowBandSize w:val="1"/>
      <w:tblStyleColBandSize w:val="1"/>
      <w:tblBorders>
        <w:top w:color="FAC396" w:space="0" w:sz="4" w:themeColor="accent6" w:themeTint="90" w:val="single"/>
        <w:left w:color="FAC396" w:space="0" w:sz="4" w:themeColor="accent6" w:themeTint="90" w:val="single"/>
        <w:bottom w:color="FAC396" w:space="0" w:sz="4" w:themeColor="accent6" w:themeTint="90" w:val="single"/>
        <w:right w:color="FAC396" w:space="0" w:sz="4" w:themeColor="accent6" w:themeTint="90" w:val="single"/>
        <w:insideH w:color="FAC396" w:space="0" w:sz="4" w:themeColor="accent6" w:themeTint="90" w:val="single"/>
        <w:insideV w:color="FAC396" w:space="0" w:sz="4" w:themeColor="accent6" w:themeTint="90" w:val="single"/>
      </w:tblBorders>
    </w:tblPr>
    <w:tblStylePr w:type="firstRow">
      <w:rPr>
        <w:rFonts w:ascii="Arial" w:hAnsi="Arial"/>
        <w:b/>
        <w:color w:val="FFFFFF"/>
        <w:sz w:val="22"/>
      </w:rPr>
      <w:tblPr/>
      <w:tcPr>
        <w:tcBorders>
          <w:top w:color="F79646" w:space="0" w:sz="4" w:themeColor="accent6" w:val="single"/>
          <w:left w:color="F79646" w:space="0" w:sz="4" w:themeColor="accent6" w:val="single"/>
          <w:bottom w:color="F79646" w:space="0" w:sz="4" w:themeColor="accent6" w:val="single"/>
          <w:right w:color="F79646" w:space="0" w:sz="4" w:themeColor="accent6" w:val="single"/>
        </w:tcBorders>
        <w:shd w:color="F79646" w:fill="F79646" w:themeColor="accent6" w:themeFill="accent6" w:val="clear"/>
      </w:tcPr>
    </w:tblStylePr>
    <w:tblStylePr w:type="lastRow">
      <w:rPr>
        <w:b/>
        <w:color w:val="404040"/>
      </w:rPr>
      <w:tblPr/>
      <w:tcPr>
        <w:tcBorders>
          <w:top w:color="F79646" w:space="0" w:sz="4" w:themeColor="accent6" w:val="singl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color="FDE9D8" w:fill="FDE9D8" w:themeColor="accent6" w:themeFill="accent6" w:themeFillTint="34" w:themeTint="34" w:val="clear"/>
      </w:tcPr>
    </w:tblStylePr>
    <w:tblStylePr w:type="band1Horz">
      <w:rPr>
        <w:rFonts w:ascii="Arial" w:hAnsi="Arial"/>
        <w:color w:val="404040"/>
        <w:sz w:val="22"/>
      </w:rPr>
      <w:tblPr/>
      <w:tcPr>
        <w:shd w:color="FDE9D8" w:fill="FDE9D8" w:themeColor="accent6" w:themeFill="accent6" w:themeFillTint="34" w:themeTint="34" w:val="clear"/>
      </w:tcPr>
    </w:tblStylePr>
  </w:style>
  <w:style w:styleId="GridTable5Dark" w:type="table">
    <w:name w:val="Grid Table 5 Dark"/>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BFBFBF" w:fill="BFBFBF" w:themeColor="text1" w:themeFill="text1" w:themeFillTint="40" w:themeTint="40" w:val="clear"/>
    </w:tblPr>
    <w:tblStylePr w:type="firstRow">
      <w:rPr>
        <w:rFonts w:ascii="Arial" w:hAnsi="Arial"/>
        <w:b/>
        <w:color w:val="FFFFFF"/>
        <w:sz w:val="22"/>
      </w:rPr>
      <w:tblPr/>
      <w:tcPr>
        <w:shd w:color="000000" w:fill="000000" w:themeColor="text1" w:themeFill="text1" w:val="clear"/>
      </w:tcPr>
    </w:tblStylePr>
    <w:tblStylePr w:type="lastRow">
      <w:rPr>
        <w:rFonts w:ascii="Arial" w:hAnsi="Arial"/>
        <w:b/>
        <w:color w:val="FFFFFF"/>
        <w:sz w:val="22"/>
      </w:rPr>
      <w:tblPr/>
      <w:tcPr>
        <w:tcBorders>
          <w:top w:color="FFFFFF" w:space="0" w:sz="4" w:themeColor="light1" w:val="single"/>
        </w:tcBorders>
        <w:shd w:color="000000" w:fill="000000" w:themeColor="text1" w:themeFill="text1" w:val="clear"/>
      </w:tcPr>
    </w:tblStylePr>
    <w:tblStylePr w:type="firstCol">
      <w:rPr>
        <w:rFonts w:ascii="Arial" w:hAnsi="Arial"/>
        <w:b/>
        <w:color w:val="FFFFFF"/>
        <w:sz w:val="22"/>
      </w:rPr>
      <w:tblPr/>
      <w:tcPr>
        <w:shd w:color="000000" w:fill="000000" w:themeColor="text1" w:themeFill="text1" w:val="clear"/>
      </w:tcPr>
    </w:tblStylePr>
    <w:tblStylePr w:type="lastCol">
      <w:rPr>
        <w:rFonts w:ascii="Arial" w:hAnsi="Arial"/>
        <w:b/>
        <w:color w:val="FFFFFF"/>
        <w:sz w:val="22"/>
      </w:rPr>
      <w:tblPr/>
      <w:tcPr>
        <w:shd w:color="000000" w:fill="000000" w:themeColor="text1" w:themeFill="text1" w:val="clear"/>
      </w:tcPr>
    </w:tblStylePr>
    <w:tblStylePr w:type="band1Vert">
      <w:tblPr/>
      <w:tcPr>
        <w:shd w:color="8A8A8A" w:fill="8A8A8A" w:themeColor="text1" w:themeFill="text1" w:themeFillTint="75" w:themeTint="75" w:val="clear"/>
      </w:tcPr>
    </w:tblStylePr>
    <w:tblStylePr w:type="band1Horz">
      <w:tblPr/>
      <w:tcPr>
        <w:shd w:color="8A8A8A" w:fill="8A8A8A" w:themeColor="text1" w:themeFill="text1" w:themeFillTint="75" w:themeTint="75" w:val="clear"/>
      </w:tcPr>
    </w:tblStylePr>
  </w:style>
  <w:style w:customStyle="1" w:styleId="GridTable5Dark-Accent1" w:type="table">
    <w:name w:val="Grid Table 5 Dark- Accent 1"/>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DAE5F1" w:fill="DAE5F1" w:themeColor="accent1" w:themeFill="accent1" w:themeFillTint="34" w:themeTint="34" w:val="clear"/>
    </w:tblPr>
    <w:tblStylePr w:type="firstRow">
      <w:rPr>
        <w:rFonts w:ascii="Arial" w:hAnsi="Arial"/>
        <w:b/>
        <w:color w:val="FFFFFF"/>
        <w:sz w:val="22"/>
      </w:rPr>
      <w:tblPr/>
      <w:tcPr>
        <w:shd w:color="4F81BD" w:fill="4F81BD" w:themeColor="accent1" w:themeFill="accent1" w:val="clear"/>
      </w:tcPr>
    </w:tblStylePr>
    <w:tblStylePr w:type="lastRow">
      <w:rPr>
        <w:rFonts w:ascii="Arial" w:hAnsi="Arial"/>
        <w:b/>
        <w:color w:val="FFFFFF"/>
        <w:sz w:val="22"/>
      </w:rPr>
      <w:tblPr/>
      <w:tcPr>
        <w:tcBorders>
          <w:top w:color="FFFFFF" w:space="0" w:sz="4" w:themeColor="light1" w:val="single"/>
        </w:tcBorders>
        <w:shd w:color="4F81BD" w:fill="4F81BD" w:themeColor="accent1" w:themeFill="accent1" w:val="clear"/>
      </w:tcPr>
    </w:tblStylePr>
    <w:tblStylePr w:type="firstCol">
      <w:rPr>
        <w:rFonts w:ascii="Arial" w:hAnsi="Arial"/>
        <w:b/>
        <w:color w:val="FFFFFF"/>
        <w:sz w:val="22"/>
      </w:rPr>
      <w:tblPr/>
      <w:tcPr>
        <w:shd w:color="4F81BD" w:fill="4F81BD" w:themeColor="accent1" w:themeFill="accent1" w:val="clear"/>
      </w:tcPr>
    </w:tblStylePr>
    <w:tblStylePr w:type="lastCol">
      <w:rPr>
        <w:rFonts w:ascii="Arial" w:hAnsi="Arial"/>
        <w:b/>
        <w:color w:val="FFFFFF"/>
        <w:sz w:val="22"/>
      </w:rPr>
      <w:tblPr/>
      <w:tcPr>
        <w:shd w:color="4F81BD" w:fill="4F81BD" w:themeColor="accent1" w:themeFill="accent1" w:val="clear"/>
      </w:tcPr>
    </w:tblStylePr>
    <w:tblStylePr w:type="band1Vert">
      <w:tblPr/>
      <w:tcPr>
        <w:shd w:color="AEC4E0" w:fill="AEC4E0" w:themeColor="accent1" w:themeFill="accent1" w:themeFillTint="75" w:themeTint="75" w:val="clear"/>
      </w:tcPr>
    </w:tblStylePr>
    <w:tblStylePr w:type="band1Horz">
      <w:tblPr/>
      <w:tcPr>
        <w:shd w:color="AEC4E0" w:fill="AEC4E0" w:themeColor="accent1" w:themeFill="accent1" w:themeFillTint="75" w:themeTint="75" w:val="clear"/>
      </w:tcPr>
    </w:tblStylePr>
  </w:style>
  <w:style w:styleId="GridTable5Dark-Accent2" w:type="table">
    <w:name w:val="Grid Table 5 Dark Accent 2"/>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F2DCDC" w:fill="F2DCDC" w:themeColor="accent2" w:themeFill="accent2" w:themeFillTint="32" w:themeTint="32" w:val="clear"/>
    </w:tblPr>
    <w:tblStylePr w:type="firstRow">
      <w:rPr>
        <w:rFonts w:ascii="Arial" w:hAnsi="Arial"/>
        <w:b/>
        <w:color w:val="FFFFFF"/>
        <w:sz w:val="22"/>
      </w:rPr>
      <w:tblPr/>
      <w:tcPr>
        <w:shd w:color="C0504D" w:fill="C0504D" w:themeColor="accent2" w:themeFill="accent2" w:val="clear"/>
      </w:tcPr>
    </w:tblStylePr>
    <w:tblStylePr w:type="lastRow">
      <w:rPr>
        <w:rFonts w:ascii="Arial" w:hAnsi="Arial"/>
        <w:b/>
        <w:color w:val="FFFFFF"/>
        <w:sz w:val="22"/>
      </w:rPr>
      <w:tblPr/>
      <w:tcPr>
        <w:tcBorders>
          <w:top w:color="FFFFFF" w:space="0" w:sz="4" w:themeColor="light1" w:val="single"/>
        </w:tcBorders>
        <w:shd w:color="C0504D" w:fill="C0504D" w:themeColor="accent2" w:themeFill="accent2" w:val="clear"/>
      </w:tcPr>
    </w:tblStylePr>
    <w:tblStylePr w:type="firstCol">
      <w:rPr>
        <w:rFonts w:ascii="Arial" w:hAnsi="Arial"/>
        <w:b/>
        <w:color w:val="FFFFFF"/>
        <w:sz w:val="22"/>
      </w:rPr>
      <w:tblPr/>
      <w:tcPr>
        <w:shd w:color="C0504D" w:fill="C0504D" w:themeColor="accent2" w:themeFill="accent2" w:val="clear"/>
      </w:tcPr>
    </w:tblStylePr>
    <w:tblStylePr w:type="lastCol">
      <w:rPr>
        <w:rFonts w:ascii="Arial" w:hAnsi="Arial"/>
        <w:b/>
        <w:color w:val="FFFFFF"/>
        <w:sz w:val="22"/>
      </w:rPr>
      <w:tblPr/>
      <w:tcPr>
        <w:shd w:color="C0504D" w:fill="C0504D" w:themeColor="accent2" w:themeFill="accent2" w:val="clear"/>
      </w:tcPr>
    </w:tblStylePr>
    <w:tblStylePr w:type="band1Vert">
      <w:tblPr/>
      <w:tcPr>
        <w:shd w:color="E2AEAD" w:fill="E2AEAD" w:themeColor="accent2" w:themeFill="accent2" w:themeFillTint="75" w:themeTint="75" w:val="clear"/>
      </w:tcPr>
    </w:tblStylePr>
    <w:tblStylePr w:type="band1Horz">
      <w:tblPr/>
      <w:tcPr>
        <w:shd w:color="E2AEAD" w:fill="E2AEAD" w:themeColor="accent2" w:themeFill="accent2" w:themeFillTint="75" w:themeTint="75" w:val="clear"/>
      </w:tcPr>
    </w:tblStylePr>
  </w:style>
  <w:style w:styleId="GridTable5Dark-Accent3" w:type="table">
    <w:name w:val="Grid Table 5 Dark Accent 3"/>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EAF1DC" w:fill="EAF1DC" w:themeColor="accent3" w:themeFill="accent3" w:themeFillTint="34" w:themeTint="34" w:val="clear"/>
    </w:tblPr>
    <w:tblStylePr w:type="firstRow">
      <w:rPr>
        <w:rFonts w:ascii="Arial" w:hAnsi="Arial"/>
        <w:b/>
        <w:color w:val="FFFFFF"/>
        <w:sz w:val="22"/>
      </w:rPr>
      <w:tblPr/>
      <w:tcPr>
        <w:shd w:color="9BBB59" w:fill="9BBB59" w:themeColor="accent3" w:themeFill="accent3" w:val="clear"/>
      </w:tcPr>
    </w:tblStylePr>
    <w:tblStylePr w:type="lastRow">
      <w:rPr>
        <w:rFonts w:ascii="Arial" w:hAnsi="Arial"/>
        <w:b/>
        <w:color w:val="FFFFFF"/>
        <w:sz w:val="22"/>
      </w:rPr>
      <w:tblPr/>
      <w:tcPr>
        <w:tcBorders>
          <w:top w:color="FFFFFF" w:space="0" w:sz="4" w:themeColor="light1" w:val="single"/>
        </w:tcBorders>
        <w:shd w:color="9BBB59" w:fill="9BBB59" w:themeColor="accent3" w:themeFill="accent3" w:val="clear"/>
      </w:tcPr>
    </w:tblStylePr>
    <w:tblStylePr w:type="firstCol">
      <w:rPr>
        <w:rFonts w:ascii="Arial" w:hAnsi="Arial"/>
        <w:b/>
        <w:color w:val="FFFFFF"/>
        <w:sz w:val="22"/>
      </w:rPr>
      <w:tblPr/>
      <w:tcPr>
        <w:shd w:color="9BBB59" w:fill="9BBB59" w:themeColor="accent3" w:themeFill="accent3" w:val="clear"/>
      </w:tcPr>
    </w:tblStylePr>
    <w:tblStylePr w:type="lastCol">
      <w:rPr>
        <w:rFonts w:ascii="Arial" w:hAnsi="Arial"/>
        <w:b/>
        <w:color w:val="FFFFFF"/>
        <w:sz w:val="22"/>
      </w:rPr>
      <w:tblPr/>
      <w:tcPr>
        <w:shd w:color="9BBB59" w:fill="9BBB59" w:themeColor="accent3" w:themeFill="accent3" w:val="clear"/>
      </w:tcPr>
    </w:tblStylePr>
    <w:tblStylePr w:type="band1Vert">
      <w:tblPr/>
      <w:tcPr>
        <w:shd w:color="D0DFB2" w:fill="D0DFB2" w:themeColor="accent3" w:themeFill="accent3" w:themeFillTint="75" w:themeTint="75" w:val="clear"/>
      </w:tcPr>
    </w:tblStylePr>
    <w:tblStylePr w:type="band1Horz">
      <w:tblPr/>
      <w:tcPr>
        <w:shd w:color="D0DFB2" w:fill="D0DFB2" w:themeColor="accent3" w:themeFill="accent3" w:themeFillTint="75" w:themeTint="75" w:val="clear"/>
      </w:tcPr>
    </w:tblStylePr>
  </w:style>
  <w:style w:customStyle="1" w:styleId="GridTable5Dark-Accent4" w:type="table">
    <w:name w:val="Grid Table 5 Dark- Accent 4"/>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E5DFEC" w:fill="E5DFEC" w:themeColor="accent4" w:themeFill="accent4" w:themeFillTint="34" w:themeTint="34" w:val="clear"/>
    </w:tblPr>
    <w:tblStylePr w:type="firstRow">
      <w:rPr>
        <w:rFonts w:ascii="Arial" w:hAnsi="Arial"/>
        <w:b/>
        <w:color w:val="FFFFFF"/>
        <w:sz w:val="22"/>
      </w:rPr>
      <w:tblPr/>
      <w:tcPr>
        <w:shd w:color="8064A2" w:fill="8064A2" w:themeColor="accent4" w:themeFill="accent4" w:val="clear"/>
      </w:tcPr>
    </w:tblStylePr>
    <w:tblStylePr w:type="lastRow">
      <w:rPr>
        <w:rFonts w:ascii="Arial" w:hAnsi="Arial"/>
        <w:b/>
        <w:color w:val="FFFFFF"/>
        <w:sz w:val="22"/>
      </w:rPr>
      <w:tblPr/>
      <w:tcPr>
        <w:tcBorders>
          <w:top w:color="FFFFFF" w:space="0" w:sz="4" w:themeColor="light1" w:val="single"/>
        </w:tcBorders>
        <w:shd w:color="8064A2" w:fill="8064A2" w:themeColor="accent4" w:themeFill="accent4" w:val="clear"/>
      </w:tcPr>
    </w:tblStylePr>
    <w:tblStylePr w:type="firstCol">
      <w:rPr>
        <w:rFonts w:ascii="Arial" w:hAnsi="Arial"/>
        <w:b/>
        <w:color w:val="FFFFFF"/>
        <w:sz w:val="22"/>
      </w:rPr>
      <w:tblPr/>
      <w:tcPr>
        <w:shd w:color="8064A2" w:fill="8064A2" w:themeColor="accent4" w:themeFill="accent4" w:val="clear"/>
      </w:tcPr>
    </w:tblStylePr>
    <w:tblStylePr w:type="lastCol">
      <w:rPr>
        <w:rFonts w:ascii="Arial" w:hAnsi="Arial"/>
        <w:b/>
        <w:color w:val="FFFFFF"/>
        <w:sz w:val="22"/>
      </w:rPr>
      <w:tblPr/>
      <w:tcPr>
        <w:shd w:color="8064A2" w:fill="8064A2" w:themeColor="accent4" w:themeFill="accent4" w:val="clear"/>
      </w:tcPr>
    </w:tblStylePr>
    <w:tblStylePr w:type="band1Vert">
      <w:tblPr/>
      <w:tcPr>
        <w:shd w:color="C4B7D4" w:fill="C4B7D4" w:themeColor="accent4" w:themeFill="accent4" w:themeFillTint="75" w:themeTint="75" w:val="clear"/>
      </w:tcPr>
    </w:tblStylePr>
    <w:tblStylePr w:type="band1Horz">
      <w:tblPr/>
      <w:tcPr>
        <w:shd w:color="C4B7D4" w:fill="C4B7D4" w:themeColor="accent4" w:themeFill="accent4" w:themeFillTint="75" w:themeTint="75" w:val="clear"/>
      </w:tcPr>
    </w:tblStylePr>
  </w:style>
  <w:style w:styleId="GridTable5Dark-Accent5" w:type="table">
    <w:name w:val="Grid Table 5 Dark Accent 5"/>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DAEEF3" w:fill="DAEEF3" w:themeColor="accent5" w:themeFill="accent5" w:themeFillTint="34" w:themeTint="34" w:val="clear"/>
    </w:tblPr>
    <w:tblStylePr w:type="firstRow">
      <w:rPr>
        <w:rFonts w:ascii="Arial" w:hAnsi="Arial"/>
        <w:b/>
        <w:color w:val="FFFFFF"/>
        <w:sz w:val="22"/>
      </w:rPr>
      <w:tblPr/>
      <w:tcPr>
        <w:shd w:color="4BACC6" w:fill="4BACC6" w:themeColor="accent5" w:themeFill="accent5" w:val="clear"/>
      </w:tcPr>
    </w:tblStylePr>
    <w:tblStylePr w:type="lastRow">
      <w:rPr>
        <w:rFonts w:ascii="Arial" w:hAnsi="Arial"/>
        <w:b/>
        <w:color w:val="FFFFFF"/>
        <w:sz w:val="22"/>
      </w:rPr>
      <w:tblPr/>
      <w:tcPr>
        <w:tcBorders>
          <w:top w:color="FFFFFF" w:space="0" w:sz="4" w:themeColor="light1" w:val="single"/>
        </w:tcBorders>
        <w:shd w:color="4BACC6" w:fill="4BACC6" w:themeColor="accent5" w:themeFill="accent5" w:val="clear"/>
      </w:tcPr>
    </w:tblStylePr>
    <w:tblStylePr w:type="firstCol">
      <w:rPr>
        <w:rFonts w:ascii="Arial" w:hAnsi="Arial"/>
        <w:b/>
        <w:color w:val="FFFFFF"/>
        <w:sz w:val="22"/>
      </w:rPr>
      <w:tblPr/>
      <w:tcPr>
        <w:shd w:color="4BACC6" w:fill="4BACC6" w:themeColor="accent5" w:themeFill="accent5" w:val="clear"/>
      </w:tcPr>
    </w:tblStylePr>
    <w:tblStylePr w:type="lastCol">
      <w:rPr>
        <w:rFonts w:ascii="Arial" w:hAnsi="Arial"/>
        <w:b/>
        <w:color w:val="FFFFFF"/>
        <w:sz w:val="22"/>
      </w:rPr>
      <w:tblPr/>
      <w:tcPr>
        <w:shd w:color="4BACC6" w:fill="4BACC6" w:themeColor="accent5" w:themeFill="accent5" w:val="clear"/>
      </w:tcPr>
    </w:tblStylePr>
    <w:tblStylePr w:type="band1Vert">
      <w:tblPr/>
      <w:tcPr>
        <w:shd w:color="ACD8E4" w:fill="ACD8E4" w:themeColor="accent5" w:themeFill="accent5" w:themeFillTint="75" w:themeTint="75" w:val="clear"/>
      </w:tcPr>
    </w:tblStylePr>
    <w:tblStylePr w:type="band1Horz">
      <w:tblPr/>
      <w:tcPr>
        <w:shd w:color="ACD8E4" w:fill="ACD8E4" w:themeColor="accent5" w:themeFill="accent5" w:themeFillTint="75" w:themeTint="75" w:val="clear"/>
      </w:tcPr>
    </w:tblStylePr>
  </w:style>
  <w:style w:styleId="GridTable5Dark-Accent6" w:type="table">
    <w:name w:val="Grid Table 5 Dark Accent 6"/>
    <w:basedOn w:val="TableNormal"/>
    <w:uiPriority w:val="99"/>
    <w:pPr>
      <w:spacing w:after="0"/>
    </w:pPr>
    <w:tblPr>
      <w:tblStyleRowBandSize w:val="1"/>
      <w:tblStyleColBandSize w:val="1"/>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shd w:color="FDE9D8" w:fill="FDE9D8" w:themeColor="accent6" w:themeFill="accent6" w:themeFillTint="34" w:themeTint="34" w:val="clear"/>
    </w:tblPr>
    <w:tblStylePr w:type="firstRow">
      <w:rPr>
        <w:rFonts w:ascii="Arial" w:hAnsi="Arial"/>
        <w:b/>
        <w:color w:val="FFFFFF"/>
        <w:sz w:val="22"/>
      </w:rPr>
      <w:tblPr/>
      <w:tcPr>
        <w:shd w:color="F79646" w:fill="F79646" w:themeColor="accent6" w:themeFill="accent6" w:val="clear"/>
      </w:tcPr>
    </w:tblStylePr>
    <w:tblStylePr w:type="lastRow">
      <w:rPr>
        <w:rFonts w:ascii="Arial" w:hAnsi="Arial"/>
        <w:b/>
        <w:color w:val="FFFFFF"/>
        <w:sz w:val="22"/>
      </w:rPr>
      <w:tblPr/>
      <w:tcPr>
        <w:tcBorders>
          <w:top w:color="FFFFFF" w:space="0" w:sz="4" w:themeColor="light1" w:val="single"/>
        </w:tcBorders>
        <w:shd w:color="F79646" w:fill="F79646" w:themeColor="accent6" w:themeFill="accent6" w:val="clear"/>
      </w:tcPr>
    </w:tblStylePr>
    <w:tblStylePr w:type="firstCol">
      <w:rPr>
        <w:rFonts w:ascii="Arial" w:hAnsi="Arial"/>
        <w:b/>
        <w:color w:val="FFFFFF"/>
        <w:sz w:val="22"/>
      </w:rPr>
      <w:tblPr/>
      <w:tcPr>
        <w:shd w:color="F79646" w:fill="F79646" w:themeColor="accent6" w:themeFill="accent6" w:val="clear"/>
      </w:tcPr>
    </w:tblStylePr>
    <w:tblStylePr w:type="lastCol">
      <w:rPr>
        <w:rFonts w:ascii="Arial" w:hAnsi="Arial"/>
        <w:b/>
        <w:color w:val="FFFFFF"/>
        <w:sz w:val="22"/>
      </w:rPr>
      <w:tblPr/>
      <w:tcPr>
        <w:shd w:color="F79646" w:fill="F79646" w:themeColor="accent6" w:themeFill="accent6" w:val="clear"/>
      </w:tcPr>
    </w:tblStylePr>
    <w:tblStylePr w:type="band1Vert">
      <w:tblPr/>
      <w:tcPr>
        <w:shd w:color="FBCEAA" w:fill="FBCEAA" w:themeColor="accent6" w:themeFill="accent6" w:themeFillTint="75" w:themeTint="75" w:val="clear"/>
      </w:tcPr>
    </w:tblStylePr>
    <w:tblStylePr w:type="band1Horz">
      <w:tblPr/>
      <w:tcPr>
        <w:shd w:color="FBCEAA" w:fill="FBCEAA" w:themeColor="accent6" w:themeFill="accent6" w:themeFillTint="75" w:themeTint="75" w:val="clear"/>
      </w:tcPr>
    </w:tblStylePr>
  </w:style>
  <w:style w:styleId="GridTable6Colorful" w:type="table">
    <w:name w:val="Grid Table 6 Colorful"/>
    <w:basedOn w:val="TableNormal"/>
    <w:uiPriority w:val="99"/>
    <w:pPr>
      <w:spacing w:after="0"/>
    </w:pPr>
    <w:tblPr>
      <w:tblStyleRowBandSize w:val="1"/>
      <w:tblStyleColBandSize w:val="1"/>
      <w:tbl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insideH w:color="7F7F7F" w:space="0" w:sz="4" w:themeColor="text1" w:themeTint="80" w:val="single"/>
        <w:insideV w:color="7F7F7F" w:space="0" w:sz="4" w:themeColor="text1" w:themeTint="80" w:val="single"/>
      </w:tblBorders>
    </w:tblPr>
    <w:tblStylePr w:type="firstRow">
      <w:rPr>
        <w:b/>
        <w:color w:themeColor="text1" w:themeShade="95" w:themeTint="80" w:val="7F7F7F"/>
      </w:rPr>
      <w:tblPr/>
      <w:tcPr>
        <w:tcBorders>
          <w:bottom w:color="7F7F7F" w:space="0" w:sz="12" w:themeColor="text1" w:themeTint="80" w:val="single"/>
        </w:tcBorders>
      </w:tcPr>
    </w:tblStylePr>
    <w:tblStylePr w:type="lastRow">
      <w:rPr>
        <w:b/>
        <w:color w:themeColor="text1" w:themeShade="95" w:themeTint="80" w:val="7F7F7F"/>
      </w:rPr>
    </w:tblStylePr>
    <w:tblStylePr w:type="firstCol">
      <w:rPr>
        <w:b/>
        <w:color w:themeColor="text1" w:themeShade="95" w:themeTint="80" w:val="7F7F7F"/>
      </w:rPr>
    </w:tblStylePr>
    <w:tblStylePr w:type="lastCol">
      <w:rPr>
        <w:b/>
        <w:color w:themeColor="text1" w:themeShade="95" w:themeTint="80" w:val="7F7F7F"/>
      </w:rPr>
    </w:tblStylePr>
    <w:tblStylePr w:type="band1Vert">
      <w:tblPr/>
      <w:tcPr>
        <w:shd w:color="CBCBCB" w:fill="CBCBCB" w:themeColor="text1" w:themeFill="text1" w:themeFillTint="34" w:themeTint="34" w:val="clear"/>
      </w:tcPr>
    </w:tblStylePr>
    <w:tblStylePr w:type="band1Horz">
      <w:rPr>
        <w:rFonts w:ascii="Arial" w:hAnsi="Arial"/>
        <w:color w:themeColor="text1" w:themeShade="95" w:themeTint="80" w:val="7F7F7F"/>
        <w:sz w:val="22"/>
      </w:rPr>
      <w:tblPr/>
      <w:tcPr>
        <w:shd w:color="CBCBCB" w:fill="CBCBCB" w:themeColor="text1" w:themeFill="text1" w:themeFillTint="34" w:themeTint="34" w:val="clear"/>
      </w:tcPr>
    </w:tblStylePr>
    <w:tblStylePr w:type="band2Horz">
      <w:rPr>
        <w:rFonts w:ascii="Arial" w:hAnsi="Arial"/>
        <w:color w:themeColor="text1" w:themeShade="95" w:themeTint="80" w:val="7F7F7F"/>
        <w:sz w:val="22"/>
      </w:rPr>
    </w:tblStylePr>
  </w:style>
  <w:style w:styleId="GridTable6Colorful-Accent1" w:type="table">
    <w:name w:val="Grid Table 6 Colorful Accent 1"/>
    <w:basedOn w:val="TableNormal"/>
    <w:uiPriority w:val="99"/>
    <w:pPr>
      <w:spacing w:after="0"/>
    </w:pPr>
    <w:tblPr>
      <w:tblStyleRowBandSize w:val="1"/>
      <w:tblStyleColBandSize w:val="1"/>
      <w:tblBorders>
        <w:top w:color="A6BFDD" w:space="0" w:sz="4" w:themeColor="accent1" w:themeTint="80" w:val="single"/>
        <w:left w:color="A6BFDD" w:space="0" w:sz="4" w:themeColor="accent1" w:themeTint="80" w:val="single"/>
        <w:bottom w:color="A6BFDD" w:space="0" w:sz="4" w:themeColor="accent1" w:themeTint="80" w:val="single"/>
        <w:right w:color="A6BFDD" w:space="0" w:sz="4" w:themeColor="accent1" w:themeTint="80" w:val="single"/>
        <w:insideH w:color="A6BFDD" w:space="0" w:sz="4" w:themeColor="accent1" w:themeTint="80" w:val="single"/>
        <w:insideV w:color="A6BFDD" w:space="0" w:sz="4" w:themeColor="accent1" w:themeTint="80" w:val="single"/>
      </w:tblBorders>
    </w:tblPr>
    <w:tblStylePr w:type="firstRow">
      <w:rPr>
        <w:b/>
        <w:color w:themeColor="accent1" w:themeShade="95" w:themeTint="80" w:val="A6BFDD"/>
      </w:rPr>
      <w:tblPr/>
      <w:tcPr>
        <w:tcBorders>
          <w:bottom w:color="A6BFDD" w:space="0" w:sz="12" w:themeColor="accent1" w:themeTint="80" w:val="single"/>
        </w:tcBorders>
      </w:tcPr>
    </w:tblStylePr>
    <w:tblStylePr w:type="lastRow">
      <w:rPr>
        <w:b/>
        <w:color w:themeColor="accent1" w:themeShade="95" w:themeTint="80" w:val="A6BFDD"/>
      </w:rPr>
    </w:tblStylePr>
    <w:tblStylePr w:type="firstCol">
      <w:rPr>
        <w:b/>
        <w:color w:themeColor="accent1" w:themeShade="95" w:themeTint="80" w:val="A6BFDD"/>
      </w:rPr>
    </w:tblStylePr>
    <w:tblStylePr w:type="lastCol">
      <w:rPr>
        <w:b/>
        <w:color w:themeColor="accent1" w:themeShade="95" w:themeTint="80" w:val="A6BFDD"/>
      </w:rPr>
    </w:tblStylePr>
    <w:tblStylePr w:type="band1Vert">
      <w:tblPr/>
      <w:tcPr>
        <w:shd w:color="DAE5F1" w:fill="DAE5F1" w:themeColor="accent1" w:themeFill="accent1" w:themeFillTint="34" w:themeTint="34" w:val="clear"/>
      </w:tcPr>
    </w:tblStylePr>
    <w:tblStylePr w:type="band1Horz">
      <w:rPr>
        <w:rFonts w:ascii="Arial" w:hAnsi="Arial"/>
        <w:color w:themeColor="accent1" w:themeShade="95" w:themeTint="80" w:val="A6BFDD"/>
        <w:sz w:val="22"/>
      </w:rPr>
      <w:tblPr/>
      <w:tcPr>
        <w:shd w:color="DAE5F1" w:fill="DAE5F1" w:themeColor="accent1" w:themeFill="accent1" w:themeFillTint="34" w:themeTint="34" w:val="clear"/>
      </w:tcPr>
    </w:tblStylePr>
    <w:tblStylePr w:type="band2Horz">
      <w:rPr>
        <w:rFonts w:ascii="Arial" w:hAnsi="Arial"/>
        <w:color w:themeColor="accent1" w:themeShade="95" w:themeTint="80" w:val="A6BFDD"/>
        <w:sz w:val="22"/>
      </w:rPr>
    </w:tblStylePr>
  </w:style>
  <w:style w:styleId="GridTable6Colorful-Accent2" w:type="table">
    <w:name w:val="Grid Table 6 Colorful Accent 2"/>
    <w:basedOn w:val="TableNormal"/>
    <w:uiPriority w:val="99"/>
    <w:pPr>
      <w:spacing w:after="0"/>
    </w:pPr>
    <w:tblPr>
      <w:tblStyleRowBandSize w:val="1"/>
      <w:tblStyleColBandSize w:val="1"/>
      <w:tblBorders>
        <w:top w:color="D99695" w:space="0" w:sz="4" w:themeColor="accent2" w:themeTint="97" w:val="single"/>
        <w:left w:color="D99695" w:space="0" w:sz="4" w:themeColor="accent2" w:themeTint="97" w:val="single"/>
        <w:bottom w:color="D99695" w:space="0" w:sz="4" w:themeColor="accent2" w:themeTint="97" w:val="single"/>
        <w:right w:color="D99695" w:space="0" w:sz="4" w:themeColor="accent2" w:themeTint="97" w:val="single"/>
        <w:insideH w:color="D99695" w:space="0" w:sz="4" w:themeColor="accent2" w:themeTint="97" w:val="single"/>
        <w:insideV w:color="D99695" w:space="0" w:sz="4" w:themeColor="accent2" w:themeTint="97" w:val="single"/>
      </w:tblBorders>
    </w:tblPr>
    <w:tblStylePr w:type="firstRow">
      <w:rPr>
        <w:b/>
        <w:color w:themeColor="accent2" w:themeShade="95" w:themeTint="97" w:val="D99695"/>
      </w:rPr>
      <w:tblPr/>
      <w:tcPr>
        <w:tcBorders>
          <w:bottom w:color="D99695" w:space="0" w:sz="12" w:themeColor="accent2" w:themeTint="97" w:val="single"/>
        </w:tcBorders>
      </w:tcPr>
    </w:tblStylePr>
    <w:tblStylePr w:type="lastRow">
      <w:rPr>
        <w:b/>
        <w:color w:themeColor="accent2" w:themeShade="95" w:themeTint="97" w:val="D99695"/>
      </w:rPr>
    </w:tblStylePr>
    <w:tblStylePr w:type="firstCol">
      <w:rPr>
        <w:b/>
        <w:color w:themeColor="accent2" w:themeShade="95" w:themeTint="97" w:val="D99695"/>
      </w:rPr>
    </w:tblStylePr>
    <w:tblStylePr w:type="lastCol">
      <w:rPr>
        <w:b/>
        <w:color w:themeColor="accent2" w:themeShade="95" w:themeTint="97" w:val="D99695"/>
      </w:rPr>
    </w:tblStylePr>
    <w:tblStylePr w:type="band1Vert">
      <w:tblPr/>
      <w:tcPr>
        <w:shd w:color="F2DCDC" w:fill="F2DCDC" w:themeColor="accent2" w:themeFill="accent2" w:themeFillTint="32" w:themeTint="32" w:val="clear"/>
      </w:tcPr>
    </w:tblStylePr>
    <w:tblStylePr w:type="band1Horz">
      <w:rPr>
        <w:rFonts w:ascii="Arial" w:hAnsi="Arial"/>
        <w:color w:themeColor="accent2" w:themeShade="95" w:themeTint="97" w:val="D99695"/>
        <w:sz w:val="22"/>
      </w:rPr>
      <w:tblPr/>
      <w:tcPr>
        <w:shd w:color="F2DCDC" w:fill="F2DCDC" w:themeColor="accent2" w:themeFill="accent2" w:themeFillTint="32" w:themeTint="32" w:val="clear"/>
      </w:tcPr>
    </w:tblStylePr>
    <w:tblStylePr w:type="band2Horz">
      <w:rPr>
        <w:rFonts w:ascii="Arial" w:hAnsi="Arial"/>
        <w:color w:themeColor="accent2" w:themeShade="95" w:themeTint="97" w:val="D99695"/>
        <w:sz w:val="22"/>
      </w:rPr>
    </w:tblStylePr>
  </w:style>
  <w:style w:styleId="GridTable6Colorful-Accent3" w:type="table">
    <w:name w:val="Grid Table 6 Colorful Accent 3"/>
    <w:basedOn w:val="TableNormal"/>
    <w:uiPriority w:val="99"/>
    <w:pPr>
      <w:spacing w:after="0"/>
    </w:pPr>
    <w:tblPr>
      <w:tblStyleRowBandSize w:val="1"/>
      <w:tblStyleColBandSize w:val="1"/>
      <w:tblBorders>
        <w:top w:color="9ABB59" w:space="0" w:sz="4" w:themeColor="accent3" w:themeTint="FE" w:val="single"/>
        <w:left w:color="9ABB59" w:space="0" w:sz="4" w:themeColor="accent3" w:themeTint="FE" w:val="single"/>
        <w:bottom w:color="9ABB59" w:space="0" w:sz="4" w:themeColor="accent3" w:themeTint="FE" w:val="single"/>
        <w:right w:color="9ABB59" w:space="0" w:sz="4" w:themeColor="accent3" w:themeTint="FE" w:val="single"/>
        <w:insideH w:color="9ABB59" w:space="0" w:sz="4" w:themeColor="accent3" w:themeTint="FE" w:val="single"/>
        <w:insideV w:color="9ABB59" w:space="0" w:sz="4" w:themeColor="accent3" w:themeTint="FE" w:val="single"/>
      </w:tblBorders>
    </w:tblPr>
    <w:tblStylePr w:type="firstRow">
      <w:rPr>
        <w:b/>
        <w:color w:themeColor="accent3" w:themeShade="95" w:themeTint="FE" w:val="9ABB59"/>
      </w:rPr>
      <w:tblPr/>
      <w:tcPr>
        <w:tcBorders>
          <w:bottom w:color="9ABB59" w:space="0" w:sz="12" w:themeColor="accent3" w:themeTint="FE" w:val="single"/>
        </w:tcBorders>
      </w:tcPr>
    </w:tblStylePr>
    <w:tblStylePr w:type="lastRow">
      <w:rPr>
        <w:b/>
        <w:color w:themeColor="accent3" w:themeShade="95" w:themeTint="FE" w:val="9ABB59"/>
      </w:rPr>
    </w:tblStylePr>
    <w:tblStylePr w:type="firstCol">
      <w:rPr>
        <w:b/>
        <w:color w:themeColor="accent3" w:themeShade="95" w:themeTint="FE" w:val="9ABB59"/>
      </w:rPr>
    </w:tblStylePr>
    <w:tblStylePr w:type="lastCol">
      <w:rPr>
        <w:b/>
        <w:color w:themeColor="accent3" w:themeShade="95" w:themeTint="FE" w:val="9ABB59"/>
      </w:rPr>
    </w:tblStylePr>
    <w:tblStylePr w:type="band1Vert">
      <w:tblPr/>
      <w:tcPr>
        <w:shd w:color="EAF1DC" w:fill="EAF1DC" w:themeColor="accent3" w:themeFill="accent3" w:themeFillTint="34" w:themeTint="34" w:val="clear"/>
      </w:tcPr>
    </w:tblStylePr>
    <w:tblStylePr w:type="band1Horz">
      <w:rPr>
        <w:rFonts w:ascii="Arial" w:hAnsi="Arial"/>
        <w:color w:themeColor="accent3" w:themeShade="95" w:themeTint="FE" w:val="9ABB59"/>
        <w:sz w:val="22"/>
      </w:rPr>
      <w:tblPr/>
      <w:tcPr>
        <w:shd w:color="EAF1DC" w:fill="EAF1DC" w:themeColor="accent3" w:themeFill="accent3" w:themeFillTint="34" w:themeTint="34" w:val="clear"/>
      </w:tcPr>
    </w:tblStylePr>
    <w:tblStylePr w:type="band2Horz">
      <w:rPr>
        <w:rFonts w:ascii="Arial" w:hAnsi="Arial"/>
        <w:color w:themeColor="accent3" w:themeShade="95" w:themeTint="FE" w:val="9ABB59"/>
        <w:sz w:val="22"/>
      </w:rPr>
    </w:tblStylePr>
  </w:style>
  <w:style w:styleId="GridTable6Colorful-Accent4" w:type="table">
    <w:name w:val="Grid Table 6 Colorful Accent 4"/>
    <w:basedOn w:val="TableNormal"/>
    <w:uiPriority w:val="99"/>
    <w:pPr>
      <w:spacing w:after="0"/>
    </w:pPr>
    <w:tblPr>
      <w:tblStyleRowBandSize w:val="1"/>
      <w:tblStyleColBandSize w:val="1"/>
      <w:tblBorders>
        <w:top w:color="B2A1C6" w:space="0" w:sz="4" w:themeColor="accent4" w:themeTint="9A" w:val="single"/>
        <w:left w:color="B2A1C6" w:space="0" w:sz="4" w:themeColor="accent4" w:themeTint="9A" w:val="single"/>
        <w:bottom w:color="B2A1C6" w:space="0" w:sz="4" w:themeColor="accent4" w:themeTint="9A" w:val="single"/>
        <w:right w:color="B2A1C6" w:space="0" w:sz="4" w:themeColor="accent4" w:themeTint="9A" w:val="single"/>
        <w:insideH w:color="B2A1C6" w:space="0" w:sz="4" w:themeColor="accent4" w:themeTint="9A" w:val="single"/>
        <w:insideV w:color="B2A1C6" w:space="0" w:sz="4" w:themeColor="accent4" w:themeTint="9A" w:val="single"/>
      </w:tblBorders>
    </w:tblPr>
    <w:tblStylePr w:type="firstRow">
      <w:rPr>
        <w:b/>
        <w:color w:themeColor="accent4" w:themeShade="95" w:themeTint="9A" w:val="B2A1C6"/>
      </w:rPr>
      <w:tblPr/>
      <w:tcPr>
        <w:tcBorders>
          <w:bottom w:color="B2A1C6" w:space="0" w:sz="12" w:themeColor="accent4" w:themeTint="9A" w:val="single"/>
        </w:tcBorders>
      </w:tcPr>
    </w:tblStylePr>
    <w:tblStylePr w:type="lastRow">
      <w:rPr>
        <w:b/>
        <w:color w:themeColor="accent4" w:themeShade="95" w:themeTint="9A" w:val="B2A1C6"/>
      </w:rPr>
    </w:tblStylePr>
    <w:tblStylePr w:type="firstCol">
      <w:rPr>
        <w:b/>
        <w:color w:themeColor="accent4" w:themeShade="95" w:themeTint="9A" w:val="B2A1C6"/>
      </w:rPr>
    </w:tblStylePr>
    <w:tblStylePr w:type="lastCol">
      <w:rPr>
        <w:b/>
        <w:color w:themeColor="accent4" w:themeShade="95" w:themeTint="9A" w:val="B2A1C6"/>
      </w:rPr>
    </w:tblStylePr>
    <w:tblStylePr w:type="band1Vert">
      <w:tblPr/>
      <w:tcPr>
        <w:shd w:color="E5DFEC" w:fill="E5DFEC" w:themeColor="accent4" w:themeFill="accent4" w:themeFillTint="34" w:themeTint="34" w:val="clear"/>
      </w:tcPr>
    </w:tblStylePr>
    <w:tblStylePr w:type="band1Horz">
      <w:rPr>
        <w:rFonts w:ascii="Arial" w:hAnsi="Arial"/>
        <w:color w:themeColor="accent4" w:themeShade="95" w:themeTint="9A" w:val="B2A1C6"/>
        <w:sz w:val="22"/>
      </w:rPr>
      <w:tblPr/>
      <w:tcPr>
        <w:shd w:color="E5DFEC" w:fill="E5DFEC" w:themeColor="accent4" w:themeFill="accent4" w:themeFillTint="34" w:themeTint="34" w:val="clear"/>
      </w:tcPr>
    </w:tblStylePr>
    <w:tblStylePr w:type="band2Horz">
      <w:rPr>
        <w:rFonts w:ascii="Arial" w:hAnsi="Arial"/>
        <w:color w:themeColor="accent4" w:themeShade="95" w:themeTint="9A" w:val="B2A1C6"/>
        <w:sz w:val="22"/>
      </w:rPr>
    </w:tblStylePr>
  </w:style>
  <w:style w:styleId="GridTable6Colorful-Accent5" w:type="table">
    <w:name w:val="Grid Table 6 Colorful Accent 5"/>
    <w:basedOn w:val="TableNormal"/>
    <w:uiPriority w:val="99"/>
    <w:pPr>
      <w:spacing w:after="0"/>
    </w:pPr>
    <w:tblPr>
      <w:tblStyleRowBandSize w:val="1"/>
      <w:tblStyleColBandSize w:val="1"/>
      <w:tblBorders>
        <w:top w:color="4BACC6" w:space="0" w:sz="4" w:themeColor="accent5" w:val="single"/>
        <w:left w:color="4BACC6" w:space="0" w:sz="4" w:themeColor="accent5" w:val="single"/>
        <w:bottom w:color="4BACC6" w:space="0" w:sz="4" w:themeColor="accent5" w:val="single"/>
        <w:right w:color="4BACC6" w:space="0" w:sz="4" w:themeColor="accent5" w:val="single"/>
        <w:insideH w:color="4BACC6" w:space="0" w:sz="4" w:themeColor="accent5" w:val="single"/>
        <w:insideV w:color="4BACC6" w:space="0" w:sz="4" w:themeColor="accent5" w:val="single"/>
      </w:tblBorders>
    </w:tblPr>
    <w:tblStylePr w:type="firstRow">
      <w:rPr>
        <w:b/>
        <w:color w:themeColor="accent5" w:themeShade="95" w:val="266779"/>
      </w:rPr>
      <w:tblPr/>
      <w:tcPr>
        <w:tcBorders>
          <w:bottom w:color="4BACC6" w:space="0" w:sz="12" w:themeColor="accent5" w:val="single"/>
        </w:tcBorders>
      </w:tcPr>
    </w:tblStylePr>
    <w:tblStylePr w:type="lastRow">
      <w:rPr>
        <w:b/>
        <w:color w:themeColor="accent5" w:themeShade="95" w:val="266779"/>
      </w:rPr>
    </w:tblStylePr>
    <w:tblStylePr w:type="firstCol">
      <w:rPr>
        <w:b/>
        <w:color w:themeColor="accent5" w:themeShade="95" w:val="266779"/>
      </w:rPr>
    </w:tblStylePr>
    <w:tblStylePr w:type="lastCol">
      <w:rPr>
        <w:b/>
        <w:color w:themeColor="accent5" w:themeShade="95" w:val="266779"/>
      </w:rPr>
    </w:tblStylePr>
    <w:tblStylePr w:type="band1Vert">
      <w:tblPr/>
      <w:tcPr>
        <w:shd w:color="DAEEF3" w:fill="DAEEF3" w:themeColor="accent5" w:themeFill="accent5" w:themeFillTint="34" w:themeTint="34" w:val="clear"/>
      </w:tcPr>
    </w:tblStylePr>
    <w:tblStylePr w:type="band1Horz">
      <w:rPr>
        <w:rFonts w:ascii="Arial" w:hAnsi="Arial"/>
        <w:color w:themeColor="accent5" w:themeShade="95" w:val="266779"/>
        <w:sz w:val="22"/>
      </w:rPr>
      <w:tblPr/>
      <w:tcPr>
        <w:shd w:color="DAEEF3" w:fill="DAEEF3" w:themeColor="accent5" w:themeFill="accent5" w:themeFillTint="34" w:themeTint="34" w:val="clear"/>
      </w:tcPr>
    </w:tblStylePr>
    <w:tblStylePr w:type="band2Horz">
      <w:rPr>
        <w:rFonts w:ascii="Arial" w:hAnsi="Arial"/>
        <w:color w:themeColor="accent5" w:themeShade="95" w:val="266779"/>
        <w:sz w:val="22"/>
      </w:rPr>
    </w:tblStylePr>
  </w:style>
  <w:style w:styleId="GridTable6Colorful-Accent6" w:type="table">
    <w:name w:val="Grid Table 6 Colorful Accent 6"/>
    <w:basedOn w:val="TableNormal"/>
    <w:uiPriority w:val="99"/>
    <w:pPr>
      <w:spacing w:after="0"/>
    </w:pPr>
    <w:tblPr>
      <w:tblStyleRowBandSize w:val="1"/>
      <w:tblStyleColBandSize w:val="1"/>
      <w:tblBorders>
        <w:top w:color="F79646" w:space="0" w:sz="4" w:themeColor="accent6" w:val="single"/>
        <w:left w:color="F79646" w:space="0" w:sz="4" w:themeColor="accent6" w:val="single"/>
        <w:bottom w:color="F79646" w:space="0" w:sz="4" w:themeColor="accent6" w:val="single"/>
        <w:right w:color="F79646" w:space="0" w:sz="4" w:themeColor="accent6" w:val="single"/>
        <w:insideH w:color="F79646" w:space="0" w:sz="4" w:themeColor="accent6" w:val="single"/>
        <w:insideV w:color="F79646" w:space="0" w:sz="4" w:themeColor="accent6" w:val="single"/>
      </w:tblBorders>
    </w:tblPr>
    <w:tblStylePr w:type="firstRow">
      <w:rPr>
        <w:b/>
        <w:color w:themeColor="accent5" w:themeShade="95" w:val="266779"/>
      </w:rPr>
      <w:tblPr/>
      <w:tcPr>
        <w:tcBorders>
          <w:bottom w:color="F79646" w:space="0" w:sz="12" w:themeColor="accent6" w:val="single"/>
        </w:tcBorders>
      </w:tcPr>
    </w:tblStylePr>
    <w:tblStylePr w:type="lastRow">
      <w:rPr>
        <w:b/>
        <w:color w:themeColor="accent5" w:themeShade="95" w:val="266779"/>
      </w:rPr>
    </w:tblStylePr>
    <w:tblStylePr w:type="firstCol">
      <w:rPr>
        <w:b/>
        <w:color w:themeColor="accent5" w:themeShade="95" w:val="266779"/>
      </w:rPr>
    </w:tblStylePr>
    <w:tblStylePr w:type="lastCol">
      <w:rPr>
        <w:b/>
        <w:color w:themeColor="accent5" w:themeShade="95" w:val="266779"/>
      </w:rPr>
    </w:tblStylePr>
    <w:tblStylePr w:type="band1Vert">
      <w:tblPr/>
      <w:tcPr>
        <w:shd w:color="FDE9D8" w:fill="FDE9D8" w:themeColor="accent6" w:themeFill="accent6" w:themeFillTint="34" w:themeTint="34" w:val="clear"/>
      </w:tcPr>
    </w:tblStylePr>
    <w:tblStylePr w:type="band1Horz">
      <w:rPr>
        <w:rFonts w:ascii="Arial" w:hAnsi="Arial"/>
        <w:color w:themeColor="accent5" w:themeShade="95" w:val="266779"/>
        <w:sz w:val="22"/>
      </w:rPr>
      <w:tblPr/>
      <w:tcPr>
        <w:shd w:color="FDE9D8" w:fill="FDE9D8" w:themeColor="accent6" w:themeFill="accent6" w:themeFillTint="34" w:themeTint="34" w:val="clear"/>
      </w:tcPr>
    </w:tblStylePr>
    <w:tblStylePr w:type="band2Horz">
      <w:rPr>
        <w:rFonts w:ascii="Arial" w:hAnsi="Arial"/>
        <w:color w:themeColor="accent5" w:themeShade="95" w:val="266779"/>
        <w:sz w:val="22"/>
      </w:rPr>
    </w:tblStylePr>
  </w:style>
  <w:style w:styleId="GridTable7Colorful" w:type="table">
    <w:name w:val="Grid Table 7 Colorful"/>
    <w:basedOn w:val="TableNormal"/>
    <w:uiPriority w:val="99"/>
    <w:pPr>
      <w:spacing w:after="0"/>
    </w:pPr>
    <w:tblPr>
      <w:tblStyleRowBandSize w:val="1"/>
      <w:tblStyleColBandSize w:val="1"/>
      <w:tblBorders>
        <w:bottom w:color="7F7F7F" w:space="0" w:sz="4" w:themeColor="text1" w:themeTint="80" w:val="single"/>
        <w:right w:color="7F7F7F" w:space="0" w:sz="4" w:themeColor="text1" w:themeTint="80" w:val="single"/>
        <w:insideH w:color="7F7F7F" w:space="0" w:sz="4" w:themeColor="text1" w:themeTint="80" w:val="single"/>
        <w:insideV w:color="7F7F7F" w:space="0" w:sz="4" w:themeColor="text1" w:themeTint="80" w:val="single"/>
      </w:tblBorders>
    </w:tblPr>
    <w:tblStylePr w:type="firstRow">
      <w:rPr>
        <w:rFonts w:ascii="Arial" w:hAnsi="Arial"/>
        <w:b/>
        <w:color w:themeColor="text1" w:themeShade="95" w:themeTint="80" w:val="7F7F7F"/>
        <w:sz w:val="22"/>
      </w:rPr>
      <w:tblPr/>
      <w:tcPr>
        <w:tcBorders>
          <w:top w:color="auto" w:space="0" w:sz="0" w:val="none"/>
          <w:left w:color="auto" w:space="0" w:sz="0" w:val="none"/>
          <w:bottom w:color="7F7F7F" w:space="0" w:sz="4" w:themeColor="text1" w:themeTint="80" w:val="single"/>
          <w:right w:color="auto" w:space="0" w:sz="0" w:val="none"/>
        </w:tcBorders>
        <w:shd w:color="FFFFFF" w:fill="FFFFFF" w:themeColor="light1" w:themeFill="light1" w:val="clear"/>
      </w:tcPr>
    </w:tblStylePr>
    <w:tblStylePr w:type="lastRow">
      <w:rPr>
        <w:rFonts w:ascii="Arial" w:hAnsi="Arial"/>
        <w:b/>
        <w:color w:themeColor="text1" w:themeShade="95" w:themeTint="80" w:val="7F7F7F"/>
        <w:sz w:val="22"/>
      </w:rPr>
      <w:tblPr/>
      <w:tcPr>
        <w:tcBorders>
          <w:top w:color="7F7F7F" w:space="0" w:sz="4" w:themeColor="text1" w:themeTint="8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text1" w:themeShade="95" w:themeTint="80" w:val="7F7F7F"/>
        <w:sz w:val="22"/>
      </w:rPr>
      <w:tblPr/>
      <w:tcPr>
        <w:tcBorders>
          <w:top w:color="auto" w:space="0" w:sz="0" w:val="none"/>
          <w:left w:color="auto" w:space="0" w:sz="0" w:val="none"/>
          <w:bottom w:color="auto" w:space="0" w:sz="0" w:val="none"/>
          <w:right w:color="7F7F7F" w:space="0" w:sz="4" w:themeColor="text1" w:themeTint="80" w:val="single"/>
        </w:tcBorders>
        <w:shd w:color="FFFFFF" w:fill="auto" w:val="clear"/>
      </w:tcPr>
    </w:tblStylePr>
    <w:tblStylePr w:type="lastCol">
      <w:rPr>
        <w:rFonts w:ascii="Arial" w:hAnsi="Arial"/>
        <w:i/>
        <w:color w:themeColor="text1" w:themeShade="95" w:themeTint="80" w:val="7F7F7F"/>
        <w:sz w:val="22"/>
      </w:rPr>
      <w:tblPr/>
      <w:tcPr>
        <w:tcBorders>
          <w:top w:color="auto" w:space="0" w:sz="0" w:val="none"/>
          <w:left w:color="7F7F7F" w:space="0" w:sz="4" w:themeColor="text1" w:themeTint="80" w:val="single"/>
          <w:bottom w:color="auto" w:space="0" w:sz="0" w:val="none"/>
          <w:right w:color="auto" w:space="0" w:sz="0" w:val="none"/>
        </w:tcBorders>
        <w:shd w:color="FFFFFF" w:fill="auto" w:val="clear"/>
      </w:tcPr>
    </w:tblStylePr>
    <w:tblStylePr w:type="band1Vert">
      <w:tblPr/>
      <w:tcPr>
        <w:shd w:color="F2F2F2" w:fill="F2F2F2" w:themeColor="text1" w:themeFill="text1" w:themeFillTint="0D" w:themeTint="0D" w:val="clear"/>
      </w:tcPr>
    </w:tblStylePr>
    <w:tblStylePr w:type="band1Horz">
      <w:rPr>
        <w:rFonts w:ascii="Arial" w:hAnsi="Arial"/>
        <w:color w:themeColor="text1" w:themeShade="95" w:themeTint="80" w:val="7F7F7F"/>
        <w:sz w:val="22"/>
      </w:rPr>
      <w:tblPr/>
      <w:tcPr>
        <w:shd w:color="F2F2F2" w:fill="F2F2F2" w:themeColor="text1" w:themeFill="text1" w:themeFillTint="0D" w:themeTint="0D" w:val="clear"/>
      </w:tcPr>
    </w:tblStylePr>
    <w:tblStylePr w:type="band2Horz">
      <w:rPr>
        <w:rFonts w:ascii="Arial" w:hAnsi="Arial"/>
        <w:color w:themeColor="text1" w:themeShade="95" w:themeTint="80" w:val="7F7F7F"/>
        <w:sz w:val="22"/>
      </w:rPr>
    </w:tblStylePr>
  </w:style>
  <w:style w:styleId="GridTable7Colorful-Accent1" w:type="table">
    <w:name w:val="Grid Table 7 Colorful Accent 1"/>
    <w:basedOn w:val="TableNormal"/>
    <w:uiPriority w:val="99"/>
    <w:pPr>
      <w:spacing w:after="0"/>
    </w:pPr>
    <w:tblPr>
      <w:tblStyleRowBandSize w:val="1"/>
      <w:tblStyleColBandSize w:val="1"/>
      <w:tblBorders>
        <w:bottom w:color="A6BFDD" w:space="0" w:sz="4" w:themeColor="accent1" w:themeTint="80" w:val="single"/>
        <w:right w:color="A6BFDD" w:space="0" w:sz="4" w:themeColor="accent1" w:themeTint="80" w:val="single"/>
        <w:insideH w:color="A6BFDD" w:space="0" w:sz="4" w:themeColor="accent1" w:themeTint="80" w:val="single"/>
        <w:insideV w:color="A6BFDD" w:space="0" w:sz="4" w:themeColor="accent1" w:themeTint="80" w:val="single"/>
      </w:tblBorders>
    </w:tblPr>
    <w:tblStylePr w:type="firstRow">
      <w:rPr>
        <w:rFonts w:ascii="Arial" w:hAnsi="Arial"/>
        <w:b/>
        <w:color w:themeColor="accent1" w:themeShade="95" w:themeTint="80" w:val="A6BFDD"/>
        <w:sz w:val="22"/>
      </w:rPr>
      <w:tblPr/>
      <w:tcPr>
        <w:tcBorders>
          <w:top w:color="auto" w:space="0" w:sz="0" w:val="none"/>
          <w:left w:color="auto" w:space="0" w:sz="0" w:val="none"/>
          <w:bottom w:color="A6BFDD" w:space="0" w:sz="4" w:themeColor="accent1" w:themeTint="80" w:val="single"/>
          <w:right w:color="auto" w:space="0" w:sz="0" w:val="none"/>
        </w:tcBorders>
        <w:shd w:color="FFFFFF" w:fill="FFFFFF" w:themeColor="light1" w:themeFill="light1" w:val="clear"/>
      </w:tcPr>
    </w:tblStylePr>
    <w:tblStylePr w:type="lastRow">
      <w:rPr>
        <w:rFonts w:ascii="Arial" w:hAnsi="Arial"/>
        <w:b/>
        <w:color w:themeColor="accent1" w:themeShade="95" w:themeTint="80" w:val="A6BFDD"/>
        <w:sz w:val="22"/>
      </w:rPr>
      <w:tblPr/>
      <w:tcPr>
        <w:tcBorders>
          <w:top w:color="A6BFDD" w:space="0" w:sz="4" w:themeColor="accent1" w:themeTint="8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1" w:themeShade="95" w:themeTint="80" w:val="A6BFDD"/>
        <w:sz w:val="22"/>
      </w:rPr>
      <w:tblPr/>
      <w:tcPr>
        <w:tcBorders>
          <w:top w:color="auto" w:space="0" w:sz="0" w:val="none"/>
          <w:left w:color="auto" w:space="0" w:sz="0" w:val="none"/>
          <w:bottom w:color="auto" w:space="0" w:sz="0" w:val="none"/>
          <w:right w:color="A6BFDD" w:space="0" w:sz="4" w:themeColor="accent1" w:themeTint="80" w:val="single"/>
        </w:tcBorders>
        <w:shd w:color="FFFFFF" w:fill="auto" w:val="clear"/>
      </w:tcPr>
    </w:tblStylePr>
    <w:tblStylePr w:type="lastCol">
      <w:rPr>
        <w:rFonts w:ascii="Arial" w:hAnsi="Arial"/>
        <w:i/>
        <w:color w:themeColor="accent1" w:themeShade="95" w:themeTint="80" w:val="A6BFDD"/>
        <w:sz w:val="22"/>
      </w:rPr>
      <w:tblPr/>
      <w:tcPr>
        <w:tcBorders>
          <w:top w:color="auto" w:space="0" w:sz="0" w:val="none"/>
          <w:left w:color="A6BFDD" w:space="0" w:sz="4" w:themeColor="accent1" w:themeTint="80" w:val="single"/>
          <w:bottom w:color="auto" w:space="0" w:sz="0" w:val="none"/>
          <w:right w:color="auto" w:space="0" w:sz="0" w:val="none"/>
        </w:tcBorders>
        <w:shd w:color="FFFFFF" w:fill="auto" w:val="clear"/>
      </w:tcPr>
    </w:tblStylePr>
    <w:tblStylePr w:type="band1Vert">
      <w:tblPr/>
      <w:tcPr>
        <w:shd w:color="DAE5F1" w:fill="DAE5F1" w:themeColor="accent1" w:themeFill="accent1" w:themeFillTint="34" w:themeTint="34" w:val="clear"/>
      </w:tcPr>
    </w:tblStylePr>
    <w:tblStylePr w:type="band1Horz">
      <w:rPr>
        <w:rFonts w:ascii="Arial" w:hAnsi="Arial"/>
        <w:color w:themeColor="accent1" w:themeShade="95" w:themeTint="80" w:val="A6BFDD"/>
        <w:sz w:val="22"/>
      </w:rPr>
      <w:tblPr/>
      <w:tcPr>
        <w:shd w:color="DAE5F1" w:fill="DAE5F1" w:themeColor="accent1" w:themeFill="accent1" w:themeFillTint="34" w:themeTint="34" w:val="clear"/>
      </w:tcPr>
    </w:tblStylePr>
    <w:tblStylePr w:type="band2Horz">
      <w:rPr>
        <w:rFonts w:ascii="Arial" w:hAnsi="Arial"/>
        <w:color w:themeColor="accent1" w:themeShade="95" w:themeTint="80" w:val="A6BFDD"/>
        <w:sz w:val="22"/>
      </w:rPr>
    </w:tblStylePr>
  </w:style>
  <w:style w:styleId="GridTable7Colorful-Accent2" w:type="table">
    <w:name w:val="Grid Table 7 Colorful Accent 2"/>
    <w:basedOn w:val="TableNormal"/>
    <w:uiPriority w:val="99"/>
    <w:pPr>
      <w:spacing w:after="0"/>
    </w:pPr>
    <w:tblPr>
      <w:tblStyleRowBandSize w:val="1"/>
      <w:tblStyleColBandSize w:val="1"/>
      <w:tblBorders>
        <w:bottom w:color="D99695" w:space="0" w:sz="4" w:themeColor="accent2" w:themeTint="97" w:val="single"/>
        <w:right w:color="D99695" w:space="0" w:sz="4" w:themeColor="accent2" w:themeTint="97" w:val="single"/>
        <w:insideH w:color="D99695" w:space="0" w:sz="4" w:themeColor="accent2" w:themeTint="97" w:val="single"/>
        <w:insideV w:color="D99695" w:space="0" w:sz="4" w:themeColor="accent2" w:themeTint="97" w:val="single"/>
      </w:tblBorders>
    </w:tblPr>
    <w:tblStylePr w:type="firstRow">
      <w:rPr>
        <w:rFonts w:ascii="Arial" w:hAnsi="Arial"/>
        <w:b/>
        <w:color w:themeColor="accent2" w:themeShade="95" w:themeTint="97" w:val="D99695"/>
        <w:sz w:val="22"/>
      </w:rPr>
      <w:tblPr/>
      <w:tcPr>
        <w:tcBorders>
          <w:top w:color="auto" w:space="0" w:sz="0" w:val="none"/>
          <w:left w:color="auto" w:space="0" w:sz="0" w:val="none"/>
          <w:bottom w:color="D99695" w:space="0" w:sz="4" w:themeColor="accent2" w:themeTint="97" w:val="single"/>
          <w:right w:color="auto" w:space="0" w:sz="0" w:val="none"/>
        </w:tcBorders>
        <w:shd w:color="FFFFFF" w:fill="FFFFFF" w:themeColor="light1" w:themeFill="light1" w:val="clear"/>
      </w:tcPr>
    </w:tblStylePr>
    <w:tblStylePr w:type="lastRow">
      <w:rPr>
        <w:rFonts w:ascii="Arial" w:hAnsi="Arial"/>
        <w:b/>
        <w:color w:themeColor="accent2" w:themeShade="95" w:themeTint="97" w:val="D99695"/>
        <w:sz w:val="22"/>
      </w:rPr>
      <w:tblPr/>
      <w:tcPr>
        <w:tcBorders>
          <w:top w:color="D99695" w:space="0" w:sz="4" w:themeColor="accent2" w:themeTint="97"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2" w:themeShade="95" w:themeTint="97" w:val="D99695"/>
        <w:sz w:val="22"/>
      </w:rPr>
      <w:tblPr/>
      <w:tcPr>
        <w:tcBorders>
          <w:top w:color="auto" w:space="0" w:sz="0" w:val="none"/>
          <w:left w:color="auto" w:space="0" w:sz="0" w:val="none"/>
          <w:bottom w:color="auto" w:space="0" w:sz="0" w:val="none"/>
          <w:right w:color="D99695" w:space="0" w:sz="4" w:themeColor="accent2" w:themeTint="97" w:val="single"/>
        </w:tcBorders>
        <w:shd w:color="FFFFFF" w:fill="auto" w:val="clear"/>
      </w:tcPr>
    </w:tblStylePr>
    <w:tblStylePr w:type="lastCol">
      <w:rPr>
        <w:rFonts w:ascii="Arial" w:hAnsi="Arial"/>
        <w:i/>
        <w:color w:themeColor="accent2" w:themeShade="95" w:themeTint="97" w:val="D99695"/>
        <w:sz w:val="22"/>
      </w:rPr>
      <w:tblPr/>
      <w:tcPr>
        <w:tcBorders>
          <w:top w:color="auto" w:space="0" w:sz="0" w:val="none"/>
          <w:left w:color="D99695" w:space="0" w:sz="4" w:themeColor="accent2" w:themeTint="97" w:val="single"/>
          <w:bottom w:color="auto" w:space="0" w:sz="0" w:val="none"/>
          <w:right w:color="auto" w:space="0" w:sz="0" w:val="none"/>
        </w:tcBorders>
        <w:shd w:color="FFFFFF" w:fill="auto" w:val="clear"/>
      </w:tcPr>
    </w:tblStylePr>
    <w:tblStylePr w:type="band1Vert">
      <w:tblPr/>
      <w:tcPr>
        <w:shd w:color="F2DCDC" w:fill="F2DCDC" w:themeColor="accent2" w:themeFill="accent2" w:themeFillTint="32" w:themeTint="32" w:val="clear"/>
      </w:tcPr>
    </w:tblStylePr>
    <w:tblStylePr w:type="band1Horz">
      <w:rPr>
        <w:rFonts w:ascii="Arial" w:hAnsi="Arial"/>
        <w:color w:themeColor="accent2" w:themeShade="95" w:themeTint="97" w:val="D99695"/>
        <w:sz w:val="22"/>
      </w:rPr>
      <w:tblPr/>
      <w:tcPr>
        <w:shd w:color="F2DCDC" w:fill="F2DCDC" w:themeColor="accent2" w:themeFill="accent2" w:themeFillTint="32" w:themeTint="32" w:val="clear"/>
      </w:tcPr>
    </w:tblStylePr>
    <w:tblStylePr w:type="band2Horz">
      <w:rPr>
        <w:rFonts w:ascii="Arial" w:hAnsi="Arial"/>
        <w:color w:themeColor="accent2" w:themeShade="95" w:themeTint="97" w:val="D99695"/>
        <w:sz w:val="22"/>
      </w:rPr>
    </w:tblStylePr>
  </w:style>
  <w:style w:styleId="GridTable7Colorful-Accent3" w:type="table">
    <w:name w:val="Grid Table 7 Colorful Accent 3"/>
    <w:basedOn w:val="TableNormal"/>
    <w:uiPriority w:val="99"/>
    <w:pPr>
      <w:spacing w:after="0"/>
    </w:pPr>
    <w:tblPr>
      <w:tblStyleRowBandSize w:val="1"/>
      <w:tblStyleColBandSize w:val="1"/>
      <w:tblBorders>
        <w:bottom w:color="9ABB59" w:space="0" w:sz="4" w:themeColor="accent3" w:themeTint="FE" w:val="single"/>
        <w:right w:color="9ABB59" w:space="0" w:sz="4" w:themeColor="accent3" w:themeTint="FE" w:val="single"/>
        <w:insideH w:color="9ABB59" w:space="0" w:sz="4" w:themeColor="accent3" w:themeTint="FE" w:val="single"/>
        <w:insideV w:color="9ABB59" w:space="0" w:sz="4" w:themeColor="accent3" w:themeTint="FE" w:val="single"/>
      </w:tblBorders>
    </w:tblPr>
    <w:tblStylePr w:type="firstRow">
      <w:rPr>
        <w:rFonts w:ascii="Arial" w:hAnsi="Arial"/>
        <w:b/>
        <w:color w:themeColor="accent3" w:themeShade="95" w:themeTint="FE" w:val="9ABB59"/>
        <w:sz w:val="22"/>
      </w:rPr>
      <w:tblPr/>
      <w:tcPr>
        <w:tcBorders>
          <w:top w:color="auto" w:space="0" w:sz="0" w:val="none"/>
          <w:left w:color="auto" w:space="0" w:sz="0" w:val="none"/>
          <w:bottom w:color="9ABB59" w:space="0" w:sz="4" w:themeColor="accent3" w:themeTint="FE" w:val="single"/>
          <w:right w:color="auto" w:space="0" w:sz="0" w:val="none"/>
        </w:tcBorders>
        <w:shd w:color="FFFFFF" w:fill="FFFFFF" w:themeColor="light1" w:themeFill="light1" w:val="clear"/>
      </w:tcPr>
    </w:tblStylePr>
    <w:tblStylePr w:type="lastRow">
      <w:rPr>
        <w:rFonts w:ascii="Arial" w:hAnsi="Arial"/>
        <w:b/>
        <w:color w:themeColor="accent3" w:themeShade="95" w:themeTint="FE" w:val="9ABB59"/>
        <w:sz w:val="22"/>
      </w:rPr>
      <w:tblPr/>
      <w:tcPr>
        <w:tcBorders>
          <w:top w:color="9ABB59" w:space="0" w:sz="4" w:themeColor="accent3" w:themeTint="FE"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3" w:themeShade="95" w:themeTint="FE" w:val="9ABB59"/>
        <w:sz w:val="22"/>
      </w:rPr>
      <w:tblPr/>
      <w:tcPr>
        <w:tcBorders>
          <w:top w:color="auto" w:space="0" w:sz="0" w:val="none"/>
          <w:left w:color="auto" w:space="0" w:sz="0" w:val="none"/>
          <w:bottom w:color="auto" w:space="0" w:sz="0" w:val="none"/>
          <w:right w:color="9ABB59" w:space="0" w:sz="4" w:themeColor="accent3" w:themeTint="FE" w:val="single"/>
        </w:tcBorders>
        <w:shd w:color="FFFFFF" w:fill="auto" w:val="clear"/>
      </w:tcPr>
    </w:tblStylePr>
    <w:tblStylePr w:type="lastCol">
      <w:rPr>
        <w:rFonts w:ascii="Arial" w:hAnsi="Arial"/>
        <w:i/>
        <w:color w:themeColor="accent3" w:themeShade="95" w:themeTint="FE" w:val="9ABB59"/>
        <w:sz w:val="22"/>
      </w:rPr>
      <w:tblPr/>
      <w:tcPr>
        <w:tcBorders>
          <w:top w:color="auto" w:space="0" w:sz="0" w:val="none"/>
          <w:left w:color="9ABB59" w:space="0" w:sz="4" w:themeColor="accent3" w:themeTint="FE" w:val="single"/>
          <w:bottom w:color="auto" w:space="0" w:sz="0" w:val="none"/>
          <w:right w:color="auto" w:space="0" w:sz="0" w:val="none"/>
        </w:tcBorders>
        <w:shd w:color="FFFFFF" w:fill="auto" w:val="clear"/>
      </w:tcPr>
    </w:tblStylePr>
    <w:tblStylePr w:type="band1Vert">
      <w:tblPr/>
      <w:tcPr>
        <w:shd w:color="EAF1DC" w:fill="EAF1DC" w:themeColor="accent3" w:themeFill="accent3" w:themeFillTint="34" w:themeTint="34" w:val="clear"/>
      </w:tcPr>
    </w:tblStylePr>
    <w:tblStylePr w:type="band1Horz">
      <w:rPr>
        <w:rFonts w:ascii="Arial" w:hAnsi="Arial"/>
        <w:color w:themeColor="accent3" w:themeShade="95" w:themeTint="FE" w:val="9ABB59"/>
        <w:sz w:val="22"/>
      </w:rPr>
      <w:tblPr/>
      <w:tcPr>
        <w:shd w:color="EAF1DC" w:fill="EAF1DC" w:themeColor="accent3" w:themeFill="accent3" w:themeFillTint="34" w:themeTint="34" w:val="clear"/>
      </w:tcPr>
    </w:tblStylePr>
    <w:tblStylePr w:type="band2Horz">
      <w:rPr>
        <w:rFonts w:ascii="Arial" w:hAnsi="Arial"/>
        <w:color w:themeColor="accent3" w:themeShade="95" w:themeTint="FE" w:val="9ABB59"/>
        <w:sz w:val="22"/>
      </w:rPr>
    </w:tblStylePr>
  </w:style>
  <w:style w:styleId="GridTable7Colorful-Accent4" w:type="table">
    <w:name w:val="Grid Table 7 Colorful Accent 4"/>
    <w:basedOn w:val="TableNormal"/>
    <w:uiPriority w:val="99"/>
    <w:pPr>
      <w:spacing w:after="0"/>
    </w:pPr>
    <w:tblPr>
      <w:tblStyleRowBandSize w:val="1"/>
      <w:tblStyleColBandSize w:val="1"/>
      <w:tblBorders>
        <w:bottom w:color="B2A1C6" w:space="0" w:sz="4" w:themeColor="accent4" w:themeTint="9A" w:val="single"/>
        <w:right w:color="B2A1C6" w:space="0" w:sz="4" w:themeColor="accent4" w:themeTint="9A" w:val="single"/>
        <w:insideH w:color="B2A1C6" w:space="0" w:sz="4" w:themeColor="accent4" w:themeTint="9A" w:val="single"/>
        <w:insideV w:color="B2A1C6" w:space="0" w:sz="4" w:themeColor="accent4" w:themeTint="9A" w:val="single"/>
      </w:tblBorders>
    </w:tblPr>
    <w:tblStylePr w:type="firstRow">
      <w:rPr>
        <w:rFonts w:ascii="Arial" w:hAnsi="Arial"/>
        <w:b/>
        <w:color w:themeColor="accent4" w:themeShade="95" w:themeTint="9A" w:val="B2A1C6"/>
        <w:sz w:val="22"/>
      </w:rPr>
      <w:tblPr/>
      <w:tcPr>
        <w:tcBorders>
          <w:top w:color="auto" w:space="0" w:sz="0" w:val="none"/>
          <w:left w:color="auto" w:space="0" w:sz="0" w:val="none"/>
          <w:bottom w:color="B2A1C6" w:space="0" w:sz="4" w:themeColor="accent4" w:themeTint="9A" w:val="single"/>
          <w:right w:color="auto" w:space="0" w:sz="0" w:val="none"/>
        </w:tcBorders>
        <w:shd w:color="FFFFFF" w:fill="FFFFFF" w:themeColor="light1" w:themeFill="light1" w:val="clear"/>
      </w:tcPr>
    </w:tblStylePr>
    <w:tblStylePr w:type="lastRow">
      <w:rPr>
        <w:rFonts w:ascii="Arial" w:hAnsi="Arial"/>
        <w:b/>
        <w:color w:themeColor="accent4" w:themeShade="95" w:themeTint="9A" w:val="B2A1C6"/>
        <w:sz w:val="22"/>
      </w:rPr>
      <w:tblPr/>
      <w:tcPr>
        <w:tcBorders>
          <w:top w:color="B2A1C6" w:space="0" w:sz="4" w:themeColor="accent4" w:themeTint="9A"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4" w:themeShade="95" w:themeTint="9A" w:val="B2A1C6"/>
        <w:sz w:val="22"/>
      </w:rPr>
      <w:tblPr/>
      <w:tcPr>
        <w:tcBorders>
          <w:top w:color="auto" w:space="0" w:sz="0" w:val="none"/>
          <w:left w:color="auto" w:space="0" w:sz="0" w:val="none"/>
          <w:bottom w:color="auto" w:space="0" w:sz="0" w:val="none"/>
          <w:right w:color="B2A1C6" w:space="0" w:sz="4" w:themeColor="accent4" w:themeTint="9A" w:val="single"/>
        </w:tcBorders>
        <w:shd w:color="FFFFFF" w:fill="auto" w:val="clear"/>
      </w:tcPr>
    </w:tblStylePr>
    <w:tblStylePr w:type="lastCol">
      <w:rPr>
        <w:rFonts w:ascii="Arial" w:hAnsi="Arial"/>
        <w:i/>
        <w:color w:themeColor="accent4" w:themeShade="95" w:themeTint="9A" w:val="B2A1C6"/>
        <w:sz w:val="22"/>
      </w:rPr>
      <w:tblPr/>
      <w:tcPr>
        <w:tcBorders>
          <w:top w:color="auto" w:space="0" w:sz="0" w:val="none"/>
          <w:left w:color="B2A1C6" w:space="0" w:sz="4" w:themeColor="accent4" w:themeTint="9A" w:val="single"/>
          <w:bottom w:color="auto" w:space="0" w:sz="0" w:val="none"/>
          <w:right w:color="auto" w:space="0" w:sz="0" w:val="none"/>
        </w:tcBorders>
        <w:shd w:color="FFFFFF" w:fill="auto" w:val="clear"/>
      </w:tcPr>
    </w:tblStylePr>
    <w:tblStylePr w:type="band1Vert">
      <w:tblPr/>
      <w:tcPr>
        <w:shd w:color="E5DFEC" w:fill="E5DFEC" w:themeColor="accent4" w:themeFill="accent4" w:themeFillTint="34" w:themeTint="34" w:val="clear"/>
      </w:tcPr>
    </w:tblStylePr>
    <w:tblStylePr w:type="band1Horz">
      <w:rPr>
        <w:rFonts w:ascii="Arial" w:hAnsi="Arial"/>
        <w:color w:themeColor="accent4" w:themeShade="95" w:themeTint="9A" w:val="B2A1C6"/>
        <w:sz w:val="22"/>
      </w:rPr>
      <w:tblPr/>
      <w:tcPr>
        <w:shd w:color="E5DFEC" w:fill="E5DFEC" w:themeColor="accent4" w:themeFill="accent4" w:themeFillTint="34" w:themeTint="34" w:val="clear"/>
      </w:tcPr>
    </w:tblStylePr>
    <w:tblStylePr w:type="band2Horz">
      <w:rPr>
        <w:rFonts w:ascii="Arial" w:hAnsi="Arial"/>
        <w:color w:themeColor="accent4" w:themeShade="95" w:themeTint="9A" w:val="B2A1C6"/>
        <w:sz w:val="22"/>
      </w:rPr>
    </w:tblStylePr>
  </w:style>
  <w:style w:styleId="GridTable7Colorful-Accent5" w:type="table">
    <w:name w:val="Grid Table 7 Colorful Accent 5"/>
    <w:basedOn w:val="TableNormal"/>
    <w:uiPriority w:val="99"/>
    <w:pPr>
      <w:spacing w:after="0"/>
    </w:pPr>
    <w:tblPr>
      <w:tblStyleRowBandSize w:val="1"/>
      <w:tblStyleColBandSize w:val="1"/>
      <w:tblBorders>
        <w:bottom w:color="99D0DE" w:space="0" w:sz="4" w:themeColor="accent5" w:themeTint="90" w:val="single"/>
        <w:right w:color="99D0DE" w:space="0" w:sz="4" w:themeColor="accent5" w:themeTint="90" w:val="single"/>
        <w:insideH w:color="99D0DE" w:space="0" w:sz="4" w:themeColor="accent5" w:themeTint="90" w:val="single"/>
        <w:insideV w:color="99D0DE" w:space="0" w:sz="4" w:themeColor="accent5" w:themeTint="90" w:val="single"/>
      </w:tblBorders>
    </w:tblPr>
    <w:tblStylePr w:type="firstRow">
      <w:rPr>
        <w:rFonts w:ascii="Arial" w:hAnsi="Arial"/>
        <w:b/>
        <w:color w:themeColor="accent5" w:themeShade="95" w:val="266779"/>
        <w:sz w:val="22"/>
      </w:rPr>
      <w:tblPr/>
      <w:tcPr>
        <w:tcBorders>
          <w:top w:color="auto" w:space="0" w:sz="0" w:val="none"/>
          <w:left w:color="auto" w:space="0" w:sz="0" w:val="none"/>
          <w:bottom w:color="99D0DE" w:space="0" w:sz="4" w:themeColor="accent5" w:themeTint="90" w:val="single"/>
          <w:right w:color="auto" w:space="0" w:sz="0" w:val="none"/>
        </w:tcBorders>
        <w:shd w:color="FFFFFF" w:fill="FFFFFF" w:themeColor="light1" w:themeFill="light1" w:val="clear"/>
      </w:tcPr>
    </w:tblStylePr>
    <w:tblStylePr w:type="lastRow">
      <w:rPr>
        <w:rFonts w:ascii="Arial" w:hAnsi="Arial"/>
        <w:b/>
        <w:color w:themeColor="accent5" w:themeShade="95" w:val="266779"/>
        <w:sz w:val="22"/>
      </w:rPr>
      <w:tblPr/>
      <w:tcPr>
        <w:tcBorders>
          <w:top w:color="99D0DE" w:space="0" w:sz="4" w:themeColor="accent5" w:themeTint="9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5" w:themeShade="95" w:val="266779"/>
        <w:sz w:val="22"/>
      </w:rPr>
      <w:tblPr/>
      <w:tcPr>
        <w:tcBorders>
          <w:top w:color="auto" w:space="0" w:sz="0" w:val="none"/>
          <w:left w:color="auto" w:space="0" w:sz="0" w:val="none"/>
          <w:bottom w:color="auto" w:space="0" w:sz="0" w:val="none"/>
          <w:right w:color="99D0DE" w:space="0" w:sz="4" w:themeColor="accent5" w:themeTint="90" w:val="single"/>
        </w:tcBorders>
        <w:shd w:color="FFFFFF" w:fill="auto" w:val="clear"/>
      </w:tcPr>
    </w:tblStylePr>
    <w:tblStylePr w:type="lastCol">
      <w:rPr>
        <w:rFonts w:ascii="Arial" w:hAnsi="Arial"/>
        <w:i/>
        <w:color w:themeColor="accent5" w:themeShade="95" w:val="266779"/>
        <w:sz w:val="22"/>
      </w:rPr>
      <w:tblPr/>
      <w:tcPr>
        <w:tcBorders>
          <w:top w:color="auto" w:space="0" w:sz="0" w:val="none"/>
          <w:left w:color="99D0DE" w:space="0" w:sz="4" w:themeColor="accent5" w:themeTint="90" w:val="single"/>
          <w:bottom w:color="auto" w:space="0" w:sz="0" w:val="none"/>
          <w:right w:color="auto" w:space="0" w:sz="0" w:val="none"/>
        </w:tcBorders>
        <w:shd w:color="FFFFFF" w:fill="auto" w:val="clear"/>
      </w:tcPr>
    </w:tblStylePr>
    <w:tblStylePr w:type="band1Vert">
      <w:tblPr/>
      <w:tcPr>
        <w:shd w:color="DAEEF3" w:fill="DAEEF3" w:themeColor="accent5" w:themeFill="accent5" w:themeFillTint="34" w:themeTint="34" w:val="clear"/>
      </w:tcPr>
    </w:tblStylePr>
    <w:tblStylePr w:type="band1Horz">
      <w:rPr>
        <w:rFonts w:ascii="Arial" w:hAnsi="Arial"/>
        <w:color w:themeColor="accent5" w:themeShade="95" w:val="266779"/>
        <w:sz w:val="22"/>
      </w:rPr>
      <w:tblPr/>
      <w:tcPr>
        <w:shd w:color="DAEEF3" w:fill="DAEEF3" w:themeColor="accent5" w:themeFill="accent5" w:themeFillTint="34" w:themeTint="34" w:val="clear"/>
      </w:tcPr>
    </w:tblStylePr>
    <w:tblStylePr w:type="band2Horz">
      <w:rPr>
        <w:rFonts w:ascii="Arial" w:hAnsi="Arial"/>
        <w:color w:themeColor="accent5" w:themeShade="95" w:val="266779"/>
        <w:sz w:val="22"/>
      </w:rPr>
    </w:tblStylePr>
  </w:style>
  <w:style w:styleId="GridTable7Colorful-Accent6" w:type="table">
    <w:name w:val="Grid Table 7 Colorful Accent 6"/>
    <w:basedOn w:val="TableNormal"/>
    <w:uiPriority w:val="99"/>
    <w:pPr>
      <w:spacing w:after="0"/>
    </w:pPr>
    <w:tblPr>
      <w:tblStyleRowBandSize w:val="1"/>
      <w:tblStyleColBandSize w:val="1"/>
      <w:tblBorders>
        <w:bottom w:color="FAC396" w:space="0" w:sz="4" w:themeColor="accent6" w:themeTint="90" w:val="single"/>
        <w:right w:color="FAC396" w:space="0" w:sz="4" w:themeColor="accent6" w:themeTint="90" w:val="single"/>
        <w:insideH w:color="FAC396" w:space="0" w:sz="4" w:themeColor="accent6" w:themeTint="90" w:val="single"/>
        <w:insideV w:color="FAC396" w:space="0" w:sz="4" w:themeColor="accent6" w:themeTint="90" w:val="single"/>
      </w:tblBorders>
    </w:tblPr>
    <w:tblStylePr w:type="firstRow">
      <w:rPr>
        <w:rFonts w:ascii="Arial" w:hAnsi="Arial"/>
        <w:b/>
        <w:color w:themeColor="accent6" w:themeShade="95" w:val="B15407"/>
        <w:sz w:val="22"/>
      </w:rPr>
      <w:tblPr/>
      <w:tcPr>
        <w:tcBorders>
          <w:top w:color="auto" w:space="0" w:sz="0" w:val="none"/>
          <w:left w:color="auto" w:space="0" w:sz="0" w:val="none"/>
          <w:bottom w:color="FAC396" w:space="0" w:sz="4" w:themeColor="accent6" w:themeTint="90" w:val="single"/>
          <w:right w:color="auto" w:space="0" w:sz="0" w:val="none"/>
        </w:tcBorders>
        <w:shd w:color="FFFFFF" w:fill="FFFFFF" w:themeColor="light1" w:themeFill="light1" w:val="clear"/>
      </w:tcPr>
    </w:tblStylePr>
    <w:tblStylePr w:type="lastRow">
      <w:rPr>
        <w:rFonts w:ascii="Arial" w:hAnsi="Arial"/>
        <w:b/>
        <w:color w:themeColor="accent6" w:themeShade="95" w:val="B15407"/>
        <w:sz w:val="22"/>
      </w:rPr>
      <w:tblPr/>
      <w:tcPr>
        <w:tcBorders>
          <w:top w:color="FAC396" w:space="0" w:sz="4" w:themeColor="accent6" w:themeTint="9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6" w:themeShade="95" w:val="B15407"/>
        <w:sz w:val="22"/>
      </w:rPr>
      <w:tblPr/>
      <w:tcPr>
        <w:tcBorders>
          <w:top w:color="auto" w:space="0" w:sz="0" w:val="none"/>
          <w:left w:color="auto" w:space="0" w:sz="0" w:val="none"/>
          <w:bottom w:color="auto" w:space="0" w:sz="0" w:val="none"/>
          <w:right w:color="FAC396" w:space="0" w:sz="4" w:themeColor="accent6" w:themeTint="90" w:val="single"/>
        </w:tcBorders>
        <w:shd w:color="FFFFFF" w:fill="auto" w:val="clear"/>
      </w:tcPr>
    </w:tblStylePr>
    <w:tblStylePr w:type="lastCol">
      <w:rPr>
        <w:rFonts w:ascii="Arial" w:hAnsi="Arial"/>
        <w:i/>
        <w:color w:themeColor="accent6" w:themeShade="95" w:val="B15407"/>
        <w:sz w:val="22"/>
      </w:rPr>
      <w:tblPr/>
      <w:tcPr>
        <w:tcBorders>
          <w:top w:color="auto" w:space="0" w:sz="0" w:val="none"/>
          <w:left w:color="FAC396" w:space="0" w:sz="4" w:themeColor="accent6" w:themeTint="90" w:val="single"/>
          <w:bottom w:color="auto" w:space="0" w:sz="0" w:val="none"/>
          <w:right w:color="auto" w:space="0" w:sz="0" w:val="none"/>
        </w:tcBorders>
        <w:shd w:color="FFFFFF" w:fill="auto" w:val="clear"/>
      </w:tcPr>
    </w:tblStylePr>
    <w:tblStylePr w:type="band1Vert">
      <w:tblPr/>
      <w:tcPr>
        <w:shd w:color="FDE9D8" w:fill="FDE9D8" w:themeColor="accent6" w:themeFill="accent6" w:themeFillTint="34" w:themeTint="34" w:val="clear"/>
      </w:tcPr>
    </w:tblStylePr>
    <w:tblStylePr w:type="band1Horz">
      <w:rPr>
        <w:rFonts w:ascii="Arial" w:hAnsi="Arial"/>
        <w:color w:themeColor="accent6" w:themeShade="95" w:val="B15407"/>
        <w:sz w:val="22"/>
      </w:rPr>
      <w:tblPr/>
      <w:tcPr>
        <w:shd w:color="FDE9D8" w:fill="FDE9D8" w:themeColor="accent6" w:themeFill="accent6" w:themeFillTint="34" w:themeTint="34" w:val="clear"/>
      </w:tcPr>
    </w:tblStylePr>
    <w:tblStylePr w:type="band2Horz">
      <w:rPr>
        <w:rFonts w:ascii="Arial" w:hAnsi="Arial"/>
        <w:color w:themeColor="accent6" w:themeShade="95" w:val="B15407"/>
        <w:sz w:val="22"/>
      </w:rPr>
    </w:tblStylePr>
  </w:style>
  <w:style w:styleId="ListTable1Light" w:type="table">
    <w:name w:val="List Table 1 Light"/>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000000" w:space="0" w:sz="4" w:themeColor="text1" w:val="single"/>
          <w:right w:color="000000" w:space="0" w:sz="4" w:val="none"/>
        </w:tcBorders>
      </w:tcPr>
    </w:tblStylePr>
    <w:tblStylePr w:type="lastRow">
      <w:rPr>
        <w:b/>
        <w:color w:val="404040"/>
      </w:rPr>
      <w:tblPr/>
      <w:tcPr>
        <w:tcBorders>
          <w:top w:color="000000" w:space="0" w:sz="4" w:themeColor="text1"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BFBFBF" w:fill="BFBFBF" w:themeColor="text1" w:themeFill="text1" w:themeFillTint="40" w:themeTint="40" w:val="clear"/>
      </w:tcPr>
    </w:tblStylePr>
    <w:tblStylePr w:type="band1Horz">
      <w:tblPr/>
      <w:tcPr>
        <w:shd w:color="BFBFBF" w:fill="BFBFBF" w:themeColor="text1" w:themeFill="text1" w:themeFillTint="40" w:themeTint="40" w:val="clear"/>
      </w:tcPr>
    </w:tblStylePr>
  </w:style>
  <w:style w:styleId="ListTable1Light-Accent1" w:type="table">
    <w:name w:val="List Table 1 Light Accent 1"/>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4F81BD" w:space="0" w:sz="4" w:themeColor="accent1" w:val="single"/>
          <w:right w:color="000000" w:space="0" w:sz="4" w:val="none"/>
        </w:tcBorders>
      </w:tcPr>
    </w:tblStylePr>
    <w:tblStylePr w:type="lastRow">
      <w:rPr>
        <w:b/>
        <w:color w:val="404040"/>
      </w:rPr>
      <w:tblPr/>
      <w:tcPr>
        <w:tcBorders>
          <w:top w:color="4F81BD" w:space="0" w:sz="4" w:themeColor="accent1"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D2DFEE" w:fill="D2DFEE" w:themeColor="accent1" w:themeFill="accent1" w:themeFillTint="40" w:themeTint="40" w:val="clear"/>
      </w:tcPr>
    </w:tblStylePr>
    <w:tblStylePr w:type="band1Horz">
      <w:tblPr/>
      <w:tcPr>
        <w:shd w:color="D2DFEE" w:fill="D2DFEE" w:themeColor="accent1" w:themeFill="accent1" w:themeFillTint="40" w:themeTint="40" w:val="clear"/>
      </w:tcPr>
    </w:tblStylePr>
  </w:style>
  <w:style w:styleId="ListTable1Light-Accent2" w:type="table">
    <w:name w:val="List Table 1 Light Accent 2"/>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C0504D" w:space="0" w:sz="4" w:themeColor="accent2" w:val="single"/>
          <w:right w:color="000000" w:space="0" w:sz="4" w:val="none"/>
        </w:tcBorders>
      </w:tcPr>
    </w:tblStylePr>
    <w:tblStylePr w:type="lastRow">
      <w:rPr>
        <w:b/>
        <w:color w:val="404040"/>
      </w:rPr>
      <w:tblPr/>
      <w:tcPr>
        <w:tcBorders>
          <w:top w:color="C0504D" w:space="0" w:sz="4" w:themeColor="accent2"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EFD2D2" w:fill="EFD2D2" w:themeColor="accent2" w:themeFill="accent2" w:themeFillTint="40" w:themeTint="40" w:val="clear"/>
      </w:tcPr>
    </w:tblStylePr>
    <w:tblStylePr w:type="band1Horz">
      <w:tblPr/>
      <w:tcPr>
        <w:shd w:color="EFD2D2" w:fill="EFD2D2" w:themeColor="accent2" w:themeFill="accent2" w:themeFillTint="40" w:themeTint="40" w:val="clear"/>
      </w:tcPr>
    </w:tblStylePr>
  </w:style>
  <w:style w:styleId="ListTable1Light-Accent3" w:type="table">
    <w:name w:val="List Table 1 Light Accent 3"/>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9BBB59" w:space="0" w:sz="4" w:themeColor="accent3" w:val="single"/>
          <w:right w:color="000000" w:space="0" w:sz="4" w:val="none"/>
        </w:tcBorders>
      </w:tcPr>
    </w:tblStylePr>
    <w:tblStylePr w:type="lastRow">
      <w:rPr>
        <w:b/>
        <w:color w:val="404040"/>
      </w:rPr>
      <w:tblPr/>
      <w:tcPr>
        <w:tcBorders>
          <w:top w:color="9BBB59" w:space="0" w:sz="4" w:themeColor="accent3"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E5EED5" w:fill="E5EED5" w:themeColor="accent3" w:themeFill="accent3" w:themeFillTint="40" w:themeTint="40" w:val="clear"/>
      </w:tcPr>
    </w:tblStylePr>
    <w:tblStylePr w:type="band1Horz">
      <w:tblPr/>
      <w:tcPr>
        <w:shd w:color="E5EED5" w:fill="E5EED5" w:themeColor="accent3" w:themeFill="accent3" w:themeFillTint="40" w:themeTint="40" w:val="clear"/>
      </w:tcPr>
    </w:tblStylePr>
  </w:style>
  <w:style w:styleId="ListTable1Light-Accent4" w:type="table">
    <w:name w:val="List Table 1 Light Accent 4"/>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8064A2" w:space="0" w:sz="4" w:themeColor="accent4" w:val="single"/>
          <w:right w:color="000000" w:space="0" w:sz="4" w:val="none"/>
        </w:tcBorders>
      </w:tcPr>
    </w:tblStylePr>
    <w:tblStylePr w:type="lastRow">
      <w:rPr>
        <w:b/>
        <w:color w:val="404040"/>
      </w:rPr>
      <w:tblPr/>
      <w:tcPr>
        <w:tcBorders>
          <w:top w:color="8064A2" w:space="0" w:sz="4" w:themeColor="accent4"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DFD8E7" w:fill="DFD8E7" w:themeColor="accent4" w:themeFill="accent4" w:themeFillTint="40" w:themeTint="40" w:val="clear"/>
      </w:tcPr>
    </w:tblStylePr>
    <w:tblStylePr w:type="band1Horz">
      <w:tblPr/>
      <w:tcPr>
        <w:shd w:color="DFD8E7" w:fill="DFD8E7" w:themeColor="accent4" w:themeFill="accent4" w:themeFillTint="40" w:themeTint="40" w:val="clear"/>
      </w:tcPr>
    </w:tblStylePr>
  </w:style>
  <w:style w:styleId="ListTable1Light-Accent5" w:type="table">
    <w:name w:val="List Table 1 Light Accent 5"/>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4BACC6" w:space="0" w:sz="4" w:themeColor="accent5" w:val="single"/>
          <w:right w:color="000000" w:space="0" w:sz="4" w:val="none"/>
        </w:tcBorders>
      </w:tcPr>
    </w:tblStylePr>
    <w:tblStylePr w:type="lastRow">
      <w:rPr>
        <w:b/>
        <w:color w:val="404040"/>
      </w:rPr>
      <w:tblPr/>
      <w:tcPr>
        <w:tcBorders>
          <w:top w:color="4BACC6" w:space="0" w:sz="4" w:themeColor="accent5"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D1EAF0" w:fill="D1EAF0" w:themeColor="accent5" w:themeFill="accent5" w:themeFillTint="40" w:themeTint="40" w:val="clear"/>
      </w:tcPr>
    </w:tblStylePr>
    <w:tblStylePr w:type="band1Horz">
      <w:tblPr/>
      <w:tcPr>
        <w:shd w:color="D1EAF0" w:fill="D1EAF0" w:themeColor="accent5" w:themeFill="accent5" w:themeFillTint="40" w:themeTint="40" w:val="clear"/>
      </w:tcPr>
    </w:tblStylePr>
  </w:style>
  <w:style w:styleId="ListTable1Light-Accent6" w:type="table">
    <w:name w:val="List Table 1 Light Accent 6"/>
    <w:basedOn w:val="TableNormal"/>
    <w:uiPriority w:val="99"/>
    <w:pPr>
      <w:spacing w:after="0"/>
    </w:pPr>
    <w:tblPr>
      <w:tblStyleRowBandSize w:val="1"/>
      <w:tblStyleColBandSize w:val="1"/>
    </w:tblPr>
    <w:tblStylePr w:type="firstRow">
      <w:rPr>
        <w:b/>
        <w:color w:val="404040"/>
      </w:rPr>
      <w:tblPr/>
      <w:tcPr>
        <w:tcBorders>
          <w:top w:color="000000" w:space="0" w:sz="4" w:val="none"/>
          <w:left w:color="000000" w:space="0" w:sz="4" w:val="none"/>
          <w:bottom w:color="F79646" w:space="0" w:sz="4" w:themeColor="accent6" w:val="single"/>
          <w:right w:color="000000" w:space="0" w:sz="4" w:val="none"/>
        </w:tcBorders>
      </w:tcPr>
    </w:tblStylePr>
    <w:tblStylePr w:type="lastRow">
      <w:rPr>
        <w:b/>
        <w:color w:val="404040"/>
      </w:rPr>
      <w:tblPr/>
      <w:tcPr>
        <w:tcBorders>
          <w:top w:color="F79646" w:space="0" w:sz="4" w:themeColor="accent6" w:val="single"/>
          <w:left w:color="000000" w:space="0" w:sz="4" w:val="none"/>
          <w:bottom w:color="000000" w:space="0" w:sz="4" w:val="none"/>
          <w:right w:color="000000" w:space="0" w:sz="4" w:val="none"/>
        </w:tcBorders>
      </w:tcPr>
    </w:tblStylePr>
    <w:tblStylePr w:type="firstCol">
      <w:rPr>
        <w:b/>
        <w:color w:val="404040"/>
      </w:rPr>
    </w:tblStylePr>
    <w:tblStylePr w:type="lastCol">
      <w:rPr>
        <w:b/>
        <w:color w:val="404040"/>
      </w:rPr>
    </w:tblStylePr>
    <w:tblStylePr w:type="band1Vert">
      <w:tblPr/>
      <w:tcPr>
        <w:shd w:color="FDE4D0" w:fill="FDE4D0" w:themeColor="accent6" w:themeFill="accent6" w:themeFillTint="40" w:themeTint="40" w:val="clear"/>
      </w:tcPr>
    </w:tblStylePr>
    <w:tblStylePr w:type="band1Horz">
      <w:tblPr/>
      <w:tcPr>
        <w:shd w:color="FDE4D0" w:fill="FDE4D0" w:themeColor="accent6" w:themeFill="accent6" w:themeFillTint="40" w:themeTint="40" w:val="clear"/>
      </w:tcPr>
    </w:tblStylePr>
  </w:style>
  <w:style w:styleId="ListTable2" w:type="table">
    <w:name w:val="List Table 2"/>
    <w:basedOn w:val="TableNormal"/>
    <w:uiPriority w:val="99"/>
    <w:pPr>
      <w:spacing w:after="0"/>
    </w:pPr>
    <w:tblPr>
      <w:tblStyleRowBandSize w:val="1"/>
      <w:tblStyleColBandSize w:val="1"/>
      <w:tblBorders>
        <w:top w:color="6F6F6F" w:space="0" w:sz="4" w:themeColor="text1" w:themeTint="90" w:val="single"/>
        <w:bottom w:color="6F6F6F" w:space="0" w:sz="4" w:themeColor="text1" w:themeTint="90" w:val="single"/>
        <w:insideH w:color="6F6F6F" w:space="0" w:sz="4" w:themeColor="text1" w:themeTint="90" w:val="single"/>
      </w:tblBorders>
    </w:tblPr>
    <w:tblStylePr w:type="firstRow">
      <w:rPr>
        <w:rFonts w:ascii="Arial" w:hAnsi="Arial"/>
        <w:b/>
        <w:color w:val="404040"/>
        <w:sz w:val="22"/>
      </w:rPr>
      <w:tblPr/>
      <w:tcPr>
        <w:tcBorders>
          <w:top w:color="6F6F6F" w:space="0" w:sz="4" w:themeColor="text1" w:themeTint="90" w:val="single"/>
          <w:left w:color="000000" w:space="0" w:sz="4" w:val="none"/>
          <w:bottom w:color="6F6F6F" w:space="0" w:sz="4" w:themeColor="text1" w:themeTint="90" w:val="single"/>
          <w:right w:color="000000" w:space="0" w:sz="4" w:val="none"/>
        </w:tcBorders>
      </w:tcPr>
    </w:tblStylePr>
    <w:tblStylePr w:type="lastRow">
      <w:rPr>
        <w:rFonts w:ascii="Arial" w:hAnsi="Arial"/>
        <w:b/>
        <w:color w:val="404040"/>
        <w:sz w:val="22"/>
      </w:rPr>
      <w:tblPr/>
      <w:tcPr>
        <w:tcBorders>
          <w:top w:color="6F6F6F" w:space="0" w:sz="4" w:themeColor="text1" w:themeTint="90" w:val="single"/>
          <w:left w:color="000000" w:space="0" w:sz="4" w:val="none"/>
          <w:bottom w:color="6F6F6F" w:space="0" w:sz="4" w:themeColor="text1"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BFBFBF" w:fill="BFBFBF" w:themeColor="text1" w:themeFill="text1" w:themeFillTint="40" w:themeTint="40" w:val="clear"/>
      </w:tcPr>
    </w:tblStylePr>
    <w:tblStylePr w:type="band1Horz">
      <w:rPr>
        <w:rFonts w:ascii="Arial" w:hAnsi="Arial"/>
        <w:color w:val="404040"/>
        <w:sz w:val="22"/>
      </w:rPr>
      <w:tblPr/>
      <w:tcPr>
        <w:shd w:color="BFBFBF" w:fill="BFBFBF" w:themeColor="text1" w:themeFill="text1" w:themeFillTint="40" w:themeTint="40" w:val="clear"/>
      </w:tcPr>
    </w:tblStylePr>
  </w:style>
  <w:style w:styleId="ListTable2-Accent1" w:type="table">
    <w:name w:val="List Table 2 Accent 1"/>
    <w:basedOn w:val="TableNormal"/>
    <w:uiPriority w:val="99"/>
    <w:pPr>
      <w:spacing w:after="0"/>
    </w:pPr>
    <w:tblPr>
      <w:tblStyleRowBandSize w:val="1"/>
      <w:tblStyleColBandSize w:val="1"/>
      <w:tblBorders>
        <w:top w:color="9BB7D9" w:space="0" w:sz="4" w:themeColor="accent1" w:themeTint="90" w:val="single"/>
        <w:bottom w:color="9BB7D9" w:space="0" w:sz="4" w:themeColor="accent1" w:themeTint="90" w:val="single"/>
        <w:insideH w:color="9BB7D9" w:space="0" w:sz="4" w:themeColor="accent1" w:themeTint="90" w:val="single"/>
      </w:tblBorders>
    </w:tblPr>
    <w:tblStylePr w:type="firstRow">
      <w:rPr>
        <w:rFonts w:ascii="Arial" w:hAnsi="Arial"/>
        <w:b/>
        <w:color w:val="404040"/>
        <w:sz w:val="22"/>
      </w:rPr>
      <w:tblPr/>
      <w:tcPr>
        <w:tcBorders>
          <w:top w:color="9BB7D9" w:space="0" w:sz="4" w:themeColor="accent1" w:themeTint="90" w:val="single"/>
          <w:left w:color="000000" w:space="0" w:sz="4" w:val="none"/>
          <w:bottom w:color="9BB7D9" w:space="0" w:sz="4" w:themeColor="accent1" w:themeTint="90" w:val="single"/>
          <w:right w:color="000000" w:space="0" w:sz="4" w:val="none"/>
        </w:tcBorders>
      </w:tcPr>
    </w:tblStylePr>
    <w:tblStylePr w:type="lastRow">
      <w:rPr>
        <w:rFonts w:ascii="Arial" w:hAnsi="Arial"/>
        <w:b/>
        <w:color w:val="404040"/>
        <w:sz w:val="22"/>
      </w:rPr>
      <w:tblPr/>
      <w:tcPr>
        <w:tcBorders>
          <w:top w:color="9BB7D9" w:space="0" w:sz="4" w:themeColor="accent1" w:themeTint="90" w:val="single"/>
          <w:left w:color="000000" w:space="0" w:sz="4" w:val="none"/>
          <w:bottom w:color="9BB7D9" w:space="0" w:sz="4" w:themeColor="accent1"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D2DFEE" w:fill="D2DFEE" w:themeColor="accent1" w:themeFill="accent1" w:themeFillTint="40" w:themeTint="40" w:val="clear"/>
      </w:tcPr>
    </w:tblStylePr>
    <w:tblStylePr w:type="band1Horz">
      <w:rPr>
        <w:rFonts w:ascii="Arial" w:hAnsi="Arial"/>
        <w:color w:val="404040"/>
        <w:sz w:val="22"/>
      </w:rPr>
      <w:tblPr/>
      <w:tcPr>
        <w:shd w:color="D2DFEE" w:fill="D2DFEE" w:themeColor="accent1" w:themeFill="accent1" w:themeFillTint="40" w:themeTint="40" w:val="clear"/>
      </w:tcPr>
    </w:tblStylePr>
  </w:style>
  <w:style w:styleId="ListTable2-Accent2" w:type="table">
    <w:name w:val="List Table 2 Accent 2"/>
    <w:basedOn w:val="TableNormal"/>
    <w:uiPriority w:val="99"/>
    <w:pPr>
      <w:spacing w:after="0"/>
    </w:pPr>
    <w:tblPr>
      <w:tblStyleRowBandSize w:val="1"/>
      <w:tblStyleColBandSize w:val="1"/>
      <w:tblBorders>
        <w:top w:color="DB9B9A" w:space="0" w:sz="4" w:themeColor="accent2" w:themeTint="90" w:val="single"/>
        <w:bottom w:color="DB9B9A" w:space="0" w:sz="4" w:themeColor="accent2" w:themeTint="90" w:val="single"/>
        <w:insideH w:color="DB9B9A" w:space="0" w:sz="4" w:themeColor="accent2" w:themeTint="90" w:val="single"/>
      </w:tblBorders>
    </w:tblPr>
    <w:tblStylePr w:type="firstRow">
      <w:rPr>
        <w:rFonts w:ascii="Arial" w:hAnsi="Arial"/>
        <w:b/>
        <w:color w:val="404040"/>
        <w:sz w:val="22"/>
      </w:rPr>
      <w:tblPr/>
      <w:tcPr>
        <w:tcBorders>
          <w:top w:color="DB9B9A" w:space="0" w:sz="4" w:themeColor="accent2" w:themeTint="90" w:val="single"/>
          <w:left w:color="000000" w:space="0" w:sz="4" w:val="none"/>
          <w:bottom w:color="DB9B9A" w:space="0" w:sz="4" w:themeColor="accent2" w:themeTint="90" w:val="single"/>
          <w:right w:color="000000" w:space="0" w:sz="4" w:val="none"/>
        </w:tcBorders>
      </w:tcPr>
    </w:tblStylePr>
    <w:tblStylePr w:type="lastRow">
      <w:rPr>
        <w:rFonts w:ascii="Arial" w:hAnsi="Arial"/>
        <w:b/>
        <w:color w:val="404040"/>
        <w:sz w:val="22"/>
      </w:rPr>
      <w:tblPr/>
      <w:tcPr>
        <w:tcBorders>
          <w:top w:color="DB9B9A" w:space="0" w:sz="4" w:themeColor="accent2" w:themeTint="90" w:val="single"/>
          <w:left w:color="000000" w:space="0" w:sz="4" w:val="none"/>
          <w:bottom w:color="DB9B9A" w:space="0" w:sz="4" w:themeColor="accent2"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EFD2D2" w:fill="EFD2D2" w:themeColor="accent2" w:themeFill="accent2" w:themeFillTint="40" w:themeTint="40" w:val="clear"/>
      </w:tcPr>
    </w:tblStylePr>
    <w:tblStylePr w:type="band1Horz">
      <w:rPr>
        <w:rFonts w:ascii="Arial" w:hAnsi="Arial"/>
        <w:color w:val="404040"/>
        <w:sz w:val="22"/>
      </w:rPr>
      <w:tblPr/>
      <w:tcPr>
        <w:shd w:color="EFD2D2" w:fill="EFD2D2" w:themeColor="accent2" w:themeFill="accent2" w:themeFillTint="40" w:themeTint="40" w:val="clear"/>
      </w:tcPr>
    </w:tblStylePr>
  </w:style>
  <w:style w:styleId="ListTable2-Accent3" w:type="table">
    <w:name w:val="List Table 2 Accent 3"/>
    <w:basedOn w:val="TableNormal"/>
    <w:uiPriority w:val="99"/>
    <w:pPr>
      <w:spacing w:after="0"/>
    </w:pPr>
    <w:tblPr>
      <w:tblStyleRowBandSize w:val="1"/>
      <w:tblStyleColBandSize w:val="1"/>
      <w:tblBorders>
        <w:top w:color="C6D8A1" w:space="0" w:sz="4" w:themeColor="accent3" w:themeTint="90" w:val="single"/>
        <w:bottom w:color="C6D8A1" w:space="0" w:sz="4" w:themeColor="accent3" w:themeTint="90" w:val="single"/>
        <w:insideH w:color="C6D8A1" w:space="0" w:sz="4" w:themeColor="accent3" w:themeTint="90" w:val="single"/>
      </w:tblBorders>
    </w:tblPr>
    <w:tblStylePr w:type="firstRow">
      <w:rPr>
        <w:rFonts w:ascii="Arial" w:hAnsi="Arial"/>
        <w:b/>
        <w:color w:val="404040"/>
        <w:sz w:val="22"/>
      </w:rPr>
      <w:tblPr/>
      <w:tcPr>
        <w:tcBorders>
          <w:top w:color="C6D8A1" w:space="0" w:sz="4" w:themeColor="accent3" w:themeTint="90" w:val="single"/>
          <w:left w:color="000000" w:space="0" w:sz="4" w:val="none"/>
          <w:bottom w:color="C6D8A1" w:space="0" w:sz="4" w:themeColor="accent3" w:themeTint="90" w:val="single"/>
          <w:right w:color="000000" w:space="0" w:sz="4" w:val="none"/>
        </w:tcBorders>
      </w:tcPr>
    </w:tblStylePr>
    <w:tblStylePr w:type="lastRow">
      <w:rPr>
        <w:rFonts w:ascii="Arial" w:hAnsi="Arial"/>
        <w:b/>
        <w:color w:val="404040"/>
        <w:sz w:val="22"/>
      </w:rPr>
      <w:tblPr/>
      <w:tcPr>
        <w:tcBorders>
          <w:top w:color="C6D8A1" w:space="0" w:sz="4" w:themeColor="accent3" w:themeTint="90" w:val="single"/>
          <w:left w:color="000000" w:space="0" w:sz="4" w:val="none"/>
          <w:bottom w:color="C6D8A1" w:space="0" w:sz="4" w:themeColor="accent3"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E5EED5" w:fill="E5EED5" w:themeColor="accent3" w:themeFill="accent3" w:themeFillTint="40" w:themeTint="40" w:val="clear"/>
      </w:tcPr>
    </w:tblStylePr>
    <w:tblStylePr w:type="band1Horz">
      <w:rPr>
        <w:rFonts w:ascii="Arial" w:hAnsi="Arial"/>
        <w:color w:val="404040"/>
        <w:sz w:val="22"/>
      </w:rPr>
      <w:tblPr/>
      <w:tcPr>
        <w:shd w:color="E5EED5" w:fill="E5EED5" w:themeColor="accent3" w:themeFill="accent3" w:themeFillTint="40" w:themeTint="40" w:val="clear"/>
      </w:tcPr>
    </w:tblStylePr>
  </w:style>
  <w:style w:styleId="ListTable2-Accent4" w:type="table">
    <w:name w:val="List Table 2 Accent 4"/>
    <w:basedOn w:val="TableNormal"/>
    <w:uiPriority w:val="99"/>
    <w:pPr>
      <w:spacing w:after="0"/>
    </w:pPr>
    <w:tblPr>
      <w:tblStyleRowBandSize w:val="1"/>
      <w:tblStyleColBandSize w:val="1"/>
      <w:tblBorders>
        <w:top w:color="B7A7CA" w:space="0" w:sz="4" w:themeColor="accent4" w:themeTint="90" w:val="single"/>
        <w:bottom w:color="B7A7CA" w:space="0" w:sz="4" w:themeColor="accent4" w:themeTint="90" w:val="single"/>
        <w:insideH w:color="B7A7CA" w:space="0" w:sz="4" w:themeColor="accent4" w:themeTint="90" w:val="single"/>
      </w:tblBorders>
    </w:tblPr>
    <w:tblStylePr w:type="firstRow">
      <w:rPr>
        <w:rFonts w:ascii="Arial" w:hAnsi="Arial"/>
        <w:b/>
        <w:color w:val="404040"/>
        <w:sz w:val="22"/>
      </w:rPr>
      <w:tblPr/>
      <w:tcPr>
        <w:tcBorders>
          <w:top w:color="B7A7CA" w:space="0" w:sz="4" w:themeColor="accent4" w:themeTint="90" w:val="single"/>
          <w:left w:color="000000" w:space="0" w:sz="4" w:val="none"/>
          <w:bottom w:color="B7A7CA" w:space="0" w:sz="4" w:themeColor="accent4" w:themeTint="90" w:val="single"/>
          <w:right w:color="000000" w:space="0" w:sz="4" w:val="none"/>
        </w:tcBorders>
      </w:tcPr>
    </w:tblStylePr>
    <w:tblStylePr w:type="lastRow">
      <w:rPr>
        <w:rFonts w:ascii="Arial" w:hAnsi="Arial"/>
        <w:b/>
        <w:color w:val="404040"/>
        <w:sz w:val="22"/>
      </w:rPr>
      <w:tblPr/>
      <w:tcPr>
        <w:tcBorders>
          <w:top w:color="B7A7CA" w:space="0" w:sz="4" w:themeColor="accent4" w:themeTint="90" w:val="single"/>
          <w:left w:color="000000" w:space="0" w:sz="4" w:val="none"/>
          <w:bottom w:color="B7A7CA" w:space="0" w:sz="4" w:themeColor="accent4"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DFD8E7" w:fill="DFD8E7" w:themeColor="accent4" w:themeFill="accent4" w:themeFillTint="40" w:themeTint="40" w:val="clear"/>
      </w:tcPr>
    </w:tblStylePr>
    <w:tblStylePr w:type="band1Horz">
      <w:rPr>
        <w:rFonts w:ascii="Arial" w:hAnsi="Arial"/>
        <w:color w:val="404040"/>
        <w:sz w:val="22"/>
      </w:rPr>
      <w:tblPr/>
      <w:tcPr>
        <w:shd w:color="DFD8E7" w:fill="DFD8E7" w:themeColor="accent4" w:themeFill="accent4" w:themeFillTint="40" w:themeTint="40" w:val="clear"/>
      </w:tcPr>
    </w:tblStylePr>
  </w:style>
  <w:style w:styleId="ListTable2-Accent5" w:type="table">
    <w:name w:val="List Table 2 Accent 5"/>
    <w:basedOn w:val="TableNormal"/>
    <w:uiPriority w:val="99"/>
    <w:pPr>
      <w:spacing w:after="0"/>
    </w:pPr>
    <w:tblPr>
      <w:tblStyleRowBandSize w:val="1"/>
      <w:tblStyleColBandSize w:val="1"/>
      <w:tblBorders>
        <w:top w:color="99D0DE" w:space="0" w:sz="4" w:themeColor="accent5" w:themeTint="90" w:val="single"/>
        <w:bottom w:color="99D0DE" w:space="0" w:sz="4" w:themeColor="accent5" w:themeTint="90" w:val="single"/>
        <w:insideH w:color="99D0DE" w:space="0" w:sz="4" w:themeColor="accent5" w:themeTint="90" w:val="single"/>
      </w:tblBorders>
    </w:tblPr>
    <w:tblStylePr w:type="firstRow">
      <w:rPr>
        <w:rFonts w:ascii="Arial" w:hAnsi="Arial"/>
        <w:b/>
        <w:color w:val="404040"/>
        <w:sz w:val="22"/>
      </w:rPr>
      <w:tblPr/>
      <w:tcPr>
        <w:tcBorders>
          <w:top w:color="99D0DE" w:space="0" w:sz="4" w:themeColor="accent5" w:themeTint="90" w:val="single"/>
          <w:left w:color="000000" w:space="0" w:sz="4" w:val="none"/>
          <w:bottom w:color="99D0DE" w:space="0" w:sz="4" w:themeColor="accent5" w:themeTint="90" w:val="single"/>
          <w:right w:color="000000" w:space="0" w:sz="4" w:val="none"/>
        </w:tcBorders>
      </w:tcPr>
    </w:tblStylePr>
    <w:tblStylePr w:type="lastRow">
      <w:rPr>
        <w:rFonts w:ascii="Arial" w:hAnsi="Arial"/>
        <w:b/>
        <w:color w:val="404040"/>
        <w:sz w:val="22"/>
      </w:rPr>
      <w:tblPr/>
      <w:tcPr>
        <w:tcBorders>
          <w:top w:color="99D0DE" w:space="0" w:sz="4" w:themeColor="accent5" w:themeTint="90" w:val="single"/>
          <w:left w:color="000000" w:space="0" w:sz="4" w:val="none"/>
          <w:bottom w:color="99D0DE" w:space="0" w:sz="4" w:themeColor="accent5"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D1EAF0" w:fill="D1EAF0" w:themeColor="accent5" w:themeFill="accent5" w:themeFillTint="40" w:themeTint="40" w:val="clear"/>
      </w:tcPr>
    </w:tblStylePr>
    <w:tblStylePr w:type="band1Horz">
      <w:rPr>
        <w:rFonts w:ascii="Arial" w:hAnsi="Arial"/>
        <w:color w:val="404040"/>
        <w:sz w:val="22"/>
      </w:rPr>
      <w:tblPr/>
      <w:tcPr>
        <w:shd w:color="D1EAF0" w:fill="D1EAF0" w:themeColor="accent5" w:themeFill="accent5" w:themeFillTint="40" w:themeTint="40" w:val="clear"/>
      </w:tcPr>
    </w:tblStylePr>
  </w:style>
  <w:style w:styleId="ListTable2-Accent6" w:type="table">
    <w:name w:val="List Table 2 Accent 6"/>
    <w:basedOn w:val="TableNormal"/>
    <w:uiPriority w:val="99"/>
    <w:pPr>
      <w:spacing w:after="0"/>
    </w:pPr>
    <w:tblPr>
      <w:tblStyleRowBandSize w:val="1"/>
      <w:tblStyleColBandSize w:val="1"/>
      <w:tblBorders>
        <w:top w:color="FAC396" w:space="0" w:sz="4" w:themeColor="accent6" w:themeTint="90" w:val="single"/>
        <w:bottom w:color="FAC396" w:space="0" w:sz="4" w:themeColor="accent6" w:themeTint="90" w:val="single"/>
        <w:insideH w:color="FAC396" w:space="0" w:sz="4" w:themeColor="accent6" w:themeTint="90" w:val="single"/>
      </w:tblBorders>
    </w:tblPr>
    <w:tblStylePr w:type="firstRow">
      <w:rPr>
        <w:rFonts w:ascii="Arial" w:hAnsi="Arial"/>
        <w:b/>
        <w:color w:val="404040"/>
        <w:sz w:val="22"/>
      </w:rPr>
      <w:tblPr/>
      <w:tcPr>
        <w:tcBorders>
          <w:top w:color="FAC396" w:space="0" w:sz="4" w:themeColor="accent6" w:themeTint="90" w:val="single"/>
          <w:left w:color="000000" w:space="0" w:sz="4" w:val="none"/>
          <w:bottom w:color="FAC396" w:space="0" w:sz="4" w:themeColor="accent6" w:themeTint="90" w:val="single"/>
          <w:right w:color="000000" w:space="0" w:sz="4" w:val="none"/>
        </w:tcBorders>
      </w:tcPr>
    </w:tblStylePr>
    <w:tblStylePr w:type="lastRow">
      <w:rPr>
        <w:rFonts w:ascii="Arial" w:hAnsi="Arial"/>
        <w:b/>
        <w:color w:val="404040"/>
        <w:sz w:val="22"/>
      </w:rPr>
      <w:tblPr/>
      <w:tcPr>
        <w:tcBorders>
          <w:top w:color="FAC396" w:space="0" w:sz="4" w:themeColor="accent6" w:themeTint="90" w:val="single"/>
          <w:left w:color="000000" w:space="0" w:sz="4" w:val="none"/>
          <w:bottom w:color="FAC396" w:space="0" w:sz="4" w:themeColor="accent6" w:themeTint="90" w:val="single"/>
          <w:right w:color="000000" w:space="0" w:sz="4" w:val="none"/>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color="FDE4D0" w:fill="FDE4D0" w:themeColor="accent6" w:themeFill="accent6" w:themeFillTint="40" w:themeTint="40" w:val="clear"/>
      </w:tcPr>
    </w:tblStylePr>
    <w:tblStylePr w:type="band1Horz">
      <w:rPr>
        <w:rFonts w:ascii="Arial" w:hAnsi="Arial"/>
        <w:color w:val="404040"/>
        <w:sz w:val="22"/>
      </w:rPr>
      <w:tblPr/>
      <w:tcPr>
        <w:shd w:color="FDE4D0" w:fill="FDE4D0" w:themeColor="accent6" w:themeFill="accent6" w:themeFillTint="40" w:themeTint="40" w:val="clear"/>
      </w:tcPr>
    </w:tblStylePr>
  </w:style>
  <w:style w:styleId="ListTable3" w:type="table">
    <w:name w:val="List Table 3"/>
    <w:basedOn w:val="TableNormal"/>
    <w:uiPriority w:val="99"/>
    <w:pPr>
      <w:spacing w:after="0"/>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rFonts w:ascii="Arial" w:hAnsi="Arial"/>
        <w:b/>
        <w:color w:val="FFFFFF"/>
        <w:sz w:val="22"/>
      </w:rPr>
      <w:tblPr/>
      <w:tcPr>
        <w:shd w:color="000000" w:fill="000000" w:themeColor="text1" w:themeFill="text1"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000000" w:space="0" w:sz="4" w:themeColor="text1" w:val="single"/>
          <w:right w:color="000000" w:space="0" w:sz="4" w:themeColor="text1" w:val="single"/>
        </w:tcBorders>
      </w:tcPr>
    </w:tblStylePr>
    <w:tblStylePr w:type="band1Horz">
      <w:rPr>
        <w:rFonts w:ascii="Arial" w:hAnsi="Arial"/>
        <w:color w:val="404040"/>
        <w:sz w:val="22"/>
      </w:rPr>
      <w:tblPr/>
      <w:tcPr>
        <w:tcBorders>
          <w:top w:color="000000" w:space="0" w:sz="4" w:themeColor="text1" w:val="single"/>
          <w:bottom w:color="000000" w:space="0" w:sz="4" w:themeColor="text1" w:val="single"/>
        </w:tcBorders>
      </w:tcPr>
    </w:tblStylePr>
  </w:style>
  <w:style w:styleId="ListTable3-Accent1" w:type="table">
    <w:name w:val="List Table 3 Accent 1"/>
    <w:basedOn w:val="TableNormal"/>
    <w:uiPriority w:val="99"/>
    <w:pPr>
      <w:spacing w:after="0"/>
    </w:pPr>
    <w:tblPr>
      <w:tblStyleRowBandSize w:val="1"/>
      <w:tblStyleColBandSize w:val="1"/>
      <w:tblBorders>
        <w:top w:color="4F81BD" w:space="0" w:sz="4" w:themeColor="accent1" w:val="single"/>
        <w:left w:color="4F81BD" w:space="0" w:sz="4" w:themeColor="accent1" w:val="single"/>
        <w:bottom w:color="4F81BD" w:space="0" w:sz="4" w:themeColor="accent1" w:val="single"/>
        <w:right w:color="4F81BD" w:space="0" w:sz="4" w:themeColor="accent1" w:val="single"/>
      </w:tblBorders>
    </w:tblPr>
    <w:tblStylePr w:type="firstRow">
      <w:rPr>
        <w:rFonts w:ascii="Arial" w:hAnsi="Arial"/>
        <w:b/>
        <w:color w:val="FFFFFF"/>
        <w:sz w:val="22"/>
      </w:rPr>
      <w:tblPr/>
      <w:tcPr>
        <w:shd w:color="4F81BD" w:fill="4F81BD" w:themeColor="accent1" w:themeFill="accent1"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4F81BD" w:space="0" w:sz="4" w:themeColor="accent1" w:val="single"/>
          <w:right w:color="4F81BD" w:space="0" w:sz="4" w:themeColor="accent1" w:val="single"/>
        </w:tcBorders>
      </w:tcPr>
    </w:tblStylePr>
    <w:tblStylePr w:type="band1Horz">
      <w:rPr>
        <w:rFonts w:ascii="Arial" w:hAnsi="Arial"/>
        <w:color w:val="404040"/>
        <w:sz w:val="22"/>
      </w:rPr>
      <w:tblPr/>
      <w:tcPr>
        <w:tcBorders>
          <w:top w:color="4F81BD" w:space="0" w:sz="4" w:themeColor="accent1" w:val="single"/>
          <w:bottom w:color="4F81BD" w:space="0" w:sz="4" w:themeColor="accent1" w:val="single"/>
        </w:tcBorders>
      </w:tcPr>
    </w:tblStylePr>
  </w:style>
  <w:style w:styleId="ListTable3-Accent2" w:type="table">
    <w:name w:val="List Table 3 Accent 2"/>
    <w:basedOn w:val="TableNormal"/>
    <w:uiPriority w:val="99"/>
    <w:pPr>
      <w:spacing w:after="0"/>
    </w:pPr>
    <w:tblPr>
      <w:tblStyleRowBandSize w:val="1"/>
      <w:tblStyleColBandSize w:val="1"/>
      <w:tblBorders>
        <w:top w:color="D99695" w:space="0" w:sz="4" w:themeColor="accent2" w:themeTint="97" w:val="single"/>
        <w:left w:color="D99695" w:space="0" w:sz="4" w:themeColor="accent2" w:themeTint="97" w:val="single"/>
        <w:bottom w:color="D99695" w:space="0" w:sz="4" w:themeColor="accent2" w:themeTint="97" w:val="single"/>
        <w:right w:color="D99695" w:space="0" w:sz="4" w:themeColor="accent2" w:themeTint="97" w:val="single"/>
      </w:tblBorders>
    </w:tblPr>
    <w:tblStylePr w:type="firstRow">
      <w:rPr>
        <w:rFonts w:ascii="Arial" w:hAnsi="Arial"/>
        <w:b/>
        <w:color w:val="FFFFFF"/>
        <w:sz w:val="22"/>
      </w:rPr>
      <w:tblPr/>
      <w:tcPr>
        <w:shd w:color="D99695" w:fill="D99695" w:themeColor="accent2" w:themeFill="accent2" w:themeFillTint="97" w:themeTint="97"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D99695" w:space="0" w:sz="4" w:themeColor="accent2" w:themeTint="97" w:val="single"/>
          <w:right w:color="D99695" w:space="0" w:sz="4" w:themeColor="accent2" w:themeTint="97" w:val="single"/>
        </w:tcBorders>
      </w:tcPr>
    </w:tblStylePr>
    <w:tblStylePr w:type="band1Horz">
      <w:rPr>
        <w:rFonts w:ascii="Arial" w:hAnsi="Arial"/>
        <w:color w:val="404040"/>
        <w:sz w:val="22"/>
      </w:rPr>
      <w:tblPr/>
      <w:tcPr>
        <w:tcBorders>
          <w:top w:color="D99695" w:space="0" w:sz="4" w:themeColor="accent2" w:themeTint="97" w:val="single"/>
          <w:bottom w:color="D99695" w:space="0" w:sz="4" w:themeColor="accent2" w:themeTint="97" w:val="single"/>
        </w:tcBorders>
      </w:tcPr>
    </w:tblStylePr>
  </w:style>
  <w:style w:styleId="ListTable3-Accent3" w:type="table">
    <w:name w:val="List Table 3 Accent 3"/>
    <w:basedOn w:val="TableNormal"/>
    <w:uiPriority w:val="99"/>
    <w:pPr>
      <w:spacing w:after="0"/>
    </w:pPr>
    <w:tblPr>
      <w:tblStyleRowBandSize w:val="1"/>
      <w:tblStyleColBandSize w:val="1"/>
      <w:tblBorders>
        <w:top w:color="C3D69B" w:space="0" w:sz="4" w:themeColor="accent3" w:themeTint="98" w:val="single"/>
        <w:left w:color="C3D69B" w:space="0" w:sz="4" w:themeColor="accent3" w:themeTint="98" w:val="single"/>
        <w:bottom w:color="C3D69B" w:space="0" w:sz="4" w:themeColor="accent3" w:themeTint="98" w:val="single"/>
        <w:right w:color="C3D69B" w:space="0" w:sz="4" w:themeColor="accent3" w:themeTint="98" w:val="single"/>
      </w:tblBorders>
    </w:tblPr>
    <w:tblStylePr w:type="firstRow">
      <w:rPr>
        <w:rFonts w:ascii="Arial" w:hAnsi="Arial"/>
        <w:b/>
        <w:color w:val="FFFFFF"/>
        <w:sz w:val="22"/>
      </w:rPr>
      <w:tblPr/>
      <w:tcPr>
        <w:shd w:color="C3D69B" w:fill="C3D69B" w:themeColor="accent3" w:themeFill="accent3" w:themeFillTint="98" w:themeTint="98"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C3D69B" w:space="0" w:sz="4" w:themeColor="accent3" w:themeTint="98" w:val="single"/>
          <w:right w:color="C3D69B" w:space="0" w:sz="4" w:themeColor="accent3" w:themeTint="98" w:val="single"/>
        </w:tcBorders>
      </w:tcPr>
    </w:tblStylePr>
    <w:tblStylePr w:type="band1Horz">
      <w:rPr>
        <w:rFonts w:ascii="Arial" w:hAnsi="Arial"/>
        <w:color w:val="404040"/>
        <w:sz w:val="22"/>
      </w:rPr>
      <w:tblPr/>
      <w:tcPr>
        <w:tcBorders>
          <w:top w:color="C3D69B" w:space="0" w:sz="4" w:themeColor="accent3" w:themeTint="98" w:val="single"/>
          <w:bottom w:color="C3D69B" w:space="0" w:sz="4" w:themeColor="accent3" w:themeTint="98" w:val="single"/>
        </w:tcBorders>
      </w:tcPr>
    </w:tblStylePr>
  </w:style>
  <w:style w:styleId="ListTable3-Accent4" w:type="table">
    <w:name w:val="List Table 3 Accent 4"/>
    <w:basedOn w:val="TableNormal"/>
    <w:uiPriority w:val="99"/>
    <w:pPr>
      <w:spacing w:after="0"/>
    </w:pPr>
    <w:tblPr>
      <w:tblStyleRowBandSize w:val="1"/>
      <w:tblStyleColBandSize w:val="1"/>
      <w:tblBorders>
        <w:top w:color="B2A1C6" w:space="0" w:sz="4" w:themeColor="accent4" w:themeTint="9A" w:val="single"/>
        <w:left w:color="B2A1C6" w:space="0" w:sz="4" w:themeColor="accent4" w:themeTint="9A" w:val="single"/>
        <w:bottom w:color="B2A1C6" w:space="0" w:sz="4" w:themeColor="accent4" w:themeTint="9A" w:val="single"/>
        <w:right w:color="B2A1C6" w:space="0" w:sz="4" w:themeColor="accent4" w:themeTint="9A" w:val="single"/>
      </w:tblBorders>
    </w:tblPr>
    <w:tblStylePr w:type="firstRow">
      <w:rPr>
        <w:rFonts w:ascii="Arial" w:hAnsi="Arial"/>
        <w:b/>
        <w:color w:val="FFFFFF"/>
        <w:sz w:val="22"/>
      </w:rPr>
      <w:tblPr/>
      <w:tcPr>
        <w:shd w:color="B2A1C6" w:fill="B2A1C6" w:themeColor="accent4" w:themeFill="accent4" w:themeFillTint="9A" w:themeTint="9A"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B2A1C6" w:space="0" w:sz="4" w:themeColor="accent4" w:themeTint="9A" w:val="single"/>
          <w:right w:color="B2A1C6" w:space="0" w:sz="4" w:themeColor="accent4" w:themeTint="9A" w:val="single"/>
        </w:tcBorders>
      </w:tcPr>
    </w:tblStylePr>
    <w:tblStylePr w:type="band1Horz">
      <w:rPr>
        <w:rFonts w:ascii="Arial" w:hAnsi="Arial"/>
        <w:color w:val="404040"/>
        <w:sz w:val="22"/>
      </w:rPr>
      <w:tblPr/>
      <w:tcPr>
        <w:tcBorders>
          <w:top w:color="B2A1C6" w:space="0" w:sz="4" w:themeColor="accent4" w:themeTint="9A" w:val="single"/>
          <w:bottom w:color="B2A1C6" w:space="0" w:sz="4" w:themeColor="accent4" w:themeTint="9A" w:val="single"/>
        </w:tcBorders>
      </w:tcPr>
    </w:tblStylePr>
  </w:style>
  <w:style w:styleId="ListTable3-Accent5" w:type="table">
    <w:name w:val="List Table 3 Accent 5"/>
    <w:basedOn w:val="TableNormal"/>
    <w:uiPriority w:val="99"/>
    <w:pPr>
      <w:spacing w:after="0"/>
    </w:pPr>
    <w:tblPr>
      <w:tblStyleRowBandSize w:val="1"/>
      <w:tblStyleColBandSize w:val="1"/>
      <w:tblBorders>
        <w:top w:color="92CCDC" w:space="0" w:sz="4" w:themeColor="accent5" w:themeTint="9A" w:val="single"/>
        <w:left w:color="92CCDC" w:space="0" w:sz="4" w:themeColor="accent5" w:themeTint="9A" w:val="single"/>
        <w:bottom w:color="92CCDC" w:space="0" w:sz="4" w:themeColor="accent5" w:themeTint="9A" w:val="single"/>
        <w:right w:color="92CCDC" w:space="0" w:sz="4" w:themeColor="accent5" w:themeTint="9A" w:val="single"/>
      </w:tblBorders>
    </w:tblPr>
    <w:tblStylePr w:type="firstRow">
      <w:rPr>
        <w:rFonts w:ascii="Arial" w:hAnsi="Arial"/>
        <w:b/>
        <w:color w:val="FFFFFF"/>
        <w:sz w:val="22"/>
      </w:rPr>
      <w:tblPr/>
      <w:tcPr>
        <w:shd w:color="92CCDC" w:fill="92CCDC" w:themeColor="accent5" w:themeFill="accent5" w:themeFillTint="9A" w:themeTint="9A"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92CCDC" w:space="0" w:sz="4" w:themeColor="accent5" w:themeTint="9A" w:val="single"/>
          <w:right w:color="92CCDC" w:space="0" w:sz="4" w:themeColor="accent5" w:themeTint="9A" w:val="single"/>
        </w:tcBorders>
      </w:tcPr>
    </w:tblStylePr>
    <w:tblStylePr w:type="band1Horz">
      <w:rPr>
        <w:rFonts w:ascii="Arial" w:hAnsi="Arial"/>
        <w:color w:val="404040"/>
        <w:sz w:val="22"/>
      </w:rPr>
      <w:tblPr/>
      <w:tcPr>
        <w:tcBorders>
          <w:top w:color="92CCDC" w:space="0" w:sz="4" w:themeColor="accent5" w:themeTint="9A" w:val="single"/>
          <w:bottom w:color="92CCDC" w:space="0" w:sz="4" w:themeColor="accent5" w:themeTint="9A" w:val="single"/>
        </w:tcBorders>
      </w:tcPr>
    </w:tblStylePr>
  </w:style>
  <w:style w:styleId="ListTable3-Accent6" w:type="table">
    <w:name w:val="List Table 3 Accent 6"/>
    <w:basedOn w:val="TableNormal"/>
    <w:uiPriority w:val="99"/>
    <w:pPr>
      <w:spacing w:after="0"/>
    </w:pPr>
    <w:tblPr>
      <w:tblStyleRowBandSize w:val="1"/>
      <w:tblStyleColBandSize w:val="1"/>
      <w:tblBorders>
        <w:top w:color="FAC090" w:space="0" w:sz="4" w:themeColor="accent6" w:themeTint="98" w:val="single"/>
        <w:left w:color="FAC090" w:space="0" w:sz="4" w:themeColor="accent6" w:themeTint="98" w:val="single"/>
        <w:bottom w:color="FAC090" w:space="0" w:sz="4" w:themeColor="accent6" w:themeTint="98" w:val="single"/>
        <w:right w:color="FAC090" w:space="0" w:sz="4" w:themeColor="accent6" w:themeTint="98" w:val="single"/>
      </w:tblBorders>
    </w:tblPr>
    <w:tblStylePr w:type="firstRow">
      <w:rPr>
        <w:rFonts w:ascii="Arial" w:hAnsi="Arial"/>
        <w:b/>
        <w:color w:val="FFFFFF"/>
        <w:sz w:val="22"/>
      </w:rPr>
      <w:tblPr/>
      <w:tcPr>
        <w:shd w:color="FAC090" w:fill="FAC090" w:themeColor="accent6" w:themeFill="accent6" w:themeFillTint="98" w:themeTint="98"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color="FAC090" w:space="0" w:sz="4" w:themeColor="accent6" w:themeTint="98" w:val="single"/>
          <w:right w:color="FAC090" w:space="0" w:sz="4" w:themeColor="accent6" w:themeTint="98" w:val="single"/>
        </w:tcBorders>
      </w:tcPr>
    </w:tblStylePr>
    <w:tblStylePr w:type="band1Horz">
      <w:rPr>
        <w:rFonts w:ascii="Arial" w:hAnsi="Arial"/>
        <w:color w:val="404040"/>
        <w:sz w:val="22"/>
      </w:rPr>
      <w:tblPr/>
      <w:tcPr>
        <w:tcBorders>
          <w:top w:color="FAC090" w:space="0" w:sz="4" w:themeColor="accent6" w:themeTint="98" w:val="single"/>
          <w:bottom w:color="FAC090" w:space="0" w:sz="4" w:themeColor="accent6" w:themeTint="98" w:val="single"/>
        </w:tcBorders>
      </w:tcPr>
    </w:tblStylePr>
  </w:style>
  <w:style w:styleId="ListTable4" w:type="table">
    <w:name w:val="List Table 4"/>
    <w:basedOn w:val="TableNormal"/>
    <w:uiPriority w:val="99"/>
    <w:pPr>
      <w:spacing w:after="0"/>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firstRow">
      <w:rPr>
        <w:rFonts w:ascii="Arial" w:hAnsi="Arial"/>
        <w:b/>
        <w:color w:val="FFFFFF"/>
        <w:sz w:val="22"/>
      </w:rPr>
      <w:tblPr/>
      <w:tcPr>
        <w:shd w:color="000000" w:fill="000000" w:themeColor="text1" w:themeFill="text1"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BFBFBF" w:fill="BFBFBF" w:themeColor="text1" w:themeFill="text1" w:themeFillTint="40" w:themeTint="40" w:val="clear"/>
      </w:tcPr>
    </w:tblStylePr>
    <w:tblStylePr w:type="band1Horz">
      <w:rPr>
        <w:rFonts w:ascii="Arial" w:hAnsi="Arial"/>
        <w:color w:val="404040"/>
        <w:sz w:val="22"/>
      </w:rPr>
      <w:tblPr/>
      <w:tcPr>
        <w:shd w:color="BFBFBF" w:fill="BFBFBF" w:themeColor="text1" w:themeFill="text1" w:themeFillTint="40" w:themeTint="40" w:val="clear"/>
      </w:tcPr>
    </w:tblStylePr>
  </w:style>
  <w:style w:styleId="ListTable4-Accent1" w:type="table">
    <w:name w:val="List Table 4 Accent 1"/>
    <w:basedOn w:val="TableNormal"/>
    <w:uiPriority w:val="99"/>
    <w:pPr>
      <w:spacing w:after="0"/>
    </w:pPr>
    <w:tblPr>
      <w:tblStyleRowBandSize w:val="1"/>
      <w:tblStyleColBandSize w:val="1"/>
      <w:tblBorders>
        <w:top w:color="9BB7D9" w:space="0" w:sz="4" w:themeColor="accent1" w:themeTint="90" w:val="single"/>
        <w:left w:color="9BB7D9" w:space="0" w:sz="4" w:themeColor="accent1" w:themeTint="90" w:val="single"/>
        <w:bottom w:color="9BB7D9" w:space="0" w:sz="4" w:themeColor="accent1" w:themeTint="90" w:val="single"/>
        <w:right w:color="9BB7D9" w:space="0" w:sz="4" w:themeColor="accent1" w:themeTint="90" w:val="single"/>
        <w:insideH w:color="9BB7D9" w:space="0" w:sz="4" w:themeColor="accent1" w:themeTint="90" w:val="single"/>
      </w:tblBorders>
    </w:tblPr>
    <w:tblStylePr w:type="firstRow">
      <w:rPr>
        <w:rFonts w:ascii="Arial" w:hAnsi="Arial"/>
        <w:b/>
        <w:color w:val="FFFFFF"/>
        <w:sz w:val="22"/>
      </w:rPr>
      <w:tblPr/>
      <w:tcPr>
        <w:shd w:color="4F81BD" w:fill="4F81BD" w:themeColor="accent1" w:themeFill="accent1"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D2DFEE" w:fill="D2DFEE" w:themeColor="accent1" w:themeFill="accent1" w:themeFillTint="40" w:themeTint="40" w:val="clear"/>
      </w:tcPr>
    </w:tblStylePr>
    <w:tblStylePr w:type="band1Horz">
      <w:rPr>
        <w:rFonts w:ascii="Arial" w:hAnsi="Arial"/>
        <w:color w:val="404040"/>
        <w:sz w:val="22"/>
      </w:rPr>
      <w:tblPr/>
      <w:tcPr>
        <w:shd w:color="D2DFEE" w:fill="D2DFEE" w:themeColor="accent1" w:themeFill="accent1" w:themeFillTint="40" w:themeTint="40" w:val="clear"/>
      </w:tcPr>
    </w:tblStylePr>
  </w:style>
  <w:style w:styleId="ListTable4-Accent2" w:type="table">
    <w:name w:val="List Table 4 Accent 2"/>
    <w:basedOn w:val="TableNormal"/>
    <w:uiPriority w:val="99"/>
    <w:pPr>
      <w:spacing w:after="0"/>
    </w:pPr>
    <w:tblPr>
      <w:tblStyleRowBandSize w:val="1"/>
      <w:tblStyleColBandSize w:val="1"/>
      <w:tblBorders>
        <w:top w:color="DB9B9A" w:space="0" w:sz="4" w:themeColor="accent2" w:themeTint="90" w:val="single"/>
        <w:left w:color="DB9B9A" w:space="0" w:sz="4" w:themeColor="accent2" w:themeTint="90" w:val="single"/>
        <w:bottom w:color="DB9B9A" w:space="0" w:sz="4" w:themeColor="accent2" w:themeTint="90" w:val="single"/>
        <w:right w:color="DB9B9A" w:space="0" w:sz="4" w:themeColor="accent2" w:themeTint="90" w:val="single"/>
        <w:insideH w:color="DB9B9A" w:space="0" w:sz="4" w:themeColor="accent2" w:themeTint="90" w:val="single"/>
      </w:tblBorders>
    </w:tblPr>
    <w:tblStylePr w:type="firstRow">
      <w:rPr>
        <w:rFonts w:ascii="Arial" w:hAnsi="Arial"/>
        <w:b/>
        <w:color w:val="FFFFFF"/>
        <w:sz w:val="22"/>
      </w:rPr>
      <w:tblPr/>
      <w:tcPr>
        <w:shd w:color="C0504D" w:fill="C0504D" w:themeColor="accent2" w:themeFill="accent2"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EFD2D2" w:fill="EFD2D2" w:themeColor="accent2" w:themeFill="accent2" w:themeFillTint="40" w:themeTint="40" w:val="clear"/>
      </w:tcPr>
    </w:tblStylePr>
    <w:tblStylePr w:type="band1Horz">
      <w:rPr>
        <w:rFonts w:ascii="Arial" w:hAnsi="Arial"/>
        <w:color w:val="404040"/>
        <w:sz w:val="22"/>
      </w:rPr>
      <w:tblPr/>
      <w:tcPr>
        <w:shd w:color="EFD2D2" w:fill="EFD2D2" w:themeColor="accent2" w:themeFill="accent2" w:themeFillTint="40" w:themeTint="40" w:val="clear"/>
      </w:tcPr>
    </w:tblStylePr>
  </w:style>
  <w:style w:styleId="ListTable4-Accent3" w:type="table">
    <w:name w:val="List Table 4 Accent 3"/>
    <w:basedOn w:val="TableNormal"/>
    <w:uiPriority w:val="99"/>
    <w:pPr>
      <w:spacing w:after="0"/>
    </w:pPr>
    <w:tblPr>
      <w:tblStyleRowBandSize w:val="1"/>
      <w:tblStyleColBandSize w:val="1"/>
      <w:tblBorders>
        <w:top w:color="C6D8A1" w:space="0" w:sz="4" w:themeColor="accent3" w:themeTint="90" w:val="single"/>
        <w:left w:color="C6D8A1" w:space="0" w:sz="4" w:themeColor="accent3" w:themeTint="90" w:val="single"/>
        <w:bottom w:color="C6D8A1" w:space="0" w:sz="4" w:themeColor="accent3" w:themeTint="90" w:val="single"/>
        <w:right w:color="C6D8A1" w:space="0" w:sz="4" w:themeColor="accent3" w:themeTint="90" w:val="single"/>
        <w:insideH w:color="C6D8A1" w:space="0" w:sz="4" w:themeColor="accent3" w:themeTint="90" w:val="single"/>
      </w:tblBorders>
    </w:tblPr>
    <w:tblStylePr w:type="firstRow">
      <w:rPr>
        <w:rFonts w:ascii="Arial" w:hAnsi="Arial"/>
        <w:b/>
        <w:color w:val="FFFFFF"/>
        <w:sz w:val="22"/>
      </w:rPr>
      <w:tblPr/>
      <w:tcPr>
        <w:shd w:color="9BBB59" w:fill="9BBB59" w:themeColor="accent3" w:themeFill="accent3"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E5EED5" w:fill="E5EED5" w:themeColor="accent3" w:themeFill="accent3" w:themeFillTint="40" w:themeTint="40" w:val="clear"/>
      </w:tcPr>
    </w:tblStylePr>
    <w:tblStylePr w:type="band1Horz">
      <w:rPr>
        <w:rFonts w:ascii="Arial" w:hAnsi="Arial"/>
        <w:color w:val="404040"/>
        <w:sz w:val="22"/>
      </w:rPr>
      <w:tblPr/>
      <w:tcPr>
        <w:shd w:color="E5EED5" w:fill="E5EED5" w:themeColor="accent3" w:themeFill="accent3" w:themeFillTint="40" w:themeTint="40" w:val="clear"/>
      </w:tcPr>
    </w:tblStylePr>
  </w:style>
  <w:style w:styleId="ListTable4-Accent4" w:type="table">
    <w:name w:val="List Table 4 Accent 4"/>
    <w:basedOn w:val="TableNormal"/>
    <w:uiPriority w:val="99"/>
    <w:pPr>
      <w:spacing w:after="0"/>
    </w:pPr>
    <w:tblPr>
      <w:tblStyleRowBandSize w:val="1"/>
      <w:tblStyleColBandSize w:val="1"/>
      <w:tblBorders>
        <w:top w:color="B7A7CA" w:space="0" w:sz="4" w:themeColor="accent4" w:themeTint="90" w:val="single"/>
        <w:left w:color="B7A7CA" w:space="0" w:sz="4" w:themeColor="accent4" w:themeTint="90" w:val="single"/>
        <w:bottom w:color="B7A7CA" w:space="0" w:sz="4" w:themeColor="accent4" w:themeTint="90" w:val="single"/>
        <w:right w:color="B7A7CA" w:space="0" w:sz="4" w:themeColor="accent4" w:themeTint="90" w:val="single"/>
        <w:insideH w:color="B7A7CA" w:space="0" w:sz="4" w:themeColor="accent4" w:themeTint="90" w:val="single"/>
      </w:tblBorders>
    </w:tblPr>
    <w:tblStylePr w:type="firstRow">
      <w:rPr>
        <w:rFonts w:ascii="Arial" w:hAnsi="Arial"/>
        <w:b/>
        <w:color w:val="FFFFFF"/>
        <w:sz w:val="22"/>
      </w:rPr>
      <w:tblPr/>
      <w:tcPr>
        <w:shd w:color="8064A2" w:fill="8064A2" w:themeColor="accent4" w:themeFill="accent4"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DFD8E7" w:fill="DFD8E7" w:themeColor="accent4" w:themeFill="accent4" w:themeFillTint="40" w:themeTint="40" w:val="clear"/>
      </w:tcPr>
    </w:tblStylePr>
    <w:tblStylePr w:type="band1Horz">
      <w:rPr>
        <w:rFonts w:ascii="Arial" w:hAnsi="Arial"/>
        <w:color w:val="404040"/>
        <w:sz w:val="22"/>
      </w:rPr>
      <w:tblPr/>
      <w:tcPr>
        <w:shd w:color="DFD8E7" w:fill="DFD8E7" w:themeColor="accent4" w:themeFill="accent4" w:themeFillTint="40" w:themeTint="40" w:val="clear"/>
      </w:tcPr>
    </w:tblStylePr>
  </w:style>
  <w:style w:styleId="ListTable4-Accent5" w:type="table">
    <w:name w:val="List Table 4 Accent 5"/>
    <w:basedOn w:val="TableNormal"/>
    <w:uiPriority w:val="99"/>
    <w:pPr>
      <w:spacing w:after="0"/>
    </w:pPr>
    <w:tblPr>
      <w:tblStyleRowBandSize w:val="1"/>
      <w:tblStyleColBandSize w:val="1"/>
      <w:tblBorders>
        <w:top w:color="99D0DE" w:space="0" w:sz="4" w:themeColor="accent5" w:themeTint="90" w:val="single"/>
        <w:left w:color="99D0DE" w:space="0" w:sz="4" w:themeColor="accent5" w:themeTint="90" w:val="single"/>
        <w:bottom w:color="99D0DE" w:space="0" w:sz="4" w:themeColor="accent5" w:themeTint="90" w:val="single"/>
        <w:right w:color="99D0DE" w:space="0" w:sz="4" w:themeColor="accent5" w:themeTint="90" w:val="single"/>
        <w:insideH w:color="99D0DE" w:space="0" w:sz="4" w:themeColor="accent5" w:themeTint="90" w:val="single"/>
      </w:tblBorders>
    </w:tblPr>
    <w:tblStylePr w:type="firstRow">
      <w:rPr>
        <w:rFonts w:ascii="Arial" w:hAnsi="Arial"/>
        <w:b/>
        <w:color w:val="FFFFFF"/>
        <w:sz w:val="22"/>
      </w:rPr>
      <w:tblPr/>
      <w:tcPr>
        <w:shd w:color="4BACC6" w:fill="4BACC6" w:themeColor="accent5" w:themeFill="accent5"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D1EAF0" w:fill="D1EAF0" w:themeColor="accent5" w:themeFill="accent5" w:themeFillTint="40" w:themeTint="40" w:val="clear"/>
      </w:tcPr>
    </w:tblStylePr>
    <w:tblStylePr w:type="band1Horz">
      <w:rPr>
        <w:rFonts w:ascii="Arial" w:hAnsi="Arial"/>
        <w:color w:val="404040"/>
        <w:sz w:val="22"/>
      </w:rPr>
      <w:tblPr/>
      <w:tcPr>
        <w:shd w:color="D1EAF0" w:fill="D1EAF0" w:themeColor="accent5" w:themeFill="accent5" w:themeFillTint="40" w:themeTint="40" w:val="clear"/>
      </w:tcPr>
    </w:tblStylePr>
  </w:style>
  <w:style w:styleId="ListTable4-Accent6" w:type="table">
    <w:name w:val="List Table 4 Accent 6"/>
    <w:basedOn w:val="TableNormal"/>
    <w:uiPriority w:val="99"/>
    <w:pPr>
      <w:spacing w:after="0"/>
    </w:pPr>
    <w:tblPr>
      <w:tblStyleRowBandSize w:val="1"/>
      <w:tblStyleColBandSize w:val="1"/>
      <w:tblBorders>
        <w:top w:color="FAC396" w:space="0" w:sz="4" w:themeColor="accent6" w:themeTint="90" w:val="single"/>
        <w:left w:color="FAC396" w:space="0" w:sz="4" w:themeColor="accent6" w:themeTint="90" w:val="single"/>
        <w:bottom w:color="FAC396" w:space="0" w:sz="4" w:themeColor="accent6" w:themeTint="90" w:val="single"/>
        <w:right w:color="FAC396" w:space="0" w:sz="4" w:themeColor="accent6" w:themeTint="90" w:val="single"/>
        <w:insideH w:color="FAC396" w:space="0" w:sz="4" w:themeColor="accent6" w:themeTint="90" w:val="single"/>
      </w:tblBorders>
    </w:tblPr>
    <w:tblStylePr w:type="firstRow">
      <w:rPr>
        <w:rFonts w:ascii="Arial" w:hAnsi="Arial"/>
        <w:b/>
        <w:color w:val="FFFFFF"/>
        <w:sz w:val="22"/>
      </w:rPr>
      <w:tblPr/>
      <w:tcPr>
        <w:shd w:color="F79646" w:fill="F79646" w:themeColor="accent6" w:themeFill="accent6" w:val="clear"/>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color="FDE4D0" w:fill="FDE4D0" w:themeColor="accent6" w:themeFill="accent6" w:themeFillTint="40" w:themeTint="40" w:val="clear"/>
      </w:tcPr>
    </w:tblStylePr>
    <w:tblStylePr w:type="band1Horz">
      <w:rPr>
        <w:rFonts w:ascii="Arial" w:hAnsi="Arial"/>
        <w:color w:val="404040"/>
        <w:sz w:val="22"/>
      </w:rPr>
      <w:tblPr/>
      <w:tcPr>
        <w:shd w:color="FDE4D0" w:fill="FDE4D0" w:themeColor="accent6" w:themeFill="accent6" w:themeFillTint="40" w:themeTint="40" w:val="clear"/>
      </w:tcPr>
    </w:tblStylePr>
  </w:style>
  <w:style w:styleId="ListTable5Dark" w:type="table">
    <w:name w:val="List Table 5 Dark"/>
    <w:basedOn w:val="TableNormal"/>
    <w:uiPriority w:val="99"/>
    <w:pPr>
      <w:spacing w:after="0"/>
    </w:pPr>
    <w:tblPr>
      <w:tblStyleRowBandSize w:val="1"/>
      <w:tblStyleColBandSize w:val="1"/>
      <w:tblBorders>
        <w:top w:color="7F7F7F" w:space="0" w:sz="32" w:themeColor="text1" w:themeTint="80" w:val="single"/>
        <w:left w:color="7F7F7F" w:space="0" w:sz="32" w:themeColor="text1" w:themeTint="80" w:val="single"/>
        <w:bottom w:color="7F7F7F" w:space="0" w:sz="32" w:themeColor="text1" w:themeTint="80" w:val="single"/>
        <w:right w:color="7F7F7F" w:space="0" w:sz="32" w:themeColor="text1" w:themeTint="80" w:val="single"/>
      </w:tblBorders>
      <w:shd w:color="7F7F7F" w:fill="7F7F7F" w:themeColor="text1" w:themeFill="text1" w:themeFillTint="80" w:themeTint="80" w:val="clear"/>
    </w:tblPr>
    <w:tblStylePr w:type="firstRow">
      <w:rPr>
        <w:rFonts w:ascii="Arial" w:hAnsi="Arial"/>
        <w:b/>
        <w:color w:themeColor="light1" w:val="FFFFFF"/>
        <w:sz w:val="22"/>
      </w:rPr>
      <w:tblPr/>
      <w:tcPr>
        <w:tcBorders>
          <w:top w:color="7F7F7F" w:space="0" w:sz="32" w:themeColor="text1" w:themeTint="80" w:val="single"/>
          <w:bottom w:color="FFFFFF" w:space="0" w:sz="12" w:themeColor="light1" w:val="single"/>
        </w:tcBorders>
        <w:shd w:color="7F7F7F" w:fill="7F7F7F" w:themeColor="text1" w:themeFill="text1" w:themeFillTint="80" w:themeTint="80"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7F7F7F" w:space="0" w:sz="32" w:themeColor="text1" w:themeTint="80" w:val="single"/>
          <w:right w:color="FFFFFF" w:space="0" w:sz="4" w:themeColor="light1" w:val="single"/>
        </w:tcBorders>
      </w:tcPr>
    </w:tblStylePr>
    <w:tblStylePr w:type="lastCol">
      <w:tblPr/>
      <w:tcPr>
        <w:tcBorders>
          <w:left w:color="FFFFFF" w:space="0" w:sz="4" w:themeColor="light1" w:val="single"/>
          <w:right w:color="7F7F7F" w:space="0" w:sz="32" w:themeColor="text1" w:themeTint="80" w:val="single"/>
        </w:tcBorders>
      </w:tcPr>
    </w:tblStylePr>
    <w:tblStylePr w:type="band1Vert">
      <w:tblPr/>
      <w:tcPr>
        <w:tcBorders>
          <w:left w:color="FFFFFF" w:space="0" w:sz="4" w:themeColor="light1" w:val="single"/>
          <w:right w:color="FFFFFF" w:space="0" w:sz="4" w:themeColor="light1" w:val="single"/>
        </w:tcBorders>
        <w:shd w:color="7F7F7F" w:fill="7F7F7F" w:themeColor="text1" w:themeFill="text1" w:themeFillTint="80" w:themeTint="80"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7F7F7F" w:fill="7F7F7F" w:themeColor="text1" w:themeFill="text1" w:themeFillTint="80" w:themeTint="80" w:val="clear"/>
      </w:tcPr>
    </w:tblStylePr>
    <w:tblStylePr w:type="band2Horz">
      <w:tblPr/>
      <w:tcPr>
        <w:tcBorders>
          <w:top w:color="FFFFFF" w:space="0" w:sz="4" w:themeColor="light1" w:val="single"/>
          <w:bottom w:color="FFFFFF" w:space="0" w:sz="4" w:themeColor="light1" w:val="single"/>
        </w:tcBorders>
        <w:shd w:color="7F7F7F" w:fill="7F7F7F" w:themeColor="text1" w:themeFill="text1" w:themeFillTint="80" w:themeTint="80" w:val="clear"/>
      </w:tcPr>
    </w:tblStylePr>
  </w:style>
  <w:style w:styleId="ListTable5Dark-Accent1" w:type="table">
    <w:name w:val="List Table 5 Dark Accent 1"/>
    <w:basedOn w:val="TableNormal"/>
    <w:uiPriority w:val="99"/>
    <w:pPr>
      <w:spacing w:after="0"/>
    </w:pPr>
    <w:tblPr>
      <w:tblStyleRowBandSize w:val="1"/>
      <w:tblStyleColBandSize w:val="1"/>
      <w:tblBorders>
        <w:top w:color="4F81BD" w:space="0" w:sz="32" w:themeColor="accent1" w:val="single"/>
        <w:left w:color="4F81BD" w:space="0" w:sz="32" w:themeColor="accent1" w:val="single"/>
        <w:bottom w:color="4F81BD" w:space="0" w:sz="32" w:themeColor="accent1" w:val="single"/>
        <w:right w:color="4F81BD" w:space="0" w:sz="32" w:themeColor="accent1" w:val="single"/>
      </w:tblBorders>
      <w:shd w:color="4F81BD" w:fill="4F81BD" w:themeColor="accent1" w:themeFill="accent1" w:val="clear"/>
    </w:tblPr>
    <w:tblStylePr w:type="firstRow">
      <w:rPr>
        <w:rFonts w:ascii="Arial" w:hAnsi="Arial"/>
        <w:b/>
        <w:color w:themeColor="light1" w:val="FFFFFF"/>
        <w:sz w:val="22"/>
      </w:rPr>
      <w:tblPr/>
      <w:tcPr>
        <w:tcBorders>
          <w:top w:color="4F81BD" w:space="0" w:sz="32" w:themeColor="accent1" w:val="single"/>
          <w:bottom w:color="FFFFFF" w:space="0" w:sz="12" w:themeColor="light1" w:val="single"/>
        </w:tcBorders>
        <w:shd w:color="4F81BD" w:fill="4F81BD" w:themeColor="accent1" w:themeFill="accent1"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4F81BD" w:space="0" w:sz="32" w:themeColor="accent1" w:val="single"/>
          <w:right w:color="FFFFFF" w:space="0" w:sz="4" w:themeColor="light1" w:val="single"/>
        </w:tcBorders>
      </w:tcPr>
    </w:tblStylePr>
    <w:tblStylePr w:type="lastCol">
      <w:tblPr/>
      <w:tcPr>
        <w:tcBorders>
          <w:left w:color="FFFFFF" w:space="0" w:sz="4" w:themeColor="light1" w:val="single"/>
          <w:right w:color="4F81BD" w:space="0" w:sz="32" w:themeColor="accent1" w:val="single"/>
        </w:tcBorders>
      </w:tcPr>
    </w:tblStylePr>
    <w:tblStylePr w:type="band1Vert">
      <w:tblPr/>
      <w:tcPr>
        <w:tcBorders>
          <w:left w:color="FFFFFF" w:space="0" w:sz="4" w:themeColor="light1" w:val="single"/>
          <w:right w:color="FFFFFF" w:space="0" w:sz="4" w:themeColor="light1" w:val="single"/>
        </w:tcBorders>
        <w:shd w:color="4F81BD" w:fill="4F81BD" w:themeColor="accent1" w:themeFill="accent1"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4F81BD" w:fill="4F81BD" w:themeColor="accent1" w:themeFill="accent1" w:val="clear"/>
      </w:tcPr>
    </w:tblStylePr>
    <w:tblStylePr w:type="band2Horz">
      <w:tblPr/>
      <w:tcPr>
        <w:tcBorders>
          <w:top w:color="FFFFFF" w:space="0" w:sz="4" w:themeColor="light1" w:val="single"/>
          <w:bottom w:color="FFFFFF" w:space="0" w:sz="4" w:themeColor="light1" w:val="single"/>
        </w:tcBorders>
        <w:shd w:color="4F81BD" w:fill="4F81BD" w:themeColor="accent1" w:themeFill="accent1" w:val="clear"/>
      </w:tcPr>
    </w:tblStylePr>
  </w:style>
  <w:style w:styleId="ListTable5Dark-Accent2" w:type="table">
    <w:name w:val="List Table 5 Dark Accent 2"/>
    <w:basedOn w:val="TableNormal"/>
    <w:uiPriority w:val="99"/>
    <w:pPr>
      <w:spacing w:after="0"/>
    </w:pPr>
    <w:tblPr>
      <w:tblStyleRowBandSize w:val="1"/>
      <w:tblStyleColBandSize w:val="1"/>
      <w:tblBorders>
        <w:top w:color="D99695" w:space="0" w:sz="32" w:themeColor="accent2" w:themeTint="97" w:val="single"/>
        <w:left w:color="D99695" w:space="0" w:sz="32" w:themeColor="accent2" w:themeTint="97" w:val="single"/>
        <w:bottom w:color="D99695" w:space="0" w:sz="32" w:themeColor="accent2" w:themeTint="97" w:val="single"/>
        <w:right w:color="D99695" w:space="0" w:sz="32" w:themeColor="accent2" w:themeTint="97" w:val="single"/>
      </w:tblBorders>
      <w:shd w:color="D99695" w:fill="D99695" w:themeColor="accent2" w:themeFill="accent2" w:themeFillTint="97" w:themeTint="97" w:val="clear"/>
    </w:tblPr>
    <w:tblStylePr w:type="firstRow">
      <w:rPr>
        <w:rFonts w:ascii="Arial" w:hAnsi="Arial"/>
        <w:b/>
        <w:color w:themeColor="light1" w:val="FFFFFF"/>
        <w:sz w:val="22"/>
      </w:rPr>
      <w:tblPr/>
      <w:tcPr>
        <w:tcBorders>
          <w:top w:color="D99695" w:space="0" w:sz="32" w:themeColor="accent2" w:themeTint="97" w:val="single"/>
          <w:bottom w:color="FFFFFF" w:space="0" w:sz="12" w:themeColor="light1" w:val="single"/>
        </w:tcBorders>
        <w:shd w:color="D99695" w:fill="D99695" w:themeColor="accent2" w:themeFill="accent2" w:themeFillTint="97" w:themeTint="97"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D99695" w:space="0" w:sz="32" w:themeColor="accent2" w:themeTint="97" w:val="single"/>
          <w:right w:color="FFFFFF" w:space="0" w:sz="4" w:themeColor="light1" w:val="single"/>
        </w:tcBorders>
      </w:tcPr>
    </w:tblStylePr>
    <w:tblStylePr w:type="lastCol">
      <w:tblPr/>
      <w:tcPr>
        <w:tcBorders>
          <w:left w:color="FFFFFF" w:space="0" w:sz="4" w:themeColor="light1" w:val="single"/>
          <w:right w:color="D99695" w:space="0" w:sz="32" w:themeColor="accent2" w:themeTint="97" w:val="single"/>
        </w:tcBorders>
      </w:tcPr>
    </w:tblStylePr>
    <w:tblStylePr w:type="band1Vert">
      <w:tblPr/>
      <w:tcPr>
        <w:tcBorders>
          <w:left w:color="FFFFFF" w:space="0" w:sz="4" w:themeColor="light1" w:val="single"/>
          <w:right w:color="FFFFFF" w:space="0" w:sz="4" w:themeColor="light1" w:val="single"/>
        </w:tcBorders>
        <w:shd w:color="D99695" w:fill="D99695" w:themeColor="accent2" w:themeFill="accent2" w:themeFillTint="97" w:themeTint="97"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D99695" w:fill="D99695" w:themeColor="accent2" w:themeFill="accent2" w:themeFillTint="97" w:themeTint="97" w:val="clear"/>
      </w:tcPr>
    </w:tblStylePr>
    <w:tblStylePr w:type="band2Horz">
      <w:tblPr/>
      <w:tcPr>
        <w:tcBorders>
          <w:top w:color="FFFFFF" w:space="0" w:sz="4" w:themeColor="light1" w:val="single"/>
          <w:bottom w:color="FFFFFF" w:space="0" w:sz="4" w:themeColor="light1" w:val="single"/>
        </w:tcBorders>
        <w:shd w:color="D99695" w:fill="D99695" w:themeColor="accent2" w:themeFill="accent2" w:themeFillTint="97" w:themeTint="97" w:val="clear"/>
      </w:tcPr>
    </w:tblStylePr>
  </w:style>
  <w:style w:styleId="ListTable5Dark-Accent3" w:type="table">
    <w:name w:val="List Table 5 Dark Accent 3"/>
    <w:basedOn w:val="TableNormal"/>
    <w:uiPriority w:val="99"/>
    <w:pPr>
      <w:spacing w:after="0"/>
    </w:pPr>
    <w:tblPr>
      <w:tblStyleRowBandSize w:val="1"/>
      <w:tblStyleColBandSize w:val="1"/>
      <w:tblBorders>
        <w:top w:color="C3D69B" w:space="0" w:sz="32" w:themeColor="accent3" w:themeTint="98" w:val="single"/>
        <w:left w:color="C3D69B" w:space="0" w:sz="32" w:themeColor="accent3" w:themeTint="98" w:val="single"/>
        <w:bottom w:color="C3D69B" w:space="0" w:sz="32" w:themeColor="accent3" w:themeTint="98" w:val="single"/>
        <w:right w:color="C3D69B" w:space="0" w:sz="32" w:themeColor="accent3" w:themeTint="98" w:val="single"/>
      </w:tblBorders>
      <w:shd w:color="C3D69B" w:fill="C3D69B" w:themeColor="accent3" w:themeFill="accent3" w:themeFillTint="98" w:themeTint="98" w:val="clear"/>
    </w:tblPr>
    <w:tblStylePr w:type="firstRow">
      <w:rPr>
        <w:rFonts w:ascii="Arial" w:hAnsi="Arial"/>
        <w:b/>
        <w:color w:themeColor="light1" w:val="FFFFFF"/>
        <w:sz w:val="22"/>
      </w:rPr>
      <w:tblPr/>
      <w:tcPr>
        <w:tcBorders>
          <w:top w:color="C3D69B" w:space="0" w:sz="32" w:themeColor="accent3" w:themeTint="98" w:val="single"/>
          <w:bottom w:color="FFFFFF" w:space="0" w:sz="12" w:themeColor="light1" w:val="single"/>
        </w:tcBorders>
        <w:shd w:color="C3D69B" w:fill="C3D69B" w:themeColor="accent3" w:themeFill="accent3" w:themeFillTint="98" w:themeTint="98"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C3D69B" w:space="0" w:sz="32" w:themeColor="accent3" w:themeTint="98" w:val="single"/>
          <w:right w:color="FFFFFF" w:space="0" w:sz="4" w:themeColor="light1" w:val="single"/>
        </w:tcBorders>
      </w:tcPr>
    </w:tblStylePr>
    <w:tblStylePr w:type="lastCol">
      <w:tblPr/>
      <w:tcPr>
        <w:tcBorders>
          <w:left w:color="FFFFFF" w:space="0" w:sz="4" w:themeColor="light1" w:val="single"/>
          <w:right w:color="C3D69B" w:space="0" w:sz="32" w:themeColor="accent3" w:themeTint="98" w:val="single"/>
        </w:tcBorders>
      </w:tcPr>
    </w:tblStylePr>
    <w:tblStylePr w:type="band1Vert">
      <w:tblPr/>
      <w:tcPr>
        <w:tcBorders>
          <w:left w:color="FFFFFF" w:space="0" w:sz="4" w:themeColor="light1" w:val="single"/>
          <w:right w:color="FFFFFF" w:space="0" w:sz="4" w:themeColor="light1" w:val="single"/>
        </w:tcBorders>
        <w:shd w:color="C3D69B" w:fill="C3D69B" w:themeColor="accent3" w:themeFill="accent3" w:themeFillTint="98" w:themeTint="98"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C3D69B" w:fill="C3D69B" w:themeColor="accent3" w:themeFill="accent3" w:themeFillTint="98" w:themeTint="98" w:val="clear"/>
      </w:tcPr>
    </w:tblStylePr>
    <w:tblStylePr w:type="band2Horz">
      <w:tblPr/>
      <w:tcPr>
        <w:tcBorders>
          <w:top w:color="FFFFFF" w:space="0" w:sz="4" w:themeColor="light1" w:val="single"/>
          <w:bottom w:color="FFFFFF" w:space="0" w:sz="4" w:themeColor="light1" w:val="single"/>
        </w:tcBorders>
        <w:shd w:color="C3D69B" w:fill="C3D69B" w:themeColor="accent3" w:themeFill="accent3" w:themeFillTint="98" w:themeTint="98" w:val="clear"/>
      </w:tcPr>
    </w:tblStylePr>
  </w:style>
  <w:style w:styleId="ListTable5Dark-Accent4" w:type="table">
    <w:name w:val="List Table 5 Dark Accent 4"/>
    <w:basedOn w:val="TableNormal"/>
    <w:uiPriority w:val="99"/>
    <w:pPr>
      <w:spacing w:after="0"/>
    </w:pPr>
    <w:tblPr>
      <w:tblStyleRowBandSize w:val="1"/>
      <w:tblStyleColBandSize w:val="1"/>
      <w:tblBorders>
        <w:top w:color="B2A1C6" w:space="0" w:sz="32" w:themeColor="accent4" w:themeTint="9A" w:val="single"/>
        <w:left w:color="B2A1C6" w:space="0" w:sz="32" w:themeColor="accent4" w:themeTint="9A" w:val="single"/>
        <w:bottom w:color="B2A1C6" w:space="0" w:sz="32" w:themeColor="accent4" w:themeTint="9A" w:val="single"/>
        <w:right w:color="B2A1C6" w:space="0" w:sz="32" w:themeColor="accent4" w:themeTint="9A" w:val="single"/>
      </w:tblBorders>
      <w:shd w:color="B2A1C6" w:fill="B2A1C6" w:themeColor="accent4" w:themeFill="accent4" w:themeFillTint="9A" w:themeTint="9A" w:val="clear"/>
    </w:tblPr>
    <w:tblStylePr w:type="firstRow">
      <w:rPr>
        <w:rFonts w:ascii="Arial" w:hAnsi="Arial"/>
        <w:b/>
        <w:color w:themeColor="light1" w:val="FFFFFF"/>
        <w:sz w:val="22"/>
      </w:rPr>
      <w:tblPr/>
      <w:tcPr>
        <w:tcBorders>
          <w:top w:color="B2A1C6" w:space="0" w:sz="32" w:themeColor="accent4" w:themeTint="9A" w:val="single"/>
          <w:bottom w:color="FFFFFF" w:space="0" w:sz="12" w:themeColor="light1" w:val="single"/>
        </w:tcBorders>
        <w:shd w:color="B2A1C6" w:fill="B2A1C6" w:themeColor="accent4" w:themeFill="accent4" w:themeFillTint="9A" w:themeTint="9A"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B2A1C6" w:space="0" w:sz="32" w:themeColor="accent4" w:themeTint="9A" w:val="single"/>
          <w:right w:color="FFFFFF" w:space="0" w:sz="4" w:themeColor="light1" w:val="single"/>
        </w:tcBorders>
      </w:tcPr>
    </w:tblStylePr>
    <w:tblStylePr w:type="lastCol">
      <w:tblPr/>
      <w:tcPr>
        <w:tcBorders>
          <w:left w:color="FFFFFF" w:space="0" w:sz="4" w:themeColor="light1" w:val="single"/>
          <w:right w:color="B2A1C6" w:space="0" w:sz="32" w:themeColor="accent4" w:themeTint="9A" w:val="single"/>
        </w:tcBorders>
      </w:tcPr>
    </w:tblStylePr>
    <w:tblStylePr w:type="band1Vert">
      <w:tblPr/>
      <w:tcPr>
        <w:tcBorders>
          <w:left w:color="FFFFFF" w:space="0" w:sz="4" w:themeColor="light1" w:val="single"/>
          <w:right w:color="FFFFFF" w:space="0" w:sz="4" w:themeColor="light1" w:val="single"/>
        </w:tcBorders>
        <w:shd w:color="B2A1C6" w:fill="B2A1C6" w:themeColor="accent4" w:themeFill="accent4" w:themeFillTint="9A" w:themeTint="9A"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B2A1C6" w:fill="B2A1C6" w:themeColor="accent4" w:themeFill="accent4" w:themeFillTint="9A" w:themeTint="9A" w:val="clear"/>
      </w:tcPr>
    </w:tblStylePr>
    <w:tblStylePr w:type="band2Horz">
      <w:tblPr/>
      <w:tcPr>
        <w:tcBorders>
          <w:top w:color="FFFFFF" w:space="0" w:sz="4" w:themeColor="light1" w:val="single"/>
          <w:bottom w:color="FFFFFF" w:space="0" w:sz="4" w:themeColor="light1" w:val="single"/>
        </w:tcBorders>
        <w:shd w:color="B2A1C6" w:fill="B2A1C6" w:themeColor="accent4" w:themeFill="accent4" w:themeFillTint="9A" w:themeTint="9A" w:val="clear"/>
      </w:tcPr>
    </w:tblStylePr>
  </w:style>
  <w:style w:styleId="ListTable5Dark-Accent5" w:type="table">
    <w:name w:val="List Table 5 Dark Accent 5"/>
    <w:basedOn w:val="TableNormal"/>
    <w:uiPriority w:val="99"/>
    <w:pPr>
      <w:spacing w:after="0"/>
    </w:pPr>
    <w:tblPr>
      <w:tblStyleRowBandSize w:val="1"/>
      <w:tblStyleColBandSize w:val="1"/>
      <w:tblBorders>
        <w:top w:color="92CCDC" w:space="0" w:sz="32" w:themeColor="accent5" w:themeTint="9A" w:val="single"/>
        <w:left w:color="92CCDC" w:space="0" w:sz="32" w:themeColor="accent5" w:themeTint="9A" w:val="single"/>
        <w:bottom w:color="92CCDC" w:space="0" w:sz="32" w:themeColor="accent5" w:themeTint="9A" w:val="single"/>
        <w:right w:color="92CCDC" w:space="0" w:sz="32" w:themeColor="accent5" w:themeTint="9A" w:val="single"/>
      </w:tblBorders>
      <w:shd w:color="92CCDC" w:fill="92CCDC" w:themeColor="accent5" w:themeFill="accent5" w:themeFillTint="9A" w:themeTint="9A" w:val="clear"/>
    </w:tblPr>
    <w:tblStylePr w:type="firstRow">
      <w:rPr>
        <w:rFonts w:ascii="Arial" w:hAnsi="Arial"/>
        <w:b/>
        <w:color w:themeColor="light1" w:val="FFFFFF"/>
        <w:sz w:val="22"/>
      </w:rPr>
      <w:tblPr/>
      <w:tcPr>
        <w:tcBorders>
          <w:top w:color="92CCDC" w:space="0" w:sz="32" w:themeColor="accent5" w:themeTint="9A" w:val="single"/>
          <w:bottom w:color="FFFFFF" w:space="0" w:sz="12" w:themeColor="light1" w:val="single"/>
        </w:tcBorders>
        <w:shd w:color="92CCDC" w:fill="92CCDC" w:themeColor="accent5" w:themeFill="accent5" w:themeFillTint="9A" w:themeTint="9A"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92CCDC" w:space="0" w:sz="32" w:themeColor="accent5" w:themeTint="9A" w:val="single"/>
          <w:right w:color="FFFFFF" w:space="0" w:sz="4" w:themeColor="light1" w:val="single"/>
        </w:tcBorders>
      </w:tcPr>
    </w:tblStylePr>
    <w:tblStylePr w:type="lastCol">
      <w:tblPr/>
      <w:tcPr>
        <w:tcBorders>
          <w:left w:color="FFFFFF" w:space="0" w:sz="4" w:themeColor="light1" w:val="single"/>
          <w:right w:color="92CCDC" w:space="0" w:sz="32" w:themeColor="accent5" w:themeTint="9A" w:val="single"/>
        </w:tcBorders>
      </w:tcPr>
    </w:tblStylePr>
    <w:tblStylePr w:type="band1Vert">
      <w:tblPr/>
      <w:tcPr>
        <w:tcBorders>
          <w:left w:color="FFFFFF" w:space="0" w:sz="4" w:themeColor="light1" w:val="single"/>
          <w:right w:color="FFFFFF" w:space="0" w:sz="4" w:themeColor="light1" w:val="single"/>
        </w:tcBorders>
        <w:shd w:color="92CCDC" w:fill="92CCDC" w:themeColor="accent5" w:themeFill="accent5" w:themeFillTint="9A" w:themeTint="9A"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92CCDC" w:fill="92CCDC" w:themeColor="accent5" w:themeFill="accent5" w:themeFillTint="9A" w:themeTint="9A" w:val="clear"/>
      </w:tcPr>
    </w:tblStylePr>
    <w:tblStylePr w:type="band2Horz">
      <w:tblPr/>
      <w:tcPr>
        <w:tcBorders>
          <w:top w:color="FFFFFF" w:space="0" w:sz="4" w:themeColor="light1" w:val="single"/>
          <w:bottom w:color="FFFFFF" w:space="0" w:sz="4" w:themeColor="light1" w:val="single"/>
        </w:tcBorders>
        <w:shd w:color="92CCDC" w:fill="92CCDC" w:themeColor="accent5" w:themeFill="accent5" w:themeFillTint="9A" w:themeTint="9A" w:val="clear"/>
      </w:tcPr>
    </w:tblStylePr>
  </w:style>
  <w:style w:styleId="ListTable5Dark-Accent6" w:type="table">
    <w:name w:val="List Table 5 Dark Accent 6"/>
    <w:basedOn w:val="TableNormal"/>
    <w:uiPriority w:val="99"/>
    <w:pPr>
      <w:spacing w:after="0"/>
    </w:pPr>
    <w:tblPr>
      <w:tblStyleRowBandSize w:val="1"/>
      <w:tblStyleColBandSize w:val="1"/>
      <w:tblBorders>
        <w:top w:color="FAC090" w:space="0" w:sz="32" w:themeColor="accent6" w:themeTint="98" w:val="single"/>
        <w:left w:color="FAC090" w:space="0" w:sz="32" w:themeColor="accent6" w:themeTint="98" w:val="single"/>
        <w:bottom w:color="FAC090" w:space="0" w:sz="32" w:themeColor="accent6" w:themeTint="98" w:val="single"/>
        <w:right w:color="FAC090" w:space="0" w:sz="32" w:themeColor="accent6" w:themeTint="98" w:val="single"/>
      </w:tblBorders>
      <w:shd w:color="FAC090" w:fill="FAC090" w:themeColor="accent6" w:themeFill="accent6" w:themeFillTint="98" w:themeTint="98" w:val="clear"/>
    </w:tblPr>
    <w:tblStylePr w:type="firstRow">
      <w:rPr>
        <w:rFonts w:ascii="Arial" w:hAnsi="Arial"/>
        <w:b/>
        <w:color w:themeColor="light1" w:val="FFFFFF"/>
        <w:sz w:val="22"/>
      </w:rPr>
      <w:tblPr/>
      <w:tcPr>
        <w:tcBorders>
          <w:top w:color="FAC090" w:space="0" w:sz="32" w:themeColor="accent6" w:themeTint="98" w:val="single"/>
          <w:bottom w:color="FFFFFF" w:space="0" w:sz="12" w:themeColor="light1" w:val="single"/>
        </w:tcBorders>
        <w:shd w:color="FAC090" w:fill="FAC090" w:themeColor="accent6" w:themeFill="accent6" w:themeFillTint="98" w:themeTint="98" w:val="clear"/>
      </w:tcPr>
    </w:tblStylePr>
    <w:tblStylePr w:type="lastRow">
      <w:rPr>
        <w:rFonts w:ascii="Arial" w:hAnsi="Arial"/>
        <w:b/>
        <w:color w:themeColor="light1" w:val="FFFFFF"/>
        <w:sz w:val="22"/>
      </w:rPr>
    </w:tblStylePr>
    <w:tblStylePr w:type="firstCol">
      <w:rPr>
        <w:rFonts w:ascii="Arial" w:hAnsi="Arial"/>
        <w:b/>
        <w:color w:themeColor="light1" w:val="FFFFFF"/>
        <w:sz w:val="22"/>
      </w:rPr>
      <w:tblPr/>
      <w:tcPr>
        <w:tcBorders>
          <w:left w:color="FAC090" w:space="0" w:sz="32" w:themeColor="accent6" w:themeTint="98" w:val="single"/>
          <w:right w:color="FFFFFF" w:space="0" w:sz="4" w:themeColor="light1" w:val="single"/>
        </w:tcBorders>
      </w:tcPr>
    </w:tblStylePr>
    <w:tblStylePr w:type="lastCol">
      <w:tblPr/>
      <w:tcPr>
        <w:tcBorders>
          <w:left w:color="FFFFFF" w:space="0" w:sz="4" w:themeColor="light1" w:val="single"/>
          <w:right w:color="FAC090" w:space="0" w:sz="32" w:themeColor="accent6" w:themeTint="98" w:val="single"/>
        </w:tcBorders>
      </w:tcPr>
    </w:tblStylePr>
    <w:tblStylePr w:type="band1Vert">
      <w:tblPr/>
      <w:tcPr>
        <w:tcBorders>
          <w:left w:color="FFFFFF" w:space="0" w:sz="4" w:themeColor="light1" w:val="single"/>
          <w:right w:color="FFFFFF" w:space="0" w:sz="4" w:themeColor="light1" w:val="single"/>
        </w:tcBorders>
        <w:shd w:color="FAC090" w:fill="FAC090" w:themeColor="accent6" w:themeFill="accent6" w:themeFillTint="98" w:themeTint="98"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FAC090" w:fill="FAC090" w:themeColor="accent6" w:themeFill="accent6" w:themeFillTint="98" w:themeTint="98" w:val="clear"/>
      </w:tcPr>
    </w:tblStylePr>
    <w:tblStylePr w:type="band2Horz">
      <w:tblPr/>
      <w:tcPr>
        <w:tcBorders>
          <w:top w:color="FFFFFF" w:space="0" w:sz="4" w:themeColor="light1" w:val="single"/>
          <w:bottom w:color="FFFFFF" w:space="0" w:sz="4" w:themeColor="light1" w:val="single"/>
        </w:tcBorders>
        <w:shd w:color="FAC090" w:fill="FAC090" w:themeColor="accent6" w:themeFill="accent6" w:themeFillTint="98" w:themeTint="98" w:val="clear"/>
      </w:tcPr>
    </w:tblStylePr>
  </w:style>
  <w:style w:styleId="ListTable6Colorful" w:type="table">
    <w:name w:val="List Table 6 Colorful"/>
    <w:basedOn w:val="TableNormal"/>
    <w:uiPriority w:val="99"/>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color w:themeColor="text1" w:val="000000"/>
      </w:rPr>
      <w:tblPr/>
      <w:tcPr>
        <w:tcBorders>
          <w:bottom w:color="7F7F7F" w:space="0" w:sz="4" w:themeColor="text1" w:themeTint="80" w:val="single"/>
        </w:tcBorders>
      </w:tcPr>
    </w:tblStylePr>
    <w:tblStylePr w:type="lastRow">
      <w:rPr>
        <w:b/>
        <w:color w:themeColor="text1" w:val="000000"/>
      </w:rPr>
      <w:tblPr/>
      <w:tcPr>
        <w:tcBorders>
          <w:top w:color="7F7F7F" w:space="0" w:sz="4" w:themeColor="text1" w:themeTint="80" w:val="single"/>
        </w:tcBorders>
      </w:tcPr>
    </w:tblStylePr>
    <w:tblStylePr w:type="firstCol">
      <w:rPr>
        <w:b/>
        <w:color w:themeColor="text1" w:val="000000"/>
      </w:rPr>
    </w:tblStylePr>
    <w:tblStylePr w:type="lastCol">
      <w:rPr>
        <w:b/>
        <w:color w:themeColor="text1" w:val="000000"/>
      </w:rPr>
    </w:tblStylePr>
    <w:tblStylePr w:type="band1Vert">
      <w:tblPr/>
      <w:tcPr>
        <w:shd w:color="BFBFBF" w:fill="BFBFBF" w:themeColor="text1" w:themeFill="text1" w:themeFillTint="40" w:themeTint="40" w:val="clear"/>
      </w:tcPr>
    </w:tblStylePr>
    <w:tblStylePr w:type="band1Horz">
      <w:rPr>
        <w:rFonts w:ascii="Arial" w:hAnsi="Arial"/>
        <w:color w:themeColor="text1" w:val="000000"/>
        <w:sz w:val="22"/>
      </w:rPr>
      <w:tblPr/>
      <w:tcPr>
        <w:shd w:color="BFBFBF" w:fill="BFBFBF" w:themeColor="text1" w:themeFill="text1" w:themeFillTint="40" w:themeTint="40" w:val="clear"/>
      </w:tcPr>
    </w:tblStylePr>
    <w:tblStylePr w:type="band2Horz">
      <w:rPr>
        <w:rFonts w:ascii="Arial" w:hAnsi="Arial"/>
        <w:color w:themeColor="text1" w:val="000000"/>
        <w:sz w:val="22"/>
      </w:rPr>
    </w:tblStylePr>
  </w:style>
  <w:style w:styleId="ListTable6Colorful-Accent1" w:type="table">
    <w:name w:val="List Table 6 Colorful Accent 1"/>
    <w:basedOn w:val="TableNormal"/>
    <w:uiPriority w:val="99"/>
    <w:pPr>
      <w:spacing w:after="0"/>
    </w:pPr>
    <w:tblPr>
      <w:tblStyleRowBandSize w:val="1"/>
      <w:tblStyleColBandSize w:val="1"/>
      <w:tblBorders>
        <w:top w:color="4F81BD" w:space="0" w:sz="4" w:themeColor="accent1" w:val="single"/>
        <w:bottom w:color="4F81BD" w:space="0" w:sz="4" w:themeColor="accent1" w:val="single"/>
      </w:tblBorders>
    </w:tblPr>
    <w:tblStylePr w:type="firstRow">
      <w:rPr>
        <w:b/>
        <w:color w:themeColor="accent1" w:themeShade="95" w:val="2A4A71"/>
      </w:rPr>
      <w:tblPr/>
      <w:tcPr>
        <w:tcBorders>
          <w:bottom w:color="4F81BD" w:space="0" w:sz="4" w:themeColor="accent1" w:val="single"/>
        </w:tcBorders>
      </w:tcPr>
    </w:tblStylePr>
    <w:tblStylePr w:type="lastRow">
      <w:rPr>
        <w:b/>
        <w:color w:themeColor="accent1" w:themeShade="95" w:val="2A4A71"/>
      </w:rPr>
      <w:tblPr/>
      <w:tcPr>
        <w:tcBorders>
          <w:top w:color="4F81BD" w:space="0" w:sz="4" w:themeColor="accent1" w:val="single"/>
        </w:tcBorders>
      </w:tcPr>
    </w:tblStylePr>
    <w:tblStylePr w:type="firstCol">
      <w:rPr>
        <w:b/>
        <w:color w:themeColor="accent1" w:themeShade="95" w:val="2A4A71"/>
      </w:rPr>
    </w:tblStylePr>
    <w:tblStylePr w:type="lastCol">
      <w:rPr>
        <w:b/>
        <w:color w:themeColor="accent1" w:themeShade="95" w:val="2A4A71"/>
      </w:rPr>
    </w:tblStylePr>
    <w:tblStylePr w:type="band1Vert">
      <w:tblPr/>
      <w:tcPr>
        <w:shd w:color="D2DFEE" w:fill="D2DFEE" w:themeColor="accent1" w:themeFill="accent1" w:themeFillTint="40" w:themeTint="40" w:val="clear"/>
      </w:tcPr>
    </w:tblStylePr>
    <w:tblStylePr w:type="band1Horz">
      <w:rPr>
        <w:rFonts w:ascii="Arial" w:hAnsi="Arial"/>
        <w:color w:themeColor="accent1" w:themeShade="95" w:val="2A4A71"/>
        <w:sz w:val="22"/>
      </w:rPr>
      <w:tblPr/>
      <w:tcPr>
        <w:shd w:color="D2DFEE" w:fill="D2DFEE" w:themeColor="accent1" w:themeFill="accent1" w:themeFillTint="40" w:themeTint="40" w:val="clear"/>
      </w:tcPr>
    </w:tblStylePr>
    <w:tblStylePr w:type="band2Horz">
      <w:rPr>
        <w:rFonts w:ascii="Arial" w:hAnsi="Arial"/>
        <w:color w:themeColor="accent1" w:themeShade="95" w:val="2A4A71"/>
        <w:sz w:val="22"/>
      </w:rPr>
    </w:tblStylePr>
  </w:style>
  <w:style w:styleId="ListTable6Colorful-Accent2" w:type="table">
    <w:name w:val="List Table 6 Colorful Accent 2"/>
    <w:basedOn w:val="TableNormal"/>
    <w:uiPriority w:val="99"/>
    <w:pPr>
      <w:spacing w:after="0"/>
    </w:pPr>
    <w:tblPr>
      <w:tblStyleRowBandSize w:val="1"/>
      <w:tblStyleColBandSize w:val="1"/>
      <w:tblBorders>
        <w:top w:color="D99695" w:space="0" w:sz="4" w:themeColor="accent2" w:themeTint="97" w:val="single"/>
        <w:bottom w:color="D99695" w:space="0" w:sz="4" w:themeColor="accent2" w:themeTint="97" w:val="single"/>
      </w:tblBorders>
    </w:tblPr>
    <w:tblStylePr w:type="firstRow">
      <w:rPr>
        <w:b/>
        <w:color w:themeColor="accent2" w:themeShade="95" w:themeTint="97" w:val="D99695"/>
      </w:rPr>
      <w:tblPr/>
      <w:tcPr>
        <w:tcBorders>
          <w:bottom w:color="D99695" w:space="0" w:sz="4" w:themeColor="accent2" w:themeTint="97" w:val="single"/>
        </w:tcBorders>
      </w:tcPr>
    </w:tblStylePr>
    <w:tblStylePr w:type="lastRow">
      <w:rPr>
        <w:b/>
        <w:color w:themeColor="accent2" w:themeShade="95" w:themeTint="97" w:val="D99695"/>
      </w:rPr>
      <w:tblPr/>
      <w:tcPr>
        <w:tcBorders>
          <w:top w:color="D99695" w:space="0" w:sz="4" w:themeColor="accent2" w:themeTint="97" w:val="single"/>
        </w:tcBorders>
      </w:tcPr>
    </w:tblStylePr>
    <w:tblStylePr w:type="firstCol">
      <w:rPr>
        <w:b/>
        <w:color w:themeColor="accent2" w:themeShade="95" w:themeTint="97" w:val="D99695"/>
      </w:rPr>
    </w:tblStylePr>
    <w:tblStylePr w:type="lastCol">
      <w:rPr>
        <w:b/>
        <w:color w:themeColor="accent2" w:themeShade="95" w:themeTint="97" w:val="D99695"/>
      </w:rPr>
    </w:tblStylePr>
    <w:tblStylePr w:type="band1Vert">
      <w:tblPr/>
      <w:tcPr>
        <w:shd w:color="EFD2D2" w:fill="EFD2D2" w:themeColor="accent2" w:themeFill="accent2" w:themeFillTint="40" w:themeTint="40" w:val="clear"/>
      </w:tcPr>
    </w:tblStylePr>
    <w:tblStylePr w:type="band1Horz">
      <w:rPr>
        <w:rFonts w:ascii="Arial" w:hAnsi="Arial"/>
        <w:color w:themeColor="accent2" w:themeShade="95" w:themeTint="97" w:val="D99695"/>
        <w:sz w:val="22"/>
      </w:rPr>
      <w:tblPr/>
      <w:tcPr>
        <w:shd w:color="EFD2D2" w:fill="EFD2D2" w:themeColor="accent2" w:themeFill="accent2" w:themeFillTint="40" w:themeTint="40" w:val="clear"/>
      </w:tcPr>
    </w:tblStylePr>
    <w:tblStylePr w:type="band2Horz">
      <w:rPr>
        <w:rFonts w:ascii="Arial" w:hAnsi="Arial"/>
        <w:color w:themeColor="accent2" w:themeShade="95" w:themeTint="97" w:val="D99695"/>
        <w:sz w:val="22"/>
      </w:rPr>
    </w:tblStylePr>
  </w:style>
  <w:style w:styleId="ListTable6Colorful-Accent3" w:type="table">
    <w:name w:val="List Table 6 Colorful Accent 3"/>
    <w:basedOn w:val="TableNormal"/>
    <w:uiPriority w:val="99"/>
    <w:pPr>
      <w:spacing w:after="0"/>
    </w:pPr>
    <w:tblPr>
      <w:tblStyleRowBandSize w:val="1"/>
      <w:tblStyleColBandSize w:val="1"/>
      <w:tblBorders>
        <w:top w:color="C3D69B" w:space="0" w:sz="4" w:themeColor="accent3" w:themeTint="98" w:val="single"/>
        <w:bottom w:color="C3D69B" w:space="0" w:sz="4" w:themeColor="accent3" w:themeTint="98" w:val="single"/>
      </w:tblBorders>
    </w:tblPr>
    <w:tblStylePr w:type="firstRow">
      <w:rPr>
        <w:b/>
        <w:color w:themeColor="accent3" w:themeShade="95" w:themeTint="98" w:val="C3D69B"/>
      </w:rPr>
      <w:tblPr/>
      <w:tcPr>
        <w:tcBorders>
          <w:bottom w:color="C3D69B" w:space="0" w:sz="4" w:themeColor="accent3" w:themeTint="98" w:val="single"/>
        </w:tcBorders>
      </w:tcPr>
    </w:tblStylePr>
    <w:tblStylePr w:type="lastRow">
      <w:rPr>
        <w:b/>
        <w:color w:themeColor="accent3" w:themeShade="95" w:themeTint="98" w:val="C3D69B"/>
      </w:rPr>
      <w:tblPr/>
      <w:tcPr>
        <w:tcBorders>
          <w:top w:color="C3D69B" w:space="0" w:sz="4" w:themeColor="accent3" w:themeTint="98" w:val="single"/>
        </w:tcBorders>
      </w:tcPr>
    </w:tblStylePr>
    <w:tblStylePr w:type="firstCol">
      <w:rPr>
        <w:b/>
        <w:color w:themeColor="accent3" w:themeShade="95" w:themeTint="98" w:val="C3D69B"/>
      </w:rPr>
    </w:tblStylePr>
    <w:tblStylePr w:type="lastCol">
      <w:rPr>
        <w:b/>
        <w:color w:themeColor="accent3" w:themeShade="95" w:themeTint="98" w:val="C3D69B"/>
      </w:rPr>
    </w:tblStylePr>
    <w:tblStylePr w:type="band1Vert">
      <w:tblPr/>
      <w:tcPr>
        <w:shd w:color="E5EED5" w:fill="E5EED5" w:themeColor="accent3" w:themeFill="accent3" w:themeFillTint="40" w:themeTint="40" w:val="clear"/>
      </w:tcPr>
    </w:tblStylePr>
    <w:tblStylePr w:type="band1Horz">
      <w:rPr>
        <w:rFonts w:ascii="Arial" w:hAnsi="Arial"/>
        <w:color w:themeColor="accent3" w:themeShade="95" w:themeTint="98" w:val="C3D69B"/>
        <w:sz w:val="22"/>
      </w:rPr>
      <w:tblPr/>
      <w:tcPr>
        <w:shd w:color="E5EED5" w:fill="E5EED5" w:themeColor="accent3" w:themeFill="accent3" w:themeFillTint="40" w:themeTint="40" w:val="clear"/>
      </w:tcPr>
    </w:tblStylePr>
    <w:tblStylePr w:type="band2Horz">
      <w:rPr>
        <w:rFonts w:ascii="Arial" w:hAnsi="Arial"/>
        <w:color w:themeColor="accent3" w:themeShade="95" w:themeTint="98" w:val="C3D69B"/>
        <w:sz w:val="22"/>
      </w:rPr>
    </w:tblStylePr>
  </w:style>
  <w:style w:styleId="ListTable6Colorful-Accent4" w:type="table">
    <w:name w:val="List Table 6 Colorful Accent 4"/>
    <w:basedOn w:val="TableNormal"/>
    <w:uiPriority w:val="99"/>
    <w:pPr>
      <w:spacing w:after="0"/>
    </w:pPr>
    <w:tblPr>
      <w:tblStyleRowBandSize w:val="1"/>
      <w:tblStyleColBandSize w:val="1"/>
      <w:tblBorders>
        <w:top w:color="B2A1C6" w:space="0" w:sz="4" w:themeColor="accent4" w:themeTint="9A" w:val="single"/>
        <w:bottom w:color="B2A1C6" w:space="0" w:sz="4" w:themeColor="accent4" w:themeTint="9A" w:val="single"/>
      </w:tblBorders>
    </w:tblPr>
    <w:tblStylePr w:type="firstRow">
      <w:rPr>
        <w:b/>
        <w:color w:themeColor="accent4" w:themeShade="95" w:themeTint="9A" w:val="B2A1C6"/>
      </w:rPr>
      <w:tblPr/>
      <w:tcPr>
        <w:tcBorders>
          <w:bottom w:color="B2A1C6" w:space="0" w:sz="4" w:themeColor="accent4" w:themeTint="9A" w:val="single"/>
        </w:tcBorders>
      </w:tcPr>
    </w:tblStylePr>
    <w:tblStylePr w:type="lastRow">
      <w:rPr>
        <w:b/>
        <w:color w:themeColor="accent4" w:themeShade="95" w:themeTint="9A" w:val="B2A1C6"/>
      </w:rPr>
      <w:tblPr/>
      <w:tcPr>
        <w:tcBorders>
          <w:top w:color="B2A1C6" w:space="0" w:sz="4" w:themeColor="accent4" w:themeTint="9A" w:val="single"/>
        </w:tcBorders>
      </w:tcPr>
    </w:tblStylePr>
    <w:tblStylePr w:type="firstCol">
      <w:rPr>
        <w:b/>
        <w:color w:themeColor="accent4" w:themeShade="95" w:themeTint="9A" w:val="B2A1C6"/>
      </w:rPr>
    </w:tblStylePr>
    <w:tblStylePr w:type="lastCol">
      <w:rPr>
        <w:b/>
        <w:color w:themeColor="accent4" w:themeShade="95" w:themeTint="9A" w:val="B2A1C6"/>
      </w:rPr>
    </w:tblStylePr>
    <w:tblStylePr w:type="band1Vert">
      <w:tblPr/>
      <w:tcPr>
        <w:shd w:color="DFD8E7" w:fill="DFD8E7" w:themeColor="accent4" w:themeFill="accent4" w:themeFillTint="40" w:themeTint="40" w:val="clear"/>
      </w:tcPr>
    </w:tblStylePr>
    <w:tblStylePr w:type="band1Horz">
      <w:rPr>
        <w:rFonts w:ascii="Arial" w:hAnsi="Arial"/>
        <w:color w:themeColor="accent4" w:themeShade="95" w:themeTint="9A" w:val="B2A1C6"/>
        <w:sz w:val="22"/>
      </w:rPr>
      <w:tblPr/>
      <w:tcPr>
        <w:shd w:color="DFD8E7" w:fill="DFD8E7" w:themeColor="accent4" w:themeFill="accent4" w:themeFillTint="40" w:themeTint="40" w:val="clear"/>
      </w:tcPr>
    </w:tblStylePr>
    <w:tblStylePr w:type="band2Horz">
      <w:rPr>
        <w:rFonts w:ascii="Arial" w:hAnsi="Arial"/>
        <w:color w:themeColor="accent4" w:themeShade="95" w:themeTint="9A" w:val="B2A1C6"/>
        <w:sz w:val="22"/>
      </w:rPr>
    </w:tblStylePr>
  </w:style>
  <w:style w:styleId="ListTable6Colorful-Accent5" w:type="table">
    <w:name w:val="List Table 6 Colorful Accent 5"/>
    <w:basedOn w:val="TableNormal"/>
    <w:uiPriority w:val="99"/>
    <w:pPr>
      <w:spacing w:after="0"/>
    </w:pPr>
    <w:tblPr>
      <w:tblStyleRowBandSize w:val="1"/>
      <w:tblStyleColBandSize w:val="1"/>
      <w:tblBorders>
        <w:top w:color="92CCDC" w:space="0" w:sz="4" w:themeColor="accent5" w:themeTint="9A" w:val="single"/>
        <w:bottom w:color="92CCDC" w:space="0" w:sz="4" w:themeColor="accent5" w:themeTint="9A" w:val="single"/>
      </w:tblBorders>
    </w:tblPr>
    <w:tblStylePr w:type="firstRow">
      <w:rPr>
        <w:b/>
        <w:color w:themeColor="accent5" w:themeShade="95" w:themeTint="9A" w:val="92CCDC"/>
      </w:rPr>
      <w:tblPr/>
      <w:tcPr>
        <w:tcBorders>
          <w:bottom w:color="92CCDC" w:space="0" w:sz="4" w:themeColor="accent5" w:themeTint="9A" w:val="single"/>
        </w:tcBorders>
      </w:tcPr>
    </w:tblStylePr>
    <w:tblStylePr w:type="lastRow">
      <w:rPr>
        <w:b/>
        <w:color w:themeColor="accent5" w:themeShade="95" w:themeTint="9A" w:val="92CCDC"/>
      </w:rPr>
      <w:tblPr/>
      <w:tcPr>
        <w:tcBorders>
          <w:top w:color="92CCDC" w:space="0" w:sz="4" w:themeColor="accent5" w:themeTint="9A" w:val="single"/>
        </w:tcBorders>
      </w:tcPr>
    </w:tblStylePr>
    <w:tblStylePr w:type="firstCol">
      <w:rPr>
        <w:b/>
        <w:color w:themeColor="accent5" w:themeShade="95" w:themeTint="9A" w:val="92CCDC"/>
      </w:rPr>
    </w:tblStylePr>
    <w:tblStylePr w:type="lastCol">
      <w:rPr>
        <w:b/>
        <w:color w:themeColor="accent5" w:themeShade="95" w:themeTint="9A" w:val="92CCDC"/>
      </w:rPr>
    </w:tblStylePr>
    <w:tblStylePr w:type="band1Vert">
      <w:tblPr/>
      <w:tcPr>
        <w:shd w:color="D1EAF0" w:fill="D1EAF0" w:themeColor="accent5" w:themeFill="accent5" w:themeFillTint="40" w:themeTint="40" w:val="clear"/>
      </w:tcPr>
    </w:tblStylePr>
    <w:tblStylePr w:type="band1Horz">
      <w:rPr>
        <w:rFonts w:ascii="Arial" w:hAnsi="Arial"/>
        <w:color w:themeColor="accent5" w:themeShade="95" w:themeTint="9A" w:val="92CCDC"/>
        <w:sz w:val="22"/>
      </w:rPr>
      <w:tblPr/>
      <w:tcPr>
        <w:shd w:color="D1EAF0" w:fill="D1EAF0" w:themeColor="accent5" w:themeFill="accent5" w:themeFillTint="40" w:themeTint="40" w:val="clear"/>
      </w:tcPr>
    </w:tblStylePr>
    <w:tblStylePr w:type="band2Horz">
      <w:rPr>
        <w:rFonts w:ascii="Arial" w:hAnsi="Arial"/>
        <w:color w:themeColor="accent5" w:themeShade="95" w:themeTint="9A" w:val="92CCDC"/>
        <w:sz w:val="22"/>
      </w:rPr>
    </w:tblStylePr>
  </w:style>
  <w:style w:styleId="ListTable6Colorful-Accent6" w:type="table">
    <w:name w:val="List Table 6 Colorful Accent 6"/>
    <w:basedOn w:val="TableNormal"/>
    <w:uiPriority w:val="99"/>
    <w:pPr>
      <w:spacing w:after="0"/>
    </w:pPr>
    <w:tblPr>
      <w:tblStyleRowBandSize w:val="1"/>
      <w:tblStyleColBandSize w:val="1"/>
      <w:tblBorders>
        <w:top w:color="FAC090" w:space="0" w:sz="4" w:themeColor="accent6" w:themeTint="98" w:val="single"/>
        <w:bottom w:color="FAC090" w:space="0" w:sz="4" w:themeColor="accent6" w:themeTint="98" w:val="single"/>
      </w:tblBorders>
    </w:tblPr>
    <w:tblStylePr w:type="firstRow">
      <w:rPr>
        <w:b/>
        <w:color w:themeColor="accent6" w:themeShade="95" w:themeTint="98" w:val="FAC090"/>
      </w:rPr>
      <w:tblPr/>
      <w:tcPr>
        <w:tcBorders>
          <w:bottom w:color="FAC090" w:space="0" w:sz="4" w:themeColor="accent6" w:themeTint="98" w:val="single"/>
        </w:tcBorders>
      </w:tcPr>
    </w:tblStylePr>
    <w:tblStylePr w:type="lastRow">
      <w:rPr>
        <w:b/>
        <w:color w:themeColor="accent6" w:themeShade="95" w:themeTint="98" w:val="FAC090"/>
      </w:rPr>
      <w:tblPr/>
      <w:tcPr>
        <w:tcBorders>
          <w:top w:color="FAC090" w:space="0" w:sz="4" w:themeColor="accent6" w:themeTint="98" w:val="single"/>
        </w:tcBorders>
      </w:tcPr>
    </w:tblStylePr>
    <w:tblStylePr w:type="firstCol">
      <w:rPr>
        <w:b/>
        <w:color w:themeColor="accent6" w:themeShade="95" w:themeTint="98" w:val="FAC090"/>
      </w:rPr>
    </w:tblStylePr>
    <w:tblStylePr w:type="lastCol">
      <w:rPr>
        <w:b/>
        <w:color w:themeColor="accent6" w:themeShade="95" w:themeTint="98" w:val="FAC090"/>
      </w:rPr>
    </w:tblStylePr>
    <w:tblStylePr w:type="band1Vert">
      <w:tblPr/>
      <w:tcPr>
        <w:shd w:color="FDE4D0" w:fill="FDE4D0" w:themeColor="accent6" w:themeFill="accent6" w:themeFillTint="40" w:themeTint="40" w:val="clear"/>
      </w:tcPr>
    </w:tblStylePr>
    <w:tblStylePr w:type="band1Horz">
      <w:rPr>
        <w:rFonts w:ascii="Arial" w:hAnsi="Arial"/>
        <w:color w:themeColor="accent6" w:themeShade="95" w:themeTint="98" w:val="FAC090"/>
        <w:sz w:val="22"/>
      </w:rPr>
      <w:tblPr/>
      <w:tcPr>
        <w:shd w:color="FDE4D0" w:fill="FDE4D0" w:themeColor="accent6" w:themeFill="accent6" w:themeFillTint="40" w:themeTint="40" w:val="clear"/>
      </w:tcPr>
    </w:tblStylePr>
    <w:tblStylePr w:type="band2Horz">
      <w:rPr>
        <w:rFonts w:ascii="Arial" w:hAnsi="Arial"/>
        <w:color w:themeColor="accent6" w:themeShade="95" w:themeTint="98" w:val="FAC090"/>
        <w:sz w:val="22"/>
      </w:rPr>
    </w:tblStylePr>
  </w:style>
  <w:style w:styleId="ListTable7Colorful" w:type="table">
    <w:name w:val="List Table 7 Colorful"/>
    <w:basedOn w:val="TableNormal"/>
    <w:uiPriority w:val="99"/>
    <w:pPr>
      <w:spacing w:after="0"/>
    </w:pPr>
    <w:tblPr>
      <w:tblStyleRowBandSize w:val="1"/>
      <w:tblStyleColBandSize w:val="1"/>
      <w:tblBorders>
        <w:right w:color="7F7F7F" w:space="0" w:sz="4" w:themeColor="text1" w:themeTint="80" w:val="single"/>
      </w:tblBorders>
    </w:tblPr>
    <w:tblStylePr w:type="firstRow">
      <w:rPr>
        <w:rFonts w:ascii="Arial" w:hAnsi="Arial"/>
        <w:i/>
        <w:color w:themeColor="text1" w:themeShade="95" w:themeTint="80" w:val="7F7F7F"/>
        <w:sz w:val="22"/>
      </w:rPr>
      <w:tblPr/>
      <w:tcPr>
        <w:tcBorders>
          <w:top w:color="auto" w:space="0" w:sz="0" w:val="none"/>
          <w:left w:color="auto" w:space="0" w:sz="0" w:val="none"/>
          <w:bottom w:color="7F7F7F" w:space="0" w:sz="4" w:themeColor="text1" w:themeTint="80" w:val="single"/>
          <w:right w:color="auto" w:space="0" w:sz="0" w:val="none"/>
        </w:tcBorders>
        <w:shd w:color="FFFFFF" w:fill="FFFFFF" w:themeColor="light1" w:themeFill="light1" w:val="clear"/>
      </w:tcPr>
    </w:tblStylePr>
    <w:tblStylePr w:type="lastRow">
      <w:rPr>
        <w:rFonts w:ascii="Arial" w:hAnsi="Arial"/>
        <w:i/>
        <w:color w:themeColor="text1" w:themeShade="95" w:themeTint="80" w:val="7F7F7F"/>
        <w:sz w:val="22"/>
      </w:rPr>
      <w:tblPr/>
      <w:tcPr>
        <w:tcBorders>
          <w:top w:color="7F7F7F" w:space="0" w:sz="4" w:themeColor="text1" w:themeTint="80"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text1" w:themeShade="95" w:themeTint="80" w:val="7F7F7F"/>
        <w:sz w:val="22"/>
      </w:rPr>
      <w:tblPr/>
      <w:tcPr>
        <w:tcBorders>
          <w:top w:color="auto" w:space="0" w:sz="0" w:val="none"/>
          <w:left w:color="auto" w:space="0" w:sz="0" w:val="none"/>
          <w:bottom w:color="auto" w:space="0" w:sz="0" w:val="none"/>
          <w:right w:color="7F7F7F" w:space="0" w:sz="4" w:themeColor="text1" w:themeTint="80" w:val="single"/>
        </w:tcBorders>
        <w:shd w:color="FFFFFF" w:fill="auto" w:val="clear"/>
      </w:tcPr>
    </w:tblStylePr>
    <w:tblStylePr w:type="lastCol">
      <w:rPr>
        <w:rFonts w:ascii="Arial" w:hAnsi="Arial"/>
        <w:i/>
        <w:color w:themeColor="text1" w:themeShade="95" w:themeTint="80" w:val="7F7F7F"/>
        <w:sz w:val="22"/>
      </w:rPr>
      <w:tblPr/>
      <w:tcPr>
        <w:tcBorders>
          <w:top w:color="auto" w:space="0" w:sz="0" w:val="none"/>
          <w:left w:color="7F7F7F" w:space="0" w:sz="4" w:themeColor="text1" w:themeTint="80" w:val="single"/>
          <w:bottom w:color="auto" w:space="0" w:sz="0" w:val="none"/>
          <w:right w:color="auto" w:space="0" w:sz="0" w:val="none"/>
        </w:tcBorders>
        <w:shd w:color="FFFFFF" w:fill="auto" w:val="clear"/>
      </w:tcPr>
    </w:tblStylePr>
    <w:tblStylePr w:type="band1Vert">
      <w:tblPr/>
      <w:tcPr>
        <w:shd w:color="BFBFBF" w:fill="BFBFBF" w:themeColor="text1" w:themeFill="text1" w:themeFillTint="40" w:themeTint="40" w:val="clear"/>
      </w:tcPr>
    </w:tblStylePr>
    <w:tblStylePr w:type="band1Horz">
      <w:rPr>
        <w:rFonts w:ascii="Arial" w:hAnsi="Arial"/>
        <w:color w:themeColor="text1" w:themeShade="95" w:themeTint="80" w:val="7F7F7F"/>
        <w:sz w:val="22"/>
      </w:rPr>
      <w:tblPr/>
      <w:tcPr>
        <w:shd w:color="BFBFBF" w:fill="BFBFBF" w:themeColor="text1" w:themeFill="text1" w:themeFillTint="40" w:themeTint="40" w:val="clear"/>
      </w:tcPr>
    </w:tblStylePr>
    <w:tblStylePr w:type="band2Horz">
      <w:rPr>
        <w:rFonts w:ascii="Arial" w:hAnsi="Arial"/>
        <w:color w:themeColor="text1" w:themeShade="95" w:themeTint="80" w:val="7F7F7F"/>
        <w:sz w:val="22"/>
      </w:rPr>
    </w:tblStylePr>
  </w:style>
  <w:style w:styleId="ListTable7Colorful-Accent1" w:type="table">
    <w:name w:val="List Table 7 Colorful Accent 1"/>
    <w:basedOn w:val="TableNormal"/>
    <w:uiPriority w:val="99"/>
    <w:pPr>
      <w:spacing w:after="0"/>
    </w:pPr>
    <w:tblPr>
      <w:tblStyleRowBandSize w:val="1"/>
      <w:tblStyleColBandSize w:val="1"/>
      <w:tblBorders>
        <w:right w:color="4F81BD" w:space="0" w:sz="4" w:themeColor="accent1" w:val="single"/>
      </w:tblBorders>
    </w:tblPr>
    <w:tblStylePr w:type="firstRow">
      <w:rPr>
        <w:rFonts w:ascii="Arial" w:hAnsi="Arial"/>
        <w:i/>
        <w:color w:themeColor="accent1" w:themeShade="95" w:val="2A4A71"/>
        <w:sz w:val="22"/>
      </w:rPr>
      <w:tblPr/>
      <w:tcPr>
        <w:tcBorders>
          <w:top w:color="auto" w:space="0" w:sz="0" w:val="none"/>
          <w:left w:color="auto" w:space="0" w:sz="0" w:val="none"/>
          <w:bottom w:color="4F81BD" w:space="0" w:sz="4" w:themeColor="accent1" w:val="single"/>
          <w:right w:color="auto" w:space="0" w:sz="0" w:val="none"/>
        </w:tcBorders>
        <w:shd w:color="FFFFFF" w:fill="FFFFFF" w:themeColor="light1" w:themeFill="light1" w:val="clear"/>
      </w:tcPr>
    </w:tblStylePr>
    <w:tblStylePr w:type="lastRow">
      <w:rPr>
        <w:rFonts w:ascii="Arial" w:hAnsi="Arial"/>
        <w:i/>
        <w:color w:themeColor="accent1" w:themeShade="95" w:val="2A4A71"/>
        <w:sz w:val="22"/>
      </w:rPr>
      <w:tblPr/>
      <w:tcPr>
        <w:tcBorders>
          <w:top w:color="4F81BD" w:space="0" w:sz="4" w:themeColor="accent1"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1" w:themeShade="95" w:val="2A4A71"/>
        <w:sz w:val="22"/>
      </w:rPr>
      <w:tblPr/>
      <w:tcPr>
        <w:tcBorders>
          <w:top w:color="auto" w:space="0" w:sz="0" w:val="none"/>
          <w:left w:color="auto" w:space="0" w:sz="0" w:val="none"/>
          <w:bottom w:color="auto" w:space="0" w:sz="0" w:val="none"/>
          <w:right w:color="4F81BD" w:space="0" w:sz="4" w:themeColor="accent1" w:val="single"/>
        </w:tcBorders>
        <w:shd w:color="FFFFFF" w:fill="auto" w:val="clear"/>
      </w:tcPr>
    </w:tblStylePr>
    <w:tblStylePr w:type="lastCol">
      <w:rPr>
        <w:rFonts w:ascii="Arial" w:hAnsi="Arial"/>
        <w:i/>
        <w:color w:themeColor="accent1" w:themeShade="95" w:val="2A4A71"/>
        <w:sz w:val="22"/>
      </w:rPr>
      <w:tblPr/>
      <w:tcPr>
        <w:tcBorders>
          <w:top w:color="auto" w:space="0" w:sz="0" w:val="none"/>
          <w:left w:color="4F81BD" w:space="0" w:sz="4" w:themeColor="accent1" w:val="single"/>
          <w:bottom w:color="auto" w:space="0" w:sz="0" w:val="none"/>
          <w:right w:color="auto" w:space="0" w:sz="0" w:val="none"/>
        </w:tcBorders>
        <w:shd w:color="FFFFFF" w:fill="auto" w:val="clear"/>
      </w:tcPr>
    </w:tblStylePr>
    <w:tblStylePr w:type="band1Vert">
      <w:tblPr/>
      <w:tcPr>
        <w:shd w:color="D2DFEE" w:fill="D2DFEE" w:themeColor="accent1" w:themeFill="accent1" w:themeFillTint="40" w:themeTint="40" w:val="clear"/>
      </w:tcPr>
    </w:tblStylePr>
    <w:tblStylePr w:type="band1Horz">
      <w:rPr>
        <w:rFonts w:ascii="Arial" w:hAnsi="Arial"/>
        <w:color w:themeColor="accent1" w:themeShade="95" w:val="2A4A71"/>
        <w:sz w:val="22"/>
      </w:rPr>
      <w:tblPr/>
      <w:tcPr>
        <w:shd w:color="D2DFEE" w:fill="D2DFEE" w:themeColor="accent1" w:themeFill="accent1" w:themeFillTint="40" w:themeTint="40" w:val="clear"/>
      </w:tcPr>
    </w:tblStylePr>
    <w:tblStylePr w:type="band2Horz">
      <w:rPr>
        <w:rFonts w:ascii="Arial" w:hAnsi="Arial"/>
        <w:color w:themeColor="accent1" w:themeShade="95" w:val="2A4A71"/>
        <w:sz w:val="22"/>
      </w:rPr>
    </w:tblStylePr>
  </w:style>
  <w:style w:styleId="ListTable7Colorful-Accent2" w:type="table">
    <w:name w:val="List Table 7 Colorful Accent 2"/>
    <w:basedOn w:val="TableNormal"/>
    <w:uiPriority w:val="99"/>
    <w:pPr>
      <w:spacing w:after="0"/>
    </w:pPr>
    <w:tblPr>
      <w:tblStyleRowBandSize w:val="1"/>
      <w:tblStyleColBandSize w:val="1"/>
      <w:tblBorders>
        <w:right w:color="D99695" w:space="0" w:sz="4" w:themeColor="accent2" w:themeTint="97" w:val="single"/>
      </w:tblBorders>
    </w:tblPr>
    <w:tblStylePr w:type="firstRow">
      <w:rPr>
        <w:rFonts w:ascii="Arial" w:hAnsi="Arial"/>
        <w:i/>
        <w:color w:themeColor="accent2" w:themeShade="95" w:themeTint="97" w:val="D99695"/>
        <w:sz w:val="22"/>
      </w:rPr>
      <w:tblPr/>
      <w:tcPr>
        <w:tcBorders>
          <w:top w:color="auto" w:space="0" w:sz="0" w:val="none"/>
          <w:left w:color="auto" w:space="0" w:sz="0" w:val="none"/>
          <w:bottom w:color="D99695" w:space="0" w:sz="4" w:themeColor="accent2" w:themeTint="97" w:val="single"/>
          <w:right w:color="auto" w:space="0" w:sz="0" w:val="none"/>
        </w:tcBorders>
        <w:shd w:color="FFFFFF" w:fill="FFFFFF" w:themeColor="light1" w:themeFill="light1" w:val="clear"/>
      </w:tcPr>
    </w:tblStylePr>
    <w:tblStylePr w:type="lastRow">
      <w:rPr>
        <w:rFonts w:ascii="Arial" w:hAnsi="Arial"/>
        <w:i/>
        <w:color w:themeColor="accent2" w:themeShade="95" w:themeTint="97" w:val="D99695"/>
        <w:sz w:val="22"/>
      </w:rPr>
      <w:tblPr/>
      <w:tcPr>
        <w:tcBorders>
          <w:top w:color="D99695" w:space="0" w:sz="4" w:themeColor="accent2" w:themeTint="97"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2" w:themeShade="95" w:themeTint="97" w:val="D99695"/>
        <w:sz w:val="22"/>
      </w:rPr>
      <w:tblPr/>
      <w:tcPr>
        <w:tcBorders>
          <w:top w:color="auto" w:space="0" w:sz="0" w:val="none"/>
          <w:left w:color="auto" w:space="0" w:sz="0" w:val="none"/>
          <w:bottom w:color="auto" w:space="0" w:sz="0" w:val="none"/>
          <w:right w:color="D99695" w:space="0" w:sz="4" w:themeColor="accent2" w:themeTint="97" w:val="single"/>
        </w:tcBorders>
        <w:shd w:color="FFFFFF" w:fill="auto" w:val="clear"/>
      </w:tcPr>
    </w:tblStylePr>
    <w:tblStylePr w:type="lastCol">
      <w:rPr>
        <w:rFonts w:ascii="Arial" w:hAnsi="Arial"/>
        <w:i/>
        <w:color w:themeColor="accent2" w:themeShade="95" w:themeTint="97" w:val="D99695"/>
        <w:sz w:val="22"/>
      </w:rPr>
      <w:tblPr/>
      <w:tcPr>
        <w:tcBorders>
          <w:top w:color="auto" w:space="0" w:sz="0" w:val="none"/>
          <w:left w:color="D99695" w:space="0" w:sz="4" w:themeColor="accent2" w:themeTint="97" w:val="single"/>
          <w:bottom w:color="auto" w:space="0" w:sz="0" w:val="none"/>
          <w:right w:color="auto" w:space="0" w:sz="0" w:val="none"/>
        </w:tcBorders>
        <w:shd w:color="FFFFFF" w:fill="auto" w:val="clear"/>
      </w:tcPr>
    </w:tblStylePr>
    <w:tblStylePr w:type="band1Vert">
      <w:tblPr/>
      <w:tcPr>
        <w:shd w:color="EFD2D2" w:fill="EFD2D2" w:themeColor="accent2" w:themeFill="accent2" w:themeFillTint="40" w:themeTint="40" w:val="clear"/>
      </w:tcPr>
    </w:tblStylePr>
    <w:tblStylePr w:type="band1Horz">
      <w:rPr>
        <w:rFonts w:ascii="Arial" w:hAnsi="Arial"/>
        <w:color w:themeColor="accent2" w:themeShade="95" w:themeTint="97" w:val="D99695"/>
        <w:sz w:val="22"/>
      </w:rPr>
      <w:tblPr/>
      <w:tcPr>
        <w:shd w:color="EFD2D2" w:fill="EFD2D2" w:themeColor="accent2" w:themeFill="accent2" w:themeFillTint="40" w:themeTint="40" w:val="clear"/>
      </w:tcPr>
    </w:tblStylePr>
    <w:tblStylePr w:type="band2Horz">
      <w:rPr>
        <w:rFonts w:ascii="Arial" w:hAnsi="Arial"/>
        <w:color w:themeColor="accent2" w:themeShade="95" w:themeTint="97" w:val="D99695"/>
        <w:sz w:val="22"/>
      </w:rPr>
    </w:tblStylePr>
  </w:style>
  <w:style w:styleId="ListTable7Colorful-Accent3" w:type="table">
    <w:name w:val="List Table 7 Colorful Accent 3"/>
    <w:basedOn w:val="TableNormal"/>
    <w:uiPriority w:val="99"/>
    <w:pPr>
      <w:spacing w:after="0"/>
    </w:pPr>
    <w:tblPr>
      <w:tblStyleRowBandSize w:val="1"/>
      <w:tblStyleColBandSize w:val="1"/>
      <w:tblBorders>
        <w:right w:color="C3D69B" w:space="0" w:sz="4" w:themeColor="accent3" w:themeTint="98" w:val="single"/>
      </w:tblBorders>
    </w:tblPr>
    <w:tblStylePr w:type="firstRow">
      <w:rPr>
        <w:rFonts w:ascii="Arial" w:hAnsi="Arial"/>
        <w:i/>
        <w:color w:themeColor="accent3" w:themeShade="95" w:themeTint="98" w:val="C3D69B"/>
        <w:sz w:val="22"/>
      </w:rPr>
      <w:tblPr/>
      <w:tcPr>
        <w:tcBorders>
          <w:top w:color="auto" w:space="0" w:sz="0" w:val="none"/>
          <w:left w:color="auto" w:space="0" w:sz="0" w:val="none"/>
          <w:bottom w:color="C3D69B" w:space="0" w:sz="4" w:themeColor="accent3" w:themeTint="98" w:val="single"/>
          <w:right w:color="auto" w:space="0" w:sz="0" w:val="none"/>
        </w:tcBorders>
        <w:shd w:color="FFFFFF" w:fill="FFFFFF" w:themeColor="light1" w:themeFill="light1" w:val="clear"/>
      </w:tcPr>
    </w:tblStylePr>
    <w:tblStylePr w:type="lastRow">
      <w:rPr>
        <w:rFonts w:ascii="Arial" w:hAnsi="Arial"/>
        <w:i/>
        <w:color w:themeColor="accent3" w:themeShade="95" w:themeTint="98" w:val="C3D69B"/>
        <w:sz w:val="22"/>
      </w:rPr>
      <w:tblPr/>
      <w:tcPr>
        <w:tcBorders>
          <w:top w:color="C3D69B" w:space="0" w:sz="4" w:themeColor="accent3" w:themeTint="98"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3" w:themeShade="95" w:themeTint="98" w:val="C3D69B"/>
        <w:sz w:val="22"/>
      </w:rPr>
      <w:tblPr/>
      <w:tcPr>
        <w:tcBorders>
          <w:top w:color="auto" w:space="0" w:sz="0" w:val="none"/>
          <w:left w:color="auto" w:space="0" w:sz="0" w:val="none"/>
          <w:bottom w:color="auto" w:space="0" w:sz="0" w:val="none"/>
          <w:right w:color="C3D69B" w:space="0" w:sz="4" w:themeColor="accent3" w:themeTint="98" w:val="single"/>
        </w:tcBorders>
        <w:shd w:color="FFFFFF" w:fill="auto" w:val="clear"/>
      </w:tcPr>
    </w:tblStylePr>
    <w:tblStylePr w:type="lastCol">
      <w:rPr>
        <w:rFonts w:ascii="Arial" w:hAnsi="Arial"/>
        <w:i/>
        <w:color w:themeColor="accent3" w:themeShade="95" w:themeTint="98" w:val="C3D69B"/>
        <w:sz w:val="22"/>
      </w:rPr>
      <w:tblPr/>
      <w:tcPr>
        <w:tcBorders>
          <w:top w:color="auto" w:space="0" w:sz="0" w:val="none"/>
          <w:left w:color="C3D69B" w:space="0" w:sz="4" w:themeColor="accent3" w:themeTint="98" w:val="single"/>
          <w:bottom w:color="auto" w:space="0" w:sz="0" w:val="none"/>
          <w:right w:color="auto" w:space="0" w:sz="0" w:val="none"/>
        </w:tcBorders>
        <w:shd w:color="FFFFFF" w:fill="auto" w:val="clear"/>
      </w:tcPr>
    </w:tblStylePr>
    <w:tblStylePr w:type="band1Vert">
      <w:tblPr/>
      <w:tcPr>
        <w:shd w:color="E5EED5" w:fill="E5EED5" w:themeColor="accent3" w:themeFill="accent3" w:themeFillTint="40" w:themeTint="40" w:val="clear"/>
      </w:tcPr>
    </w:tblStylePr>
    <w:tblStylePr w:type="band1Horz">
      <w:rPr>
        <w:rFonts w:ascii="Arial" w:hAnsi="Arial"/>
        <w:color w:themeColor="accent3" w:themeShade="95" w:themeTint="98" w:val="C3D69B"/>
        <w:sz w:val="22"/>
      </w:rPr>
      <w:tblPr/>
      <w:tcPr>
        <w:shd w:color="E5EED5" w:fill="E5EED5" w:themeColor="accent3" w:themeFill="accent3" w:themeFillTint="40" w:themeTint="40" w:val="clear"/>
      </w:tcPr>
    </w:tblStylePr>
    <w:tblStylePr w:type="band2Horz">
      <w:rPr>
        <w:rFonts w:ascii="Arial" w:hAnsi="Arial"/>
        <w:color w:themeColor="accent3" w:themeShade="95" w:themeTint="98" w:val="C3D69B"/>
        <w:sz w:val="22"/>
      </w:rPr>
    </w:tblStylePr>
  </w:style>
  <w:style w:styleId="ListTable7Colorful-Accent4" w:type="table">
    <w:name w:val="List Table 7 Colorful Accent 4"/>
    <w:basedOn w:val="TableNormal"/>
    <w:uiPriority w:val="99"/>
    <w:pPr>
      <w:spacing w:after="0"/>
    </w:pPr>
    <w:tblPr>
      <w:tblStyleRowBandSize w:val="1"/>
      <w:tblStyleColBandSize w:val="1"/>
      <w:tblBorders>
        <w:right w:color="B2A1C6" w:space="0" w:sz="4" w:themeColor="accent4" w:themeTint="9A" w:val="single"/>
      </w:tblBorders>
    </w:tblPr>
    <w:tblStylePr w:type="firstRow">
      <w:rPr>
        <w:rFonts w:ascii="Arial" w:hAnsi="Arial"/>
        <w:i/>
        <w:color w:themeColor="accent4" w:themeShade="95" w:themeTint="9A" w:val="B2A1C6"/>
        <w:sz w:val="22"/>
      </w:rPr>
      <w:tblPr/>
      <w:tcPr>
        <w:tcBorders>
          <w:top w:color="auto" w:space="0" w:sz="0" w:val="none"/>
          <w:left w:color="auto" w:space="0" w:sz="0" w:val="none"/>
          <w:bottom w:color="B2A1C6" w:space="0" w:sz="4" w:themeColor="accent4" w:themeTint="9A" w:val="single"/>
          <w:right w:color="auto" w:space="0" w:sz="0" w:val="none"/>
        </w:tcBorders>
        <w:shd w:color="FFFFFF" w:fill="FFFFFF" w:themeColor="light1" w:themeFill="light1" w:val="clear"/>
      </w:tcPr>
    </w:tblStylePr>
    <w:tblStylePr w:type="lastRow">
      <w:rPr>
        <w:rFonts w:ascii="Arial" w:hAnsi="Arial"/>
        <w:i/>
        <w:color w:themeColor="accent4" w:themeShade="95" w:themeTint="9A" w:val="B2A1C6"/>
        <w:sz w:val="22"/>
      </w:rPr>
      <w:tblPr/>
      <w:tcPr>
        <w:tcBorders>
          <w:top w:color="B2A1C6" w:space="0" w:sz="4" w:themeColor="accent4" w:themeTint="9A"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4" w:themeShade="95" w:themeTint="9A" w:val="B2A1C6"/>
        <w:sz w:val="22"/>
      </w:rPr>
      <w:tblPr/>
      <w:tcPr>
        <w:tcBorders>
          <w:top w:color="auto" w:space="0" w:sz="0" w:val="none"/>
          <w:left w:color="auto" w:space="0" w:sz="0" w:val="none"/>
          <w:bottom w:color="auto" w:space="0" w:sz="0" w:val="none"/>
          <w:right w:color="B2A1C6" w:space="0" w:sz="4" w:themeColor="accent4" w:themeTint="9A" w:val="single"/>
        </w:tcBorders>
        <w:shd w:color="FFFFFF" w:fill="auto" w:val="clear"/>
      </w:tcPr>
    </w:tblStylePr>
    <w:tblStylePr w:type="lastCol">
      <w:rPr>
        <w:rFonts w:ascii="Arial" w:hAnsi="Arial"/>
        <w:i/>
        <w:color w:themeColor="accent4" w:themeShade="95" w:themeTint="9A" w:val="B2A1C6"/>
        <w:sz w:val="22"/>
      </w:rPr>
      <w:tblPr/>
      <w:tcPr>
        <w:tcBorders>
          <w:top w:color="auto" w:space="0" w:sz="0" w:val="none"/>
          <w:left w:color="B2A1C6" w:space="0" w:sz="4" w:themeColor="accent4" w:themeTint="9A" w:val="single"/>
          <w:bottom w:color="auto" w:space="0" w:sz="0" w:val="none"/>
          <w:right w:color="auto" w:space="0" w:sz="0" w:val="none"/>
        </w:tcBorders>
        <w:shd w:color="FFFFFF" w:fill="auto" w:val="clear"/>
      </w:tcPr>
    </w:tblStylePr>
    <w:tblStylePr w:type="band1Vert">
      <w:tblPr/>
      <w:tcPr>
        <w:shd w:color="DFD8E7" w:fill="DFD8E7" w:themeColor="accent4" w:themeFill="accent4" w:themeFillTint="40" w:themeTint="40" w:val="clear"/>
      </w:tcPr>
    </w:tblStylePr>
    <w:tblStylePr w:type="band1Horz">
      <w:rPr>
        <w:rFonts w:ascii="Arial" w:hAnsi="Arial"/>
        <w:color w:themeColor="accent4" w:themeShade="95" w:themeTint="9A" w:val="B2A1C6"/>
        <w:sz w:val="22"/>
      </w:rPr>
      <w:tblPr/>
      <w:tcPr>
        <w:shd w:color="DFD8E7" w:fill="DFD8E7" w:themeColor="accent4" w:themeFill="accent4" w:themeFillTint="40" w:themeTint="40" w:val="clear"/>
      </w:tcPr>
    </w:tblStylePr>
    <w:tblStylePr w:type="band2Horz">
      <w:rPr>
        <w:rFonts w:ascii="Arial" w:hAnsi="Arial"/>
        <w:color w:themeColor="accent4" w:themeShade="95" w:themeTint="9A" w:val="B2A1C6"/>
        <w:sz w:val="22"/>
      </w:rPr>
    </w:tblStylePr>
  </w:style>
  <w:style w:styleId="ListTable7Colorful-Accent5" w:type="table">
    <w:name w:val="List Table 7 Colorful Accent 5"/>
    <w:basedOn w:val="TableNormal"/>
    <w:uiPriority w:val="99"/>
    <w:pPr>
      <w:spacing w:after="0"/>
    </w:pPr>
    <w:tblPr>
      <w:tblStyleRowBandSize w:val="1"/>
      <w:tblStyleColBandSize w:val="1"/>
      <w:tblBorders>
        <w:right w:color="92CCDC" w:space="0" w:sz="4" w:themeColor="accent5" w:themeTint="9A" w:val="single"/>
      </w:tblBorders>
    </w:tblPr>
    <w:tblStylePr w:type="firstRow">
      <w:rPr>
        <w:rFonts w:ascii="Arial" w:hAnsi="Arial"/>
        <w:i/>
        <w:color w:themeColor="accent5" w:themeShade="95" w:themeTint="9A" w:val="92CCDC"/>
        <w:sz w:val="22"/>
      </w:rPr>
      <w:tblPr/>
      <w:tcPr>
        <w:tcBorders>
          <w:top w:color="auto" w:space="0" w:sz="0" w:val="none"/>
          <w:left w:color="auto" w:space="0" w:sz="0" w:val="none"/>
          <w:bottom w:color="92CCDC" w:space="0" w:sz="4" w:themeColor="accent5" w:themeTint="9A" w:val="single"/>
          <w:right w:color="auto" w:space="0" w:sz="0" w:val="none"/>
        </w:tcBorders>
        <w:shd w:color="FFFFFF" w:fill="FFFFFF" w:themeColor="light1" w:themeFill="light1" w:val="clear"/>
      </w:tcPr>
    </w:tblStylePr>
    <w:tblStylePr w:type="lastRow">
      <w:rPr>
        <w:rFonts w:ascii="Arial" w:hAnsi="Arial"/>
        <w:i/>
        <w:color w:themeColor="accent5" w:themeShade="95" w:themeTint="9A" w:val="92CCDC"/>
        <w:sz w:val="22"/>
      </w:rPr>
      <w:tblPr/>
      <w:tcPr>
        <w:tcBorders>
          <w:top w:color="92CCDC" w:space="0" w:sz="4" w:themeColor="accent5" w:themeTint="9A"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5" w:themeShade="95" w:themeTint="9A" w:val="92CCDC"/>
        <w:sz w:val="22"/>
      </w:rPr>
      <w:tblPr/>
      <w:tcPr>
        <w:tcBorders>
          <w:top w:color="auto" w:space="0" w:sz="0" w:val="none"/>
          <w:left w:color="auto" w:space="0" w:sz="0" w:val="none"/>
          <w:bottom w:color="auto" w:space="0" w:sz="0" w:val="none"/>
          <w:right w:color="92CCDC" w:space="0" w:sz="4" w:themeColor="accent5" w:themeTint="9A" w:val="single"/>
        </w:tcBorders>
        <w:shd w:color="FFFFFF" w:fill="auto" w:val="clear"/>
      </w:tcPr>
    </w:tblStylePr>
    <w:tblStylePr w:type="lastCol">
      <w:rPr>
        <w:rFonts w:ascii="Arial" w:hAnsi="Arial"/>
        <w:i/>
        <w:color w:themeColor="accent5" w:themeShade="95" w:themeTint="9A" w:val="92CCDC"/>
        <w:sz w:val="22"/>
      </w:rPr>
      <w:tblPr/>
      <w:tcPr>
        <w:tcBorders>
          <w:top w:color="auto" w:space="0" w:sz="0" w:val="none"/>
          <w:left w:color="92CCDC" w:space="0" w:sz="4" w:themeColor="accent5" w:themeTint="9A" w:val="single"/>
          <w:bottom w:color="auto" w:space="0" w:sz="0" w:val="none"/>
          <w:right w:color="auto" w:space="0" w:sz="0" w:val="none"/>
        </w:tcBorders>
        <w:shd w:color="FFFFFF" w:fill="auto" w:val="clear"/>
      </w:tcPr>
    </w:tblStylePr>
    <w:tblStylePr w:type="band1Vert">
      <w:tblPr/>
      <w:tcPr>
        <w:shd w:color="D1EAF0" w:fill="D1EAF0" w:themeColor="accent5" w:themeFill="accent5" w:themeFillTint="40" w:themeTint="40" w:val="clear"/>
      </w:tcPr>
    </w:tblStylePr>
    <w:tblStylePr w:type="band1Horz">
      <w:rPr>
        <w:rFonts w:ascii="Arial" w:hAnsi="Arial"/>
        <w:color w:themeColor="accent5" w:themeShade="95" w:themeTint="9A" w:val="92CCDC"/>
        <w:sz w:val="22"/>
      </w:rPr>
      <w:tblPr/>
      <w:tcPr>
        <w:shd w:color="D1EAF0" w:fill="D1EAF0" w:themeColor="accent5" w:themeFill="accent5" w:themeFillTint="40" w:themeTint="40" w:val="clear"/>
      </w:tcPr>
    </w:tblStylePr>
    <w:tblStylePr w:type="band2Horz">
      <w:rPr>
        <w:rFonts w:ascii="Arial" w:hAnsi="Arial"/>
        <w:color w:themeColor="accent5" w:themeShade="95" w:themeTint="9A" w:val="92CCDC"/>
        <w:sz w:val="22"/>
      </w:rPr>
    </w:tblStylePr>
  </w:style>
  <w:style w:styleId="ListTable7Colorful-Accent6" w:type="table">
    <w:name w:val="List Table 7 Colorful Accent 6"/>
    <w:basedOn w:val="TableNormal"/>
    <w:uiPriority w:val="99"/>
    <w:pPr>
      <w:spacing w:after="0"/>
    </w:pPr>
    <w:tblPr>
      <w:tblStyleRowBandSize w:val="1"/>
      <w:tblStyleColBandSize w:val="1"/>
      <w:tblBorders>
        <w:right w:color="FAC090" w:space="0" w:sz="4" w:themeColor="accent6" w:themeTint="98" w:val="single"/>
      </w:tblBorders>
    </w:tblPr>
    <w:tblStylePr w:type="firstRow">
      <w:rPr>
        <w:rFonts w:ascii="Arial" w:hAnsi="Arial"/>
        <w:i/>
        <w:color w:themeColor="accent6" w:themeShade="95" w:themeTint="98" w:val="FAC090"/>
        <w:sz w:val="22"/>
      </w:rPr>
      <w:tblPr/>
      <w:tcPr>
        <w:tcBorders>
          <w:top w:color="auto" w:space="0" w:sz="0" w:val="none"/>
          <w:left w:color="auto" w:space="0" w:sz="0" w:val="none"/>
          <w:bottom w:color="FAC090" w:space="0" w:sz="4" w:themeColor="accent6" w:themeTint="98" w:val="single"/>
          <w:right w:color="auto" w:space="0" w:sz="0" w:val="none"/>
        </w:tcBorders>
        <w:shd w:color="FFFFFF" w:fill="FFFFFF" w:themeColor="light1" w:themeFill="light1" w:val="clear"/>
      </w:tcPr>
    </w:tblStylePr>
    <w:tblStylePr w:type="lastRow">
      <w:rPr>
        <w:rFonts w:ascii="Arial" w:hAnsi="Arial"/>
        <w:i/>
        <w:color w:themeColor="accent6" w:themeShade="95" w:themeTint="98" w:val="FAC090"/>
        <w:sz w:val="22"/>
      </w:rPr>
      <w:tblPr/>
      <w:tcPr>
        <w:tcBorders>
          <w:top w:color="FAC090" w:space="0" w:sz="4" w:themeColor="accent6" w:themeTint="98" w:val="single"/>
          <w:left w:color="auto" w:space="0" w:sz="0" w:val="none"/>
          <w:bottom w:color="auto" w:space="0" w:sz="0" w:val="none"/>
          <w:right w:color="auto" w:space="0" w:sz="0" w:val="none"/>
        </w:tcBorders>
        <w:shd w:color="FFFFFF" w:fill="FFFFFF" w:themeColor="light1" w:themeFill="light1" w:val="clear"/>
      </w:tcPr>
    </w:tblStylePr>
    <w:tblStylePr w:type="firstCol">
      <w:pPr>
        <w:jc w:val="right"/>
      </w:pPr>
      <w:rPr>
        <w:rFonts w:ascii="Arial" w:hAnsi="Arial"/>
        <w:i/>
        <w:color w:themeColor="accent6" w:themeShade="95" w:themeTint="98" w:val="FAC090"/>
        <w:sz w:val="22"/>
      </w:rPr>
      <w:tblPr/>
      <w:tcPr>
        <w:tcBorders>
          <w:top w:color="auto" w:space="0" w:sz="0" w:val="none"/>
          <w:left w:color="auto" w:space="0" w:sz="0" w:val="none"/>
          <w:bottom w:color="auto" w:space="0" w:sz="0" w:val="none"/>
          <w:right w:color="FAC090" w:space="0" w:sz="4" w:themeColor="accent6" w:themeTint="98" w:val="single"/>
        </w:tcBorders>
        <w:shd w:color="FFFFFF" w:fill="auto" w:val="clear"/>
      </w:tcPr>
    </w:tblStylePr>
    <w:tblStylePr w:type="lastCol">
      <w:rPr>
        <w:rFonts w:ascii="Arial" w:hAnsi="Arial"/>
        <w:i/>
        <w:color w:themeColor="accent6" w:themeShade="95" w:themeTint="98" w:val="FAC090"/>
        <w:sz w:val="22"/>
      </w:rPr>
      <w:tblPr/>
      <w:tcPr>
        <w:tcBorders>
          <w:top w:color="auto" w:space="0" w:sz="0" w:val="none"/>
          <w:left w:color="FAC090" w:space="0" w:sz="4" w:themeColor="accent6" w:themeTint="98" w:val="single"/>
          <w:bottom w:color="auto" w:space="0" w:sz="0" w:val="none"/>
          <w:right w:color="auto" w:space="0" w:sz="0" w:val="none"/>
        </w:tcBorders>
        <w:shd w:color="FFFFFF" w:fill="auto" w:val="clear"/>
      </w:tcPr>
    </w:tblStylePr>
    <w:tblStylePr w:type="band1Vert">
      <w:tblPr/>
      <w:tcPr>
        <w:shd w:color="FDE4D0" w:fill="FDE4D0" w:themeColor="accent6" w:themeFill="accent6" w:themeFillTint="40" w:themeTint="40" w:val="clear"/>
      </w:tcPr>
    </w:tblStylePr>
    <w:tblStylePr w:type="band1Horz">
      <w:rPr>
        <w:rFonts w:ascii="Arial" w:hAnsi="Arial"/>
        <w:color w:themeColor="accent6" w:themeShade="95" w:themeTint="98" w:val="FAC090"/>
        <w:sz w:val="22"/>
      </w:rPr>
      <w:tblPr/>
      <w:tcPr>
        <w:shd w:color="FDE4D0" w:fill="FDE4D0" w:themeColor="accent6" w:themeFill="accent6" w:themeFillTint="40" w:themeTint="40" w:val="clear"/>
      </w:tcPr>
    </w:tblStylePr>
    <w:tblStylePr w:type="band2Horz">
      <w:rPr>
        <w:rFonts w:ascii="Arial" w:hAnsi="Arial"/>
        <w:color w:themeColor="accent6" w:themeShade="95" w:themeTint="98" w:val="FAC090"/>
        <w:sz w:val="22"/>
      </w:rPr>
    </w:tblStylePr>
  </w:style>
  <w:style w:customStyle="1" w:styleId="Lined-Accent" w:type="table">
    <w:name w:val="Lined - Accent"/>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7F7F7F" w:fill="7F7F7F" w:themeColor="text1" w:themeFill="text1" w:themeFillTint="80" w:themeTint="80" w:val="clear"/>
      </w:tcPr>
    </w:tblStylePr>
    <w:tblStylePr w:type="lastRow">
      <w:rPr>
        <w:rFonts w:ascii="Arial" w:hAnsi="Arial"/>
        <w:color w:val="F2F2F2"/>
        <w:sz w:val="22"/>
      </w:rPr>
      <w:tblPr/>
      <w:tcPr>
        <w:shd w:color="7F7F7F" w:fill="7F7F7F" w:themeColor="text1" w:themeFill="text1" w:themeFillTint="80" w:themeTint="80" w:val="clear"/>
      </w:tcPr>
    </w:tblStylePr>
    <w:tblStylePr w:type="firstCol">
      <w:rPr>
        <w:rFonts w:ascii="Arial" w:hAnsi="Arial"/>
        <w:color w:val="F2F2F2"/>
        <w:sz w:val="22"/>
      </w:rPr>
      <w:tblPr/>
      <w:tcPr>
        <w:shd w:color="7F7F7F" w:fill="7F7F7F" w:themeColor="text1" w:themeFill="text1" w:themeFillTint="80" w:themeTint="80" w:val="clear"/>
      </w:tcPr>
    </w:tblStylePr>
    <w:tblStylePr w:type="lastCol">
      <w:rPr>
        <w:rFonts w:ascii="Arial" w:hAnsi="Arial"/>
        <w:color w:val="F2F2F2"/>
        <w:sz w:val="22"/>
      </w:rPr>
      <w:tblPr/>
      <w:tcPr>
        <w:shd w:color="7F7F7F" w:fill="7F7F7F" w:themeColor="text1" w:themeFill="text1" w:themeFillTint="80" w:themeTint="80" w:val="clear"/>
      </w:tcPr>
    </w:tblStylePr>
    <w:tblStylePr w:type="band1Vert">
      <w:rPr>
        <w:rFonts w:ascii="Arial" w:hAnsi="Arial"/>
        <w:color w:val="404040"/>
        <w:sz w:val="22"/>
      </w:rPr>
    </w:tblStylePr>
    <w:tblStylePr w:type="band2Vert">
      <w:rPr>
        <w:rFonts w:ascii="Arial" w:hAnsi="Arial"/>
        <w:color w:val="404040"/>
        <w:sz w:val="22"/>
      </w:rPr>
      <w:tblPr/>
      <w:tcPr>
        <w:shd w:color="F2F2F2" w:fill="F2F2F2" w:themeColor="text1" w:themeFill="text1" w:themeFillTint="0D" w:themeTint="0D" w:val="clear"/>
      </w:tcPr>
    </w:tblStylePr>
    <w:tblStylePr w:type="band1Horz">
      <w:rPr>
        <w:rFonts w:ascii="Arial" w:hAnsi="Arial"/>
        <w:color w:val="404040"/>
        <w:sz w:val="22"/>
      </w:rPr>
    </w:tblStylePr>
    <w:tblStylePr w:type="band2Horz">
      <w:rPr>
        <w:rFonts w:ascii="Arial" w:hAnsi="Arial"/>
        <w:color w:val="404040"/>
        <w:sz w:val="22"/>
      </w:rPr>
      <w:tblPr/>
      <w:tcPr>
        <w:shd w:color="F2F2F2" w:fill="F2F2F2" w:themeColor="text1" w:themeFill="text1" w:themeFillTint="0D" w:themeTint="0D" w:val="clear"/>
      </w:tcPr>
    </w:tblStylePr>
  </w:style>
  <w:style w:customStyle="1" w:styleId="Lined-Accent1" w:type="table">
    <w:name w:val="Lined - Accent 1"/>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5D8AC2" w:fill="5D8AC2" w:themeColor="accent1" w:themeFill="accent1" w:themeFillTint="EA" w:themeTint="EA" w:val="clear"/>
      </w:tcPr>
    </w:tblStylePr>
    <w:tblStylePr w:type="lastRow">
      <w:rPr>
        <w:rFonts w:ascii="Arial" w:hAnsi="Arial"/>
        <w:color w:val="F2F2F2"/>
        <w:sz w:val="22"/>
      </w:rPr>
      <w:tblPr/>
      <w:tcPr>
        <w:shd w:color="5D8AC2" w:fill="5D8AC2" w:themeColor="accent1" w:themeFill="accent1" w:themeFillTint="EA" w:themeTint="EA" w:val="clear"/>
      </w:tcPr>
    </w:tblStylePr>
    <w:tblStylePr w:type="firstCol">
      <w:rPr>
        <w:rFonts w:ascii="Arial" w:hAnsi="Arial"/>
        <w:color w:val="F2F2F2"/>
        <w:sz w:val="22"/>
      </w:rPr>
      <w:tblPr/>
      <w:tcPr>
        <w:shd w:color="5D8AC2" w:fill="5D8AC2" w:themeColor="accent1" w:themeFill="accent1" w:themeFillTint="EA" w:themeTint="EA" w:val="clear"/>
      </w:tcPr>
    </w:tblStylePr>
    <w:tblStylePr w:type="lastCol">
      <w:rPr>
        <w:rFonts w:ascii="Arial" w:hAnsi="Arial"/>
        <w:color w:val="F2F2F2"/>
        <w:sz w:val="22"/>
      </w:rPr>
      <w:tblPr/>
      <w:tcPr>
        <w:shd w:color="5D8AC2" w:fill="5D8AC2" w:themeColor="accent1" w:themeFill="accent1" w:themeFillTint="EA" w:themeTint="EA" w:val="clear"/>
      </w:tcPr>
    </w:tblStylePr>
    <w:tblStylePr w:type="band1Vert">
      <w:rPr>
        <w:rFonts w:ascii="Arial" w:hAnsi="Arial"/>
        <w:color w:val="404040"/>
        <w:sz w:val="22"/>
      </w:rPr>
    </w:tblStylePr>
    <w:tblStylePr w:type="band2Vert">
      <w:rPr>
        <w:rFonts w:ascii="Arial" w:hAnsi="Arial"/>
        <w:color w:val="404040"/>
        <w:sz w:val="22"/>
      </w:rPr>
      <w:tblPr/>
      <w:tcPr>
        <w:shd w:color="C7D7EA" w:fill="C7D7EA" w:themeColor="accent1" w:themeFill="accent1" w:themeFillTint="50" w:themeTint="50" w:val="clear"/>
      </w:tcPr>
    </w:tblStylePr>
    <w:tblStylePr w:type="band1Horz">
      <w:rPr>
        <w:rFonts w:ascii="Arial" w:hAnsi="Arial"/>
        <w:color w:val="404040"/>
        <w:sz w:val="22"/>
      </w:rPr>
    </w:tblStylePr>
    <w:tblStylePr w:type="band2Horz">
      <w:rPr>
        <w:rFonts w:ascii="Arial" w:hAnsi="Arial"/>
        <w:color w:val="404040"/>
        <w:sz w:val="22"/>
      </w:rPr>
      <w:tblPr/>
      <w:tcPr>
        <w:shd w:color="C7D7EA" w:fill="C7D7EA" w:themeColor="accent1" w:themeFill="accent1" w:themeFillTint="50" w:themeTint="50" w:val="clear"/>
      </w:tcPr>
    </w:tblStylePr>
  </w:style>
  <w:style w:customStyle="1" w:styleId="Lined-Accent2" w:type="table">
    <w:name w:val="Lined - Accent 2"/>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D99695" w:fill="D99695" w:themeColor="accent2" w:themeFill="accent2" w:themeFillTint="97" w:themeTint="97" w:val="clear"/>
      </w:tcPr>
    </w:tblStylePr>
    <w:tblStylePr w:type="lastRow">
      <w:rPr>
        <w:rFonts w:ascii="Arial" w:hAnsi="Arial"/>
        <w:color w:val="F2F2F2"/>
        <w:sz w:val="22"/>
      </w:rPr>
      <w:tblPr/>
      <w:tcPr>
        <w:shd w:color="D99695" w:fill="D99695" w:themeColor="accent2" w:themeFill="accent2" w:themeFillTint="97" w:themeTint="97" w:val="clear"/>
      </w:tcPr>
    </w:tblStylePr>
    <w:tblStylePr w:type="firstCol">
      <w:rPr>
        <w:rFonts w:ascii="Arial" w:hAnsi="Arial"/>
        <w:color w:val="F2F2F2"/>
        <w:sz w:val="22"/>
      </w:rPr>
      <w:tblPr/>
      <w:tcPr>
        <w:shd w:color="D99695" w:fill="D99695" w:themeColor="accent2" w:themeFill="accent2" w:themeFillTint="97" w:themeTint="97" w:val="clear"/>
      </w:tcPr>
    </w:tblStylePr>
    <w:tblStylePr w:type="lastCol">
      <w:rPr>
        <w:rFonts w:ascii="Arial" w:hAnsi="Arial"/>
        <w:color w:val="F2F2F2"/>
        <w:sz w:val="22"/>
      </w:rPr>
      <w:tblPr/>
      <w:tcPr>
        <w:shd w:color="D99695" w:fill="D99695" w:themeColor="accent2" w:themeFill="accent2" w:themeFillTint="97" w:themeTint="97" w:val="clear"/>
      </w:tcPr>
    </w:tblStylePr>
    <w:tblStylePr w:type="band1Vert">
      <w:rPr>
        <w:rFonts w:ascii="Arial" w:hAnsi="Arial"/>
        <w:color w:val="404040"/>
        <w:sz w:val="22"/>
      </w:rPr>
    </w:tblStylePr>
    <w:tblStylePr w:type="band2Vert">
      <w:rPr>
        <w:rFonts w:ascii="Arial" w:hAnsi="Arial"/>
        <w:color w:val="404040"/>
        <w:sz w:val="22"/>
      </w:rPr>
      <w:tblPr/>
      <w:tcPr>
        <w:shd w:color="F2DCDC" w:fill="F2DCDC" w:themeColor="accent2" w:themeFill="accent2" w:themeFillTint="32" w:themeTint="32" w:val="clear"/>
      </w:tcPr>
    </w:tblStylePr>
    <w:tblStylePr w:type="band1Horz">
      <w:rPr>
        <w:rFonts w:ascii="Arial" w:hAnsi="Arial"/>
        <w:color w:val="404040"/>
        <w:sz w:val="22"/>
      </w:rPr>
    </w:tblStylePr>
    <w:tblStylePr w:type="band2Horz">
      <w:rPr>
        <w:rFonts w:ascii="Arial" w:hAnsi="Arial"/>
        <w:color w:val="404040"/>
        <w:sz w:val="22"/>
      </w:rPr>
      <w:tblPr/>
      <w:tcPr>
        <w:shd w:color="F2DCDC" w:fill="F2DCDC" w:themeColor="accent2" w:themeFill="accent2" w:themeFillTint="32" w:themeTint="32" w:val="clear"/>
      </w:tcPr>
    </w:tblStylePr>
  </w:style>
  <w:style w:customStyle="1" w:styleId="Lined-Accent3" w:type="table">
    <w:name w:val="Lined - Accent 3"/>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9ABB59" w:fill="9ABB59" w:themeColor="accent3" w:themeFill="accent3" w:themeFillTint="FE" w:themeTint="FE" w:val="clear"/>
      </w:tcPr>
    </w:tblStylePr>
    <w:tblStylePr w:type="lastRow">
      <w:rPr>
        <w:rFonts w:ascii="Arial" w:hAnsi="Arial"/>
        <w:color w:val="F2F2F2"/>
        <w:sz w:val="22"/>
      </w:rPr>
      <w:tblPr/>
      <w:tcPr>
        <w:shd w:color="9ABB59" w:fill="9ABB59" w:themeColor="accent3" w:themeFill="accent3" w:themeFillTint="FE" w:themeTint="FE" w:val="clear"/>
      </w:tcPr>
    </w:tblStylePr>
    <w:tblStylePr w:type="firstCol">
      <w:rPr>
        <w:rFonts w:ascii="Arial" w:hAnsi="Arial"/>
        <w:color w:val="F2F2F2"/>
        <w:sz w:val="22"/>
      </w:rPr>
      <w:tblPr/>
      <w:tcPr>
        <w:shd w:color="9ABB59" w:fill="9ABB59" w:themeColor="accent3" w:themeFill="accent3" w:themeFillTint="FE" w:themeTint="FE" w:val="clear"/>
      </w:tcPr>
    </w:tblStylePr>
    <w:tblStylePr w:type="lastCol">
      <w:rPr>
        <w:rFonts w:ascii="Arial" w:hAnsi="Arial"/>
        <w:color w:val="F2F2F2"/>
        <w:sz w:val="22"/>
      </w:rPr>
      <w:tblPr/>
      <w:tcPr>
        <w:shd w:color="9ABB59" w:fill="9ABB59" w:themeColor="accent3" w:themeFill="accent3" w:themeFillTint="FE" w:themeTint="FE" w:val="clear"/>
      </w:tcPr>
    </w:tblStylePr>
    <w:tblStylePr w:type="band1Vert">
      <w:rPr>
        <w:rFonts w:ascii="Arial" w:hAnsi="Arial"/>
        <w:color w:val="404040"/>
        <w:sz w:val="22"/>
      </w:rPr>
    </w:tblStylePr>
    <w:tblStylePr w:type="band2Vert">
      <w:rPr>
        <w:rFonts w:ascii="Arial" w:hAnsi="Arial"/>
        <w:color w:val="404040"/>
        <w:sz w:val="22"/>
      </w:rPr>
      <w:tblPr/>
      <w:tcPr>
        <w:shd w:color="EAF1DC" w:fill="EAF1DC" w:themeColor="accent3" w:themeFill="accent3"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EAF1DC" w:fill="EAF1DC" w:themeColor="accent3" w:themeFill="accent3" w:themeFillTint="34" w:themeTint="34" w:val="clear"/>
      </w:tcPr>
    </w:tblStylePr>
  </w:style>
  <w:style w:customStyle="1" w:styleId="Lined-Accent4" w:type="table">
    <w:name w:val="Lined - Accent 4"/>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B2A1C6" w:fill="B2A1C6" w:themeColor="accent4" w:themeFill="accent4" w:themeFillTint="9A" w:themeTint="9A" w:val="clear"/>
      </w:tcPr>
    </w:tblStylePr>
    <w:tblStylePr w:type="lastRow">
      <w:rPr>
        <w:rFonts w:ascii="Arial" w:hAnsi="Arial"/>
        <w:color w:val="F2F2F2"/>
        <w:sz w:val="22"/>
      </w:rPr>
      <w:tblPr/>
      <w:tcPr>
        <w:shd w:color="B2A1C6" w:fill="B2A1C6" w:themeColor="accent4" w:themeFill="accent4" w:themeFillTint="9A" w:themeTint="9A" w:val="clear"/>
      </w:tcPr>
    </w:tblStylePr>
    <w:tblStylePr w:type="firstCol">
      <w:rPr>
        <w:rFonts w:ascii="Arial" w:hAnsi="Arial"/>
        <w:color w:val="F2F2F2"/>
        <w:sz w:val="22"/>
      </w:rPr>
      <w:tblPr/>
      <w:tcPr>
        <w:shd w:color="B2A1C6" w:fill="B2A1C6" w:themeColor="accent4" w:themeFill="accent4" w:themeFillTint="9A" w:themeTint="9A" w:val="clear"/>
      </w:tcPr>
    </w:tblStylePr>
    <w:tblStylePr w:type="lastCol">
      <w:rPr>
        <w:rFonts w:ascii="Arial" w:hAnsi="Arial"/>
        <w:color w:val="F2F2F2"/>
        <w:sz w:val="22"/>
      </w:rPr>
      <w:tblPr/>
      <w:tcPr>
        <w:shd w:color="B2A1C6" w:fill="B2A1C6" w:themeColor="accent4" w:themeFill="accent4" w:themeFillTint="9A" w:themeTint="9A" w:val="clear"/>
      </w:tcPr>
    </w:tblStylePr>
    <w:tblStylePr w:type="band1Vert">
      <w:rPr>
        <w:rFonts w:ascii="Arial" w:hAnsi="Arial"/>
        <w:color w:val="404040"/>
        <w:sz w:val="22"/>
      </w:rPr>
    </w:tblStylePr>
    <w:tblStylePr w:type="band2Vert">
      <w:rPr>
        <w:rFonts w:ascii="Arial" w:hAnsi="Arial"/>
        <w:color w:val="404040"/>
        <w:sz w:val="22"/>
      </w:rPr>
      <w:tblPr/>
      <w:tcPr>
        <w:shd w:color="E5DFEC" w:fill="E5DFEC" w:themeColor="accent4" w:themeFill="accent4"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E5DFEC" w:fill="E5DFEC" w:themeColor="accent4" w:themeFill="accent4" w:themeFillTint="34" w:themeTint="34" w:val="clear"/>
      </w:tcPr>
    </w:tblStylePr>
  </w:style>
  <w:style w:customStyle="1" w:styleId="Lined-Accent5" w:type="table">
    <w:name w:val="Lined - Accent 5"/>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4BACC6" w:fill="4BACC6" w:themeColor="accent5" w:themeFill="accent5" w:val="clear"/>
      </w:tcPr>
    </w:tblStylePr>
    <w:tblStylePr w:type="lastRow">
      <w:rPr>
        <w:rFonts w:ascii="Arial" w:hAnsi="Arial"/>
        <w:color w:val="F2F2F2"/>
        <w:sz w:val="22"/>
      </w:rPr>
      <w:tblPr/>
      <w:tcPr>
        <w:shd w:color="4BACC6" w:fill="4BACC6" w:themeColor="accent5" w:themeFill="accent5" w:val="clear"/>
      </w:tcPr>
    </w:tblStylePr>
    <w:tblStylePr w:type="firstCol">
      <w:rPr>
        <w:rFonts w:ascii="Arial" w:hAnsi="Arial"/>
        <w:color w:val="F2F2F2"/>
        <w:sz w:val="22"/>
      </w:rPr>
      <w:tblPr/>
      <w:tcPr>
        <w:shd w:color="4BACC6" w:fill="4BACC6" w:themeColor="accent5" w:themeFill="accent5" w:val="clear"/>
      </w:tcPr>
    </w:tblStylePr>
    <w:tblStylePr w:type="lastCol">
      <w:rPr>
        <w:rFonts w:ascii="Arial" w:hAnsi="Arial"/>
        <w:color w:val="F2F2F2"/>
        <w:sz w:val="22"/>
      </w:rPr>
      <w:tblPr/>
      <w:tcPr>
        <w:shd w:color="4BACC6" w:fill="4BACC6" w:themeColor="accent5" w:themeFill="accent5" w:val="clear"/>
      </w:tcPr>
    </w:tblStylePr>
    <w:tblStylePr w:type="band1Vert">
      <w:rPr>
        <w:rFonts w:ascii="Arial" w:hAnsi="Arial"/>
        <w:color w:val="404040"/>
        <w:sz w:val="22"/>
      </w:rPr>
    </w:tblStylePr>
    <w:tblStylePr w:type="band2Vert">
      <w:rPr>
        <w:rFonts w:ascii="Arial" w:hAnsi="Arial"/>
        <w:color w:val="404040"/>
        <w:sz w:val="22"/>
      </w:rPr>
      <w:tblPr/>
      <w:tcPr>
        <w:shd w:color="DAEEF3" w:fill="DAEEF3" w:themeColor="accent5" w:themeFill="accent5"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DAEEF3" w:fill="DAEEF3" w:themeColor="accent5" w:themeFill="accent5" w:themeFillTint="34" w:themeTint="34" w:val="clear"/>
      </w:tcPr>
    </w:tblStylePr>
  </w:style>
  <w:style w:customStyle="1" w:styleId="Lined-Accent6" w:type="table">
    <w:name w:val="Lined - Accent 6"/>
    <w:basedOn w:val="TableNormal"/>
    <w:uiPriority w:val="99"/>
    <w:pPr>
      <w:spacing w:after="0"/>
    </w:pPr>
    <w:rPr>
      <w:color w:val="404040"/>
    </w:rPr>
    <w:tblPr>
      <w:tblStyleRowBandSize w:val="1"/>
      <w:tblStyleColBandSize w:val="1"/>
    </w:tblPr>
    <w:tblStylePr w:type="firstRow">
      <w:rPr>
        <w:rFonts w:ascii="Arial" w:hAnsi="Arial"/>
        <w:color w:val="F2F2F2"/>
        <w:sz w:val="22"/>
      </w:rPr>
      <w:tblPr/>
      <w:tcPr>
        <w:shd w:color="F79646" w:fill="F79646" w:themeColor="accent6" w:themeFill="accent6" w:val="clear"/>
      </w:tcPr>
    </w:tblStylePr>
    <w:tblStylePr w:type="lastRow">
      <w:rPr>
        <w:rFonts w:ascii="Arial" w:hAnsi="Arial"/>
        <w:color w:val="F2F2F2"/>
        <w:sz w:val="22"/>
      </w:rPr>
      <w:tblPr/>
      <w:tcPr>
        <w:shd w:color="F79646" w:fill="F79646" w:themeColor="accent6" w:themeFill="accent6" w:val="clear"/>
      </w:tcPr>
    </w:tblStylePr>
    <w:tblStylePr w:type="firstCol">
      <w:rPr>
        <w:rFonts w:ascii="Arial" w:hAnsi="Arial"/>
        <w:color w:val="F2F2F2"/>
        <w:sz w:val="22"/>
      </w:rPr>
      <w:tblPr/>
      <w:tcPr>
        <w:shd w:color="F79646" w:fill="F79646" w:themeColor="accent6" w:themeFill="accent6" w:val="clear"/>
      </w:tcPr>
    </w:tblStylePr>
    <w:tblStylePr w:type="lastCol">
      <w:rPr>
        <w:rFonts w:ascii="Arial" w:hAnsi="Arial"/>
        <w:color w:val="F2F2F2"/>
        <w:sz w:val="22"/>
      </w:rPr>
      <w:tblPr/>
      <w:tcPr>
        <w:shd w:color="F79646" w:fill="F79646" w:themeColor="accent6" w:themeFill="accent6" w:val="clear"/>
      </w:tcPr>
    </w:tblStylePr>
    <w:tblStylePr w:type="band1Vert">
      <w:rPr>
        <w:rFonts w:ascii="Arial" w:hAnsi="Arial"/>
        <w:color w:val="404040"/>
        <w:sz w:val="22"/>
      </w:rPr>
    </w:tblStylePr>
    <w:tblStylePr w:type="band2Vert">
      <w:rPr>
        <w:rFonts w:ascii="Arial" w:hAnsi="Arial"/>
        <w:color w:val="404040"/>
        <w:sz w:val="22"/>
      </w:rPr>
      <w:tblPr/>
      <w:tcPr>
        <w:shd w:color="FDE9D8" w:fill="FDE9D8" w:themeColor="accent6" w:themeFill="accent6"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FDE9D8" w:fill="FDE9D8" w:themeColor="accent6" w:themeFill="accent6" w:themeFillTint="34" w:themeTint="34" w:val="clear"/>
      </w:tcPr>
    </w:tblStylePr>
  </w:style>
  <w:style w:customStyle="1" w:styleId="BorderedLined-Accent" w:type="table">
    <w:name w:val="Bordered &amp; Lined - Accent"/>
    <w:basedOn w:val="TableNormal"/>
    <w:uiPriority w:val="99"/>
    <w:pPr>
      <w:spacing w:after="0"/>
    </w:pPr>
    <w:rPr>
      <w:color w:val="404040"/>
    </w:rPr>
    <w:tblPr>
      <w:tblStyleRowBandSize w:val="1"/>
      <w:tblStyleColBandSize w:val="1"/>
      <w:tblBorders>
        <w:top w:color="595959" w:space="0" w:sz="4" w:themeColor="text1" w:themeTint="A6" w:val="single"/>
        <w:left w:color="595959" w:space="0" w:sz="4" w:themeColor="text1" w:themeTint="A6" w:val="single"/>
        <w:bottom w:color="595959" w:space="0" w:sz="4" w:themeColor="text1" w:themeTint="A6" w:val="single"/>
        <w:right w:color="595959" w:space="0" w:sz="4" w:themeColor="text1" w:themeTint="A6" w:val="single"/>
        <w:insideH w:color="595959" w:space="0" w:sz="4" w:themeColor="text1" w:themeTint="A6" w:val="single"/>
        <w:insideV w:color="595959" w:space="0" w:sz="4" w:themeColor="text1" w:themeTint="A6" w:val="single"/>
      </w:tblBorders>
    </w:tblPr>
    <w:tblStylePr w:type="firstRow">
      <w:rPr>
        <w:rFonts w:ascii="Arial" w:hAnsi="Arial"/>
        <w:color w:val="F2F2F2"/>
        <w:sz w:val="22"/>
      </w:rPr>
      <w:tblPr/>
      <w:tcPr>
        <w:shd w:color="7F7F7F" w:fill="7F7F7F" w:themeColor="text1" w:themeFill="text1" w:themeFillTint="80" w:themeTint="80" w:val="clear"/>
      </w:tcPr>
    </w:tblStylePr>
    <w:tblStylePr w:type="lastRow">
      <w:rPr>
        <w:rFonts w:ascii="Arial" w:hAnsi="Arial"/>
        <w:color w:val="F2F2F2"/>
        <w:sz w:val="22"/>
      </w:rPr>
      <w:tblPr/>
      <w:tcPr>
        <w:shd w:color="7F7F7F" w:fill="7F7F7F" w:themeColor="text1" w:themeFill="text1" w:themeFillTint="80" w:themeTint="80" w:val="clear"/>
      </w:tcPr>
    </w:tblStylePr>
    <w:tblStylePr w:type="firstCol">
      <w:rPr>
        <w:rFonts w:ascii="Arial" w:hAnsi="Arial"/>
        <w:color w:val="F2F2F2"/>
        <w:sz w:val="22"/>
      </w:rPr>
      <w:tblPr/>
      <w:tcPr>
        <w:shd w:color="7F7F7F" w:fill="7F7F7F" w:themeColor="text1" w:themeFill="text1" w:themeFillTint="80" w:themeTint="80" w:val="clear"/>
      </w:tcPr>
    </w:tblStylePr>
    <w:tblStylePr w:type="lastCol">
      <w:rPr>
        <w:rFonts w:ascii="Arial" w:hAnsi="Arial"/>
        <w:color w:val="F2F2F2"/>
        <w:sz w:val="22"/>
      </w:rPr>
      <w:tblPr/>
      <w:tcPr>
        <w:shd w:color="7F7F7F" w:fill="7F7F7F" w:themeColor="text1" w:themeFill="text1" w:themeFillTint="80" w:themeTint="80" w:val="clear"/>
      </w:tcPr>
    </w:tblStylePr>
    <w:tblStylePr w:type="band1Vert">
      <w:rPr>
        <w:rFonts w:ascii="Arial" w:hAnsi="Arial"/>
        <w:color w:val="404040"/>
        <w:sz w:val="22"/>
      </w:rPr>
    </w:tblStylePr>
    <w:tblStylePr w:type="band2Vert">
      <w:rPr>
        <w:rFonts w:ascii="Arial" w:hAnsi="Arial"/>
        <w:color w:val="404040"/>
        <w:sz w:val="22"/>
      </w:rPr>
      <w:tblPr/>
      <w:tcPr>
        <w:shd w:color="F2F2F2" w:fill="F2F2F2" w:themeColor="text1" w:themeFill="text1" w:themeFillTint="0D" w:themeTint="0D" w:val="clear"/>
      </w:tcPr>
    </w:tblStylePr>
    <w:tblStylePr w:type="band1Horz">
      <w:rPr>
        <w:rFonts w:ascii="Arial" w:hAnsi="Arial"/>
        <w:color w:val="404040"/>
        <w:sz w:val="22"/>
      </w:rPr>
    </w:tblStylePr>
    <w:tblStylePr w:type="band2Horz">
      <w:rPr>
        <w:rFonts w:ascii="Arial" w:hAnsi="Arial"/>
        <w:color w:val="404040"/>
        <w:sz w:val="22"/>
      </w:rPr>
      <w:tblPr/>
      <w:tcPr>
        <w:shd w:color="F2F2F2" w:fill="F2F2F2" w:themeColor="text1" w:themeFill="text1" w:themeFillTint="0D" w:themeTint="0D" w:val="clear"/>
      </w:tcPr>
    </w:tblStylePr>
  </w:style>
  <w:style w:customStyle="1" w:styleId="BorderedLined-Accent1" w:type="table">
    <w:name w:val="Bordered &amp; Lined - Accent 1"/>
    <w:basedOn w:val="TableNormal"/>
    <w:uiPriority w:val="99"/>
    <w:pPr>
      <w:spacing w:after="0"/>
    </w:pPr>
    <w:rPr>
      <w:color w:val="404040"/>
    </w:rPr>
    <w:tblPr>
      <w:tblStyleRowBandSize w:val="1"/>
      <w:tblStyleColBandSize w:val="1"/>
      <w:tblBorders>
        <w:top w:color="2A4A71" w:space="0" w:sz="4" w:themeColor="accent1" w:themeShade="95" w:val="single"/>
        <w:left w:color="2A4A71" w:space="0" w:sz="4" w:themeColor="accent1" w:themeShade="95" w:val="single"/>
        <w:bottom w:color="2A4A71" w:space="0" w:sz="4" w:themeColor="accent1" w:themeShade="95" w:val="single"/>
        <w:right w:color="2A4A71" w:space="0" w:sz="4" w:themeColor="accent1" w:themeShade="95" w:val="single"/>
        <w:insideH w:color="2A4A71" w:space="0" w:sz="4" w:themeColor="accent1" w:themeShade="95" w:val="single"/>
        <w:insideV w:color="2A4A71" w:space="0" w:sz="4" w:themeColor="accent1" w:themeShade="95" w:val="single"/>
      </w:tblBorders>
    </w:tblPr>
    <w:tblStylePr w:type="firstRow">
      <w:rPr>
        <w:rFonts w:ascii="Arial" w:hAnsi="Arial"/>
        <w:color w:val="F2F2F2"/>
        <w:sz w:val="22"/>
      </w:rPr>
      <w:tblPr/>
      <w:tcPr>
        <w:shd w:color="5D8AC2" w:fill="5D8AC2" w:themeColor="accent1" w:themeFill="accent1" w:themeFillTint="EA" w:themeTint="EA" w:val="clear"/>
      </w:tcPr>
    </w:tblStylePr>
    <w:tblStylePr w:type="lastRow">
      <w:rPr>
        <w:rFonts w:ascii="Arial" w:hAnsi="Arial"/>
        <w:color w:val="F2F2F2"/>
        <w:sz w:val="22"/>
      </w:rPr>
      <w:tblPr/>
      <w:tcPr>
        <w:shd w:color="5D8AC2" w:fill="5D8AC2" w:themeColor="accent1" w:themeFill="accent1" w:themeFillTint="EA" w:themeTint="EA" w:val="clear"/>
      </w:tcPr>
    </w:tblStylePr>
    <w:tblStylePr w:type="firstCol">
      <w:rPr>
        <w:rFonts w:ascii="Arial" w:hAnsi="Arial"/>
        <w:color w:val="F2F2F2"/>
        <w:sz w:val="22"/>
      </w:rPr>
      <w:tblPr/>
      <w:tcPr>
        <w:shd w:color="5D8AC2" w:fill="5D8AC2" w:themeColor="accent1" w:themeFill="accent1" w:themeFillTint="EA" w:themeTint="EA" w:val="clear"/>
      </w:tcPr>
    </w:tblStylePr>
    <w:tblStylePr w:type="lastCol">
      <w:rPr>
        <w:rFonts w:ascii="Arial" w:hAnsi="Arial"/>
        <w:color w:val="F2F2F2"/>
        <w:sz w:val="22"/>
      </w:rPr>
      <w:tblPr/>
      <w:tcPr>
        <w:shd w:color="5D8AC2" w:fill="5D8AC2" w:themeColor="accent1" w:themeFill="accent1" w:themeFillTint="EA" w:themeTint="EA" w:val="clear"/>
      </w:tcPr>
    </w:tblStylePr>
    <w:tblStylePr w:type="band1Vert">
      <w:rPr>
        <w:rFonts w:ascii="Arial" w:hAnsi="Arial"/>
        <w:color w:val="404040"/>
        <w:sz w:val="22"/>
      </w:rPr>
    </w:tblStylePr>
    <w:tblStylePr w:type="band2Vert">
      <w:rPr>
        <w:rFonts w:ascii="Arial" w:hAnsi="Arial"/>
        <w:color w:val="404040"/>
        <w:sz w:val="22"/>
      </w:rPr>
      <w:tblPr/>
      <w:tcPr>
        <w:shd w:color="C7D7EA" w:fill="C7D7EA" w:themeColor="accent1" w:themeFill="accent1" w:themeFillTint="50" w:themeTint="50" w:val="clear"/>
      </w:tcPr>
    </w:tblStylePr>
    <w:tblStylePr w:type="band1Horz">
      <w:rPr>
        <w:rFonts w:ascii="Arial" w:hAnsi="Arial"/>
        <w:color w:val="404040"/>
        <w:sz w:val="22"/>
      </w:rPr>
    </w:tblStylePr>
    <w:tblStylePr w:type="band2Horz">
      <w:rPr>
        <w:rFonts w:ascii="Arial" w:hAnsi="Arial"/>
        <w:color w:val="404040"/>
        <w:sz w:val="22"/>
      </w:rPr>
      <w:tblPr/>
      <w:tcPr>
        <w:shd w:color="C7D7EA" w:fill="C7D7EA" w:themeColor="accent1" w:themeFill="accent1" w:themeFillTint="50" w:themeTint="50" w:val="clear"/>
      </w:tcPr>
    </w:tblStylePr>
  </w:style>
  <w:style w:customStyle="1" w:styleId="BorderedLined-Accent2" w:type="table">
    <w:name w:val="Bordered &amp; Lined - Accent 2"/>
    <w:basedOn w:val="TableNormal"/>
    <w:uiPriority w:val="99"/>
    <w:pPr>
      <w:spacing w:after="0"/>
    </w:pPr>
    <w:rPr>
      <w:color w:val="404040"/>
    </w:rPr>
    <w:tblPr>
      <w:tblStyleRowBandSize w:val="1"/>
      <w:tblStyleColBandSize w:val="1"/>
      <w:tblBorders>
        <w:top w:color="732A29" w:space="0" w:sz="4" w:themeColor="accent2" w:themeShade="95" w:val="single"/>
        <w:left w:color="732A29" w:space="0" w:sz="4" w:themeColor="accent2" w:themeShade="95" w:val="single"/>
        <w:bottom w:color="732A29" w:space="0" w:sz="4" w:themeColor="accent2" w:themeShade="95" w:val="single"/>
        <w:right w:color="732A29" w:space="0" w:sz="4" w:themeColor="accent2" w:themeShade="95" w:val="single"/>
        <w:insideH w:color="732A29" w:space="0" w:sz="4" w:themeColor="accent2" w:themeShade="95" w:val="single"/>
        <w:insideV w:color="732A29" w:space="0" w:sz="4" w:themeColor="accent2" w:themeShade="95" w:val="single"/>
      </w:tblBorders>
    </w:tblPr>
    <w:tblStylePr w:type="firstRow">
      <w:rPr>
        <w:rFonts w:ascii="Arial" w:hAnsi="Arial"/>
        <w:color w:val="F2F2F2"/>
        <w:sz w:val="22"/>
      </w:rPr>
      <w:tblPr/>
      <w:tcPr>
        <w:shd w:color="D99695" w:fill="D99695" w:themeColor="accent2" w:themeFill="accent2" w:themeFillTint="97" w:themeTint="97" w:val="clear"/>
      </w:tcPr>
    </w:tblStylePr>
    <w:tblStylePr w:type="lastRow">
      <w:rPr>
        <w:rFonts w:ascii="Arial" w:hAnsi="Arial"/>
        <w:color w:val="F2F2F2"/>
        <w:sz w:val="22"/>
      </w:rPr>
      <w:tblPr/>
      <w:tcPr>
        <w:shd w:color="D99695" w:fill="D99695" w:themeColor="accent2" w:themeFill="accent2" w:themeFillTint="97" w:themeTint="97" w:val="clear"/>
      </w:tcPr>
    </w:tblStylePr>
    <w:tblStylePr w:type="firstCol">
      <w:rPr>
        <w:rFonts w:ascii="Arial" w:hAnsi="Arial"/>
        <w:color w:val="F2F2F2"/>
        <w:sz w:val="22"/>
      </w:rPr>
      <w:tblPr/>
      <w:tcPr>
        <w:shd w:color="D99695" w:fill="D99695" w:themeColor="accent2" w:themeFill="accent2" w:themeFillTint="97" w:themeTint="97" w:val="clear"/>
      </w:tcPr>
    </w:tblStylePr>
    <w:tblStylePr w:type="lastCol">
      <w:rPr>
        <w:rFonts w:ascii="Arial" w:hAnsi="Arial"/>
        <w:color w:val="F2F2F2"/>
        <w:sz w:val="22"/>
      </w:rPr>
      <w:tblPr/>
      <w:tcPr>
        <w:shd w:color="D99695" w:fill="D99695" w:themeColor="accent2" w:themeFill="accent2" w:themeFillTint="97" w:themeTint="97" w:val="clear"/>
      </w:tcPr>
    </w:tblStylePr>
    <w:tblStylePr w:type="band1Vert">
      <w:rPr>
        <w:rFonts w:ascii="Arial" w:hAnsi="Arial"/>
        <w:color w:val="404040"/>
        <w:sz w:val="22"/>
      </w:rPr>
    </w:tblStylePr>
    <w:tblStylePr w:type="band2Vert">
      <w:rPr>
        <w:rFonts w:ascii="Arial" w:hAnsi="Arial"/>
        <w:color w:val="404040"/>
        <w:sz w:val="22"/>
      </w:rPr>
      <w:tblPr/>
      <w:tcPr>
        <w:shd w:color="F2DCDC" w:fill="F2DCDC" w:themeColor="accent2" w:themeFill="accent2" w:themeFillTint="32" w:themeTint="32" w:val="clear"/>
      </w:tcPr>
    </w:tblStylePr>
    <w:tblStylePr w:type="band1Horz">
      <w:rPr>
        <w:rFonts w:ascii="Arial" w:hAnsi="Arial"/>
        <w:color w:val="404040"/>
        <w:sz w:val="22"/>
      </w:rPr>
    </w:tblStylePr>
    <w:tblStylePr w:type="band2Horz">
      <w:rPr>
        <w:rFonts w:ascii="Arial" w:hAnsi="Arial"/>
        <w:color w:val="404040"/>
        <w:sz w:val="22"/>
      </w:rPr>
      <w:tblPr/>
      <w:tcPr>
        <w:shd w:color="F2DCDC" w:fill="F2DCDC" w:themeColor="accent2" w:themeFill="accent2" w:themeFillTint="32" w:themeTint="32" w:val="clear"/>
      </w:tcPr>
    </w:tblStylePr>
  </w:style>
  <w:style w:customStyle="1" w:styleId="BorderedLined-Accent3" w:type="table">
    <w:name w:val="Bordered &amp; Lined - Accent 3"/>
    <w:basedOn w:val="TableNormal"/>
    <w:uiPriority w:val="99"/>
    <w:pPr>
      <w:spacing w:after="0"/>
    </w:pPr>
    <w:rPr>
      <w:color w:val="404040"/>
    </w:rPr>
    <w:tblPr>
      <w:tblStyleRowBandSize w:val="1"/>
      <w:tblStyleColBandSize w:val="1"/>
      <w:tblBorders>
        <w:top w:color="5B722E" w:space="0" w:sz="4" w:themeColor="accent3" w:themeShade="95" w:val="single"/>
        <w:left w:color="5B722E" w:space="0" w:sz="4" w:themeColor="accent3" w:themeShade="95" w:val="single"/>
        <w:bottom w:color="5B722E" w:space="0" w:sz="4" w:themeColor="accent3" w:themeShade="95" w:val="single"/>
        <w:right w:color="5B722E" w:space="0" w:sz="4" w:themeColor="accent3" w:themeShade="95" w:val="single"/>
        <w:insideH w:color="5B722E" w:space="0" w:sz="4" w:themeColor="accent3" w:themeShade="95" w:val="single"/>
        <w:insideV w:color="5B722E" w:space="0" w:sz="4" w:themeColor="accent3" w:themeShade="95" w:val="single"/>
      </w:tblBorders>
    </w:tblPr>
    <w:tblStylePr w:type="firstRow">
      <w:rPr>
        <w:rFonts w:ascii="Arial" w:hAnsi="Arial"/>
        <w:color w:val="F2F2F2"/>
        <w:sz w:val="22"/>
      </w:rPr>
      <w:tblPr/>
      <w:tcPr>
        <w:shd w:color="9ABB59" w:fill="9ABB59" w:themeColor="accent3" w:themeFill="accent3" w:themeFillTint="FE" w:themeTint="FE" w:val="clear"/>
      </w:tcPr>
    </w:tblStylePr>
    <w:tblStylePr w:type="lastRow">
      <w:rPr>
        <w:rFonts w:ascii="Arial" w:hAnsi="Arial"/>
        <w:color w:val="F2F2F2"/>
        <w:sz w:val="22"/>
      </w:rPr>
      <w:tblPr/>
      <w:tcPr>
        <w:shd w:color="9ABB59" w:fill="9ABB59" w:themeColor="accent3" w:themeFill="accent3" w:themeFillTint="FE" w:themeTint="FE" w:val="clear"/>
      </w:tcPr>
    </w:tblStylePr>
    <w:tblStylePr w:type="firstCol">
      <w:rPr>
        <w:rFonts w:ascii="Arial" w:hAnsi="Arial"/>
        <w:color w:val="F2F2F2"/>
        <w:sz w:val="22"/>
      </w:rPr>
      <w:tblPr/>
      <w:tcPr>
        <w:shd w:color="9ABB59" w:fill="9ABB59" w:themeColor="accent3" w:themeFill="accent3" w:themeFillTint="FE" w:themeTint="FE" w:val="clear"/>
      </w:tcPr>
    </w:tblStylePr>
    <w:tblStylePr w:type="lastCol">
      <w:rPr>
        <w:rFonts w:ascii="Arial" w:hAnsi="Arial"/>
        <w:color w:val="F2F2F2"/>
        <w:sz w:val="22"/>
      </w:rPr>
      <w:tblPr/>
      <w:tcPr>
        <w:shd w:color="9ABB59" w:fill="9ABB59" w:themeColor="accent3" w:themeFill="accent3" w:themeFillTint="FE" w:themeTint="FE" w:val="clear"/>
      </w:tcPr>
    </w:tblStylePr>
    <w:tblStylePr w:type="band1Vert">
      <w:rPr>
        <w:rFonts w:ascii="Arial" w:hAnsi="Arial"/>
        <w:color w:val="404040"/>
        <w:sz w:val="22"/>
      </w:rPr>
    </w:tblStylePr>
    <w:tblStylePr w:type="band2Vert">
      <w:rPr>
        <w:rFonts w:ascii="Arial" w:hAnsi="Arial"/>
        <w:color w:val="404040"/>
        <w:sz w:val="22"/>
      </w:rPr>
      <w:tblPr/>
      <w:tcPr>
        <w:shd w:color="EAF1DC" w:fill="EAF1DC" w:themeColor="accent3" w:themeFill="accent3"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EAF1DC" w:fill="EAF1DC" w:themeColor="accent3" w:themeFill="accent3" w:themeFillTint="34" w:themeTint="34" w:val="clear"/>
      </w:tcPr>
    </w:tblStylePr>
  </w:style>
  <w:style w:customStyle="1" w:styleId="BorderedLined-Accent4" w:type="table">
    <w:name w:val="Bordered &amp; Lined - Accent 4"/>
    <w:basedOn w:val="TableNormal"/>
    <w:uiPriority w:val="99"/>
    <w:pPr>
      <w:spacing w:after="0"/>
    </w:pPr>
    <w:rPr>
      <w:color w:val="404040"/>
    </w:rPr>
    <w:tblPr>
      <w:tblStyleRowBandSize w:val="1"/>
      <w:tblStyleColBandSize w:val="1"/>
      <w:tblBorders>
        <w:top w:color="4A395F" w:space="0" w:sz="4" w:themeColor="accent4" w:themeShade="95" w:val="single"/>
        <w:left w:color="4A395F" w:space="0" w:sz="4" w:themeColor="accent4" w:themeShade="95" w:val="single"/>
        <w:bottom w:color="4A395F" w:space="0" w:sz="4" w:themeColor="accent4" w:themeShade="95" w:val="single"/>
        <w:right w:color="4A395F" w:space="0" w:sz="4" w:themeColor="accent4" w:themeShade="95" w:val="single"/>
        <w:insideH w:color="4A395F" w:space="0" w:sz="4" w:themeColor="accent4" w:themeShade="95" w:val="single"/>
        <w:insideV w:color="4A395F" w:space="0" w:sz="4" w:themeColor="accent4" w:themeShade="95" w:val="single"/>
      </w:tblBorders>
    </w:tblPr>
    <w:tblStylePr w:type="firstRow">
      <w:rPr>
        <w:rFonts w:ascii="Arial" w:hAnsi="Arial"/>
        <w:color w:val="F2F2F2"/>
        <w:sz w:val="22"/>
      </w:rPr>
      <w:tblPr/>
      <w:tcPr>
        <w:shd w:color="B2A1C6" w:fill="B2A1C6" w:themeColor="accent4" w:themeFill="accent4" w:themeFillTint="9A" w:themeTint="9A" w:val="clear"/>
      </w:tcPr>
    </w:tblStylePr>
    <w:tblStylePr w:type="lastRow">
      <w:rPr>
        <w:rFonts w:ascii="Arial" w:hAnsi="Arial"/>
        <w:color w:val="F2F2F2"/>
        <w:sz w:val="22"/>
      </w:rPr>
      <w:tblPr/>
      <w:tcPr>
        <w:shd w:color="B2A1C6" w:fill="B2A1C6" w:themeColor="accent4" w:themeFill="accent4" w:themeFillTint="9A" w:themeTint="9A" w:val="clear"/>
      </w:tcPr>
    </w:tblStylePr>
    <w:tblStylePr w:type="firstCol">
      <w:rPr>
        <w:rFonts w:ascii="Arial" w:hAnsi="Arial"/>
        <w:color w:val="F2F2F2"/>
        <w:sz w:val="22"/>
      </w:rPr>
      <w:tblPr/>
      <w:tcPr>
        <w:shd w:color="B2A1C6" w:fill="B2A1C6" w:themeColor="accent4" w:themeFill="accent4" w:themeFillTint="9A" w:themeTint="9A" w:val="clear"/>
      </w:tcPr>
    </w:tblStylePr>
    <w:tblStylePr w:type="lastCol">
      <w:rPr>
        <w:rFonts w:ascii="Arial" w:hAnsi="Arial"/>
        <w:color w:val="F2F2F2"/>
        <w:sz w:val="22"/>
      </w:rPr>
      <w:tblPr/>
      <w:tcPr>
        <w:shd w:color="B2A1C6" w:fill="B2A1C6" w:themeColor="accent4" w:themeFill="accent4" w:themeFillTint="9A" w:themeTint="9A" w:val="clear"/>
      </w:tcPr>
    </w:tblStylePr>
    <w:tblStylePr w:type="band1Vert">
      <w:rPr>
        <w:rFonts w:ascii="Arial" w:hAnsi="Arial"/>
        <w:color w:val="404040"/>
        <w:sz w:val="22"/>
      </w:rPr>
    </w:tblStylePr>
    <w:tblStylePr w:type="band2Vert">
      <w:rPr>
        <w:rFonts w:ascii="Arial" w:hAnsi="Arial"/>
        <w:color w:val="404040"/>
        <w:sz w:val="22"/>
      </w:rPr>
      <w:tblPr/>
      <w:tcPr>
        <w:shd w:color="E5DFEC" w:fill="E5DFEC" w:themeColor="accent4" w:themeFill="accent4"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E5DFEC" w:fill="E5DFEC" w:themeColor="accent4" w:themeFill="accent4" w:themeFillTint="34" w:themeTint="34" w:val="clear"/>
      </w:tcPr>
    </w:tblStylePr>
  </w:style>
  <w:style w:customStyle="1" w:styleId="BorderedLined-Accent5" w:type="table">
    <w:name w:val="Bordered &amp; Lined - Accent 5"/>
    <w:basedOn w:val="TableNormal"/>
    <w:uiPriority w:val="99"/>
    <w:pPr>
      <w:spacing w:after="0"/>
    </w:pPr>
    <w:rPr>
      <w:color w:val="404040"/>
    </w:rPr>
    <w:tblPr>
      <w:tblStyleRowBandSize w:val="1"/>
      <w:tblStyleColBandSize w:val="1"/>
      <w:tblBorders>
        <w:top w:color="266779" w:space="0" w:sz="4" w:themeColor="accent5" w:themeShade="95" w:val="single"/>
        <w:left w:color="266779" w:space="0" w:sz="4" w:themeColor="accent5" w:themeShade="95" w:val="single"/>
        <w:bottom w:color="266779" w:space="0" w:sz="4" w:themeColor="accent5" w:themeShade="95" w:val="single"/>
        <w:right w:color="266779" w:space="0" w:sz="4" w:themeColor="accent5" w:themeShade="95" w:val="single"/>
        <w:insideH w:color="266779" w:space="0" w:sz="4" w:themeColor="accent5" w:themeShade="95" w:val="single"/>
        <w:insideV w:color="266779" w:space="0" w:sz="4" w:themeColor="accent5" w:themeShade="95" w:val="single"/>
      </w:tblBorders>
    </w:tblPr>
    <w:tblStylePr w:type="firstRow">
      <w:rPr>
        <w:rFonts w:ascii="Arial" w:hAnsi="Arial"/>
        <w:color w:val="F2F2F2"/>
        <w:sz w:val="22"/>
      </w:rPr>
      <w:tblPr/>
      <w:tcPr>
        <w:shd w:color="4BACC6" w:fill="4BACC6" w:themeColor="accent5" w:themeFill="accent5" w:val="clear"/>
      </w:tcPr>
    </w:tblStylePr>
    <w:tblStylePr w:type="lastRow">
      <w:rPr>
        <w:rFonts w:ascii="Arial" w:hAnsi="Arial"/>
        <w:color w:val="F2F2F2"/>
        <w:sz w:val="22"/>
      </w:rPr>
      <w:tblPr/>
      <w:tcPr>
        <w:shd w:color="4BACC6" w:fill="4BACC6" w:themeColor="accent5" w:themeFill="accent5" w:val="clear"/>
      </w:tcPr>
    </w:tblStylePr>
    <w:tblStylePr w:type="firstCol">
      <w:rPr>
        <w:rFonts w:ascii="Arial" w:hAnsi="Arial"/>
        <w:color w:val="F2F2F2"/>
        <w:sz w:val="22"/>
      </w:rPr>
      <w:tblPr/>
      <w:tcPr>
        <w:shd w:color="4BACC6" w:fill="4BACC6" w:themeColor="accent5" w:themeFill="accent5" w:val="clear"/>
      </w:tcPr>
    </w:tblStylePr>
    <w:tblStylePr w:type="lastCol">
      <w:rPr>
        <w:rFonts w:ascii="Arial" w:hAnsi="Arial"/>
        <w:color w:val="F2F2F2"/>
        <w:sz w:val="22"/>
      </w:rPr>
      <w:tblPr/>
      <w:tcPr>
        <w:shd w:color="4BACC6" w:fill="4BACC6" w:themeColor="accent5" w:themeFill="accent5" w:val="clear"/>
      </w:tcPr>
    </w:tblStylePr>
    <w:tblStylePr w:type="band1Vert">
      <w:rPr>
        <w:rFonts w:ascii="Arial" w:hAnsi="Arial"/>
        <w:color w:val="404040"/>
        <w:sz w:val="22"/>
      </w:rPr>
    </w:tblStylePr>
    <w:tblStylePr w:type="band2Vert">
      <w:rPr>
        <w:rFonts w:ascii="Arial" w:hAnsi="Arial"/>
        <w:color w:val="404040"/>
        <w:sz w:val="22"/>
      </w:rPr>
      <w:tblPr/>
      <w:tcPr>
        <w:shd w:color="DAEEF3" w:fill="DAEEF3" w:themeColor="accent5" w:themeFill="accent5"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DAEEF3" w:fill="DAEEF3" w:themeColor="accent5" w:themeFill="accent5" w:themeFillTint="34" w:themeTint="34" w:val="clear"/>
      </w:tcPr>
    </w:tblStylePr>
  </w:style>
  <w:style w:customStyle="1" w:styleId="BorderedLined-Accent6" w:type="table">
    <w:name w:val="Bordered &amp; Lined - Accent 6"/>
    <w:basedOn w:val="TableNormal"/>
    <w:uiPriority w:val="99"/>
    <w:pPr>
      <w:spacing w:after="0"/>
    </w:pPr>
    <w:rPr>
      <w:color w:val="404040"/>
    </w:rPr>
    <w:tblPr>
      <w:tblStyleRowBandSize w:val="1"/>
      <w:tblStyleColBandSize w:val="1"/>
      <w:tblBorders>
        <w:top w:color="B15407" w:space="0" w:sz="4" w:themeColor="accent6" w:themeShade="95" w:val="single"/>
        <w:left w:color="B15407" w:space="0" w:sz="4" w:themeColor="accent6" w:themeShade="95" w:val="single"/>
        <w:bottom w:color="B15407" w:space="0" w:sz="4" w:themeColor="accent6" w:themeShade="95" w:val="single"/>
        <w:right w:color="B15407" w:space="0" w:sz="4" w:themeColor="accent6" w:themeShade="95" w:val="single"/>
        <w:insideH w:color="B15407" w:space="0" w:sz="4" w:themeColor="accent6" w:themeShade="95" w:val="single"/>
        <w:insideV w:color="B15407" w:space="0" w:sz="4" w:themeColor="accent6" w:themeShade="95" w:val="single"/>
      </w:tblBorders>
    </w:tblPr>
    <w:tblStylePr w:type="firstRow">
      <w:rPr>
        <w:rFonts w:ascii="Arial" w:hAnsi="Arial"/>
        <w:color w:val="F2F2F2"/>
        <w:sz w:val="22"/>
      </w:rPr>
      <w:tblPr/>
      <w:tcPr>
        <w:shd w:color="F79646" w:fill="F79646" w:themeColor="accent6" w:themeFill="accent6" w:val="clear"/>
      </w:tcPr>
    </w:tblStylePr>
    <w:tblStylePr w:type="lastRow">
      <w:rPr>
        <w:rFonts w:ascii="Arial" w:hAnsi="Arial"/>
        <w:color w:val="F2F2F2"/>
        <w:sz w:val="22"/>
      </w:rPr>
      <w:tblPr/>
      <w:tcPr>
        <w:shd w:color="F79646" w:fill="F79646" w:themeColor="accent6" w:themeFill="accent6" w:val="clear"/>
      </w:tcPr>
    </w:tblStylePr>
    <w:tblStylePr w:type="firstCol">
      <w:rPr>
        <w:rFonts w:ascii="Arial" w:hAnsi="Arial"/>
        <w:color w:val="F2F2F2"/>
        <w:sz w:val="22"/>
      </w:rPr>
      <w:tblPr/>
      <w:tcPr>
        <w:shd w:color="F79646" w:fill="F79646" w:themeColor="accent6" w:themeFill="accent6" w:val="clear"/>
      </w:tcPr>
    </w:tblStylePr>
    <w:tblStylePr w:type="lastCol">
      <w:rPr>
        <w:rFonts w:ascii="Arial" w:hAnsi="Arial"/>
        <w:color w:val="F2F2F2"/>
        <w:sz w:val="22"/>
      </w:rPr>
      <w:tblPr/>
      <w:tcPr>
        <w:shd w:color="F79646" w:fill="F79646" w:themeColor="accent6" w:themeFill="accent6" w:val="clear"/>
      </w:tcPr>
    </w:tblStylePr>
    <w:tblStylePr w:type="band1Vert">
      <w:rPr>
        <w:rFonts w:ascii="Arial" w:hAnsi="Arial"/>
        <w:color w:val="404040"/>
        <w:sz w:val="22"/>
      </w:rPr>
    </w:tblStylePr>
    <w:tblStylePr w:type="band2Vert">
      <w:rPr>
        <w:rFonts w:ascii="Arial" w:hAnsi="Arial"/>
        <w:color w:val="404040"/>
        <w:sz w:val="22"/>
      </w:rPr>
      <w:tblPr/>
      <w:tcPr>
        <w:shd w:color="FDE9D8" w:fill="FDE9D8" w:themeColor="accent6" w:themeFill="accent6" w:themeFillTint="34" w:themeTint="34" w:val="clear"/>
      </w:tcPr>
    </w:tblStylePr>
    <w:tblStylePr w:type="band1Horz">
      <w:rPr>
        <w:rFonts w:ascii="Arial" w:hAnsi="Arial"/>
        <w:color w:val="404040"/>
        <w:sz w:val="22"/>
      </w:rPr>
    </w:tblStylePr>
    <w:tblStylePr w:type="band2Horz">
      <w:rPr>
        <w:rFonts w:ascii="Arial" w:hAnsi="Arial"/>
        <w:color w:val="404040"/>
        <w:sz w:val="22"/>
      </w:rPr>
      <w:tblPr/>
      <w:tcPr>
        <w:shd w:color="FDE9D8" w:fill="FDE9D8" w:themeColor="accent6" w:themeFill="accent6" w:themeFillTint="34" w:themeTint="34" w:val="clear"/>
      </w:tcPr>
    </w:tblStylePr>
  </w:style>
  <w:style w:customStyle="1" w:styleId="Bordered" w:type="table">
    <w:name w:val="Bordered"/>
    <w:basedOn w:val="TableNormal"/>
    <w:uiPriority w:val="99"/>
    <w:pPr>
      <w:spacing w:after="0"/>
    </w:pPr>
    <w:tblPr>
      <w:tblStyleRowBandSize w:val="1"/>
      <w:tblStyleColBandSize w:val="1"/>
      <w:tblBorders>
        <w:top w:color="D9D9D9" w:space="0" w:sz="4" w:themeColor="text1" w:themeTint="26" w:val="single"/>
        <w:left w:color="D9D9D9" w:space="0" w:sz="4" w:themeColor="text1" w:themeTint="26" w:val="single"/>
        <w:bottom w:color="D9D9D9" w:space="0" w:sz="4" w:themeColor="text1" w:themeTint="26" w:val="single"/>
        <w:right w:color="D9D9D9" w:space="0" w:sz="4" w:themeColor="text1" w:themeTint="26" w:val="single"/>
        <w:insideH w:color="D9D9D9" w:space="0" w:sz="4" w:themeColor="text1" w:themeTint="26" w:val="single"/>
        <w:insideV w:color="D9D9D9" w:space="0" w:sz="4" w:themeColor="text1" w:themeTint="26" w:val="single"/>
      </w:tblBorders>
    </w:tblPr>
    <w:tblStylePr w:type="firstRow">
      <w:rPr>
        <w:rFonts w:ascii="Arial" w:hAnsi="Arial"/>
        <w:color w:val="404040"/>
        <w:sz w:val="22"/>
      </w:rPr>
      <w:tblPr/>
      <w:tcPr>
        <w:tcBorders>
          <w:bottom w:color="7F7F7F" w:space="0" w:sz="12" w:themeColor="text1" w:themeTint="80" w:val="single"/>
        </w:tcBorders>
      </w:tcPr>
    </w:tblStylePr>
    <w:tblStylePr w:type="lastRow">
      <w:rPr>
        <w:rFonts w:ascii="Arial" w:hAnsi="Arial"/>
        <w:color w:val="404040"/>
        <w:sz w:val="22"/>
      </w:rPr>
      <w:tblPr/>
      <w:tcPr>
        <w:tcBorders>
          <w:top w:color="7F7F7F" w:space="0" w:sz="12" w:themeColor="text1" w:themeTint="80"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7F7F7F" w:space="0" w:sz="12" w:themeColor="text1" w:themeTint="80" w:val="single"/>
        </w:tcBorders>
      </w:tcPr>
    </w:tblStylePr>
    <w:tblStylePr w:type="band1Horz">
      <w:rPr>
        <w:rFonts w:ascii="Arial" w:hAnsi="Arial"/>
        <w:color w:val="404040"/>
        <w:sz w:val="22"/>
      </w:rPr>
      <w:tblPr/>
      <w:tcPr>
        <w:tcBorders>
          <w:top w:color="D9D9D9" w:space="0" w:sz="4" w:themeColor="text1" w:themeTint="26" w:val="single"/>
          <w:left w:color="D9D9D9" w:space="0" w:sz="4" w:themeColor="text1" w:themeTint="26" w:val="single"/>
          <w:bottom w:color="D9D9D9" w:space="0" w:sz="4" w:themeColor="text1" w:themeTint="26" w:val="single"/>
          <w:right w:color="D9D9D9" w:space="0" w:sz="4" w:themeColor="text1" w:themeTint="26" w:val="single"/>
        </w:tcBorders>
      </w:tcPr>
    </w:tblStylePr>
  </w:style>
  <w:style w:customStyle="1" w:styleId="Bordered-Accent1" w:type="table">
    <w:name w:val="Bordered - Accent 1"/>
    <w:basedOn w:val="TableNormal"/>
    <w:uiPriority w:val="99"/>
    <w:pPr>
      <w:spacing w:after="0"/>
    </w:pPr>
    <w:tblPr>
      <w:tblStyleRowBandSize w:val="1"/>
      <w:tblStyleColBandSize w:val="1"/>
      <w:tblBorders>
        <w:top w:color="B7CBE4" w:space="0" w:sz="4" w:themeColor="accent1" w:themeTint="67" w:val="single"/>
        <w:left w:color="B7CBE4" w:space="0" w:sz="4" w:themeColor="accent1" w:themeTint="67" w:val="single"/>
        <w:bottom w:color="B7CBE4" w:space="0" w:sz="4" w:themeColor="accent1" w:themeTint="67" w:val="single"/>
        <w:right w:color="B7CBE4" w:space="0" w:sz="4" w:themeColor="accent1" w:themeTint="67" w:val="single"/>
        <w:insideH w:color="B7CBE4" w:space="0" w:sz="4" w:themeColor="accent1" w:themeTint="67" w:val="single"/>
        <w:insideV w:color="B7CBE4" w:space="0" w:sz="4" w:themeColor="accent1" w:themeTint="67" w:val="single"/>
      </w:tblBorders>
    </w:tblPr>
    <w:tblStylePr w:type="firstRow">
      <w:rPr>
        <w:rFonts w:ascii="Arial" w:hAnsi="Arial"/>
        <w:color w:val="404040"/>
        <w:sz w:val="22"/>
      </w:rPr>
      <w:tblPr/>
      <w:tcPr>
        <w:tcBorders>
          <w:bottom w:color="4F81BD" w:space="0" w:sz="12" w:themeColor="accent1" w:val="single"/>
        </w:tcBorders>
      </w:tcPr>
    </w:tblStylePr>
    <w:tblStylePr w:type="lastRow">
      <w:rPr>
        <w:rFonts w:ascii="Arial" w:hAnsi="Arial"/>
        <w:color w:val="404040"/>
        <w:sz w:val="22"/>
      </w:rPr>
      <w:tblPr/>
      <w:tcPr>
        <w:tcBorders>
          <w:top w:color="4F81BD" w:space="0" w:sz="12" w:themeColor="accent1"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4F81BD" w:space="0" w:sz="12" w:themeColor="accent1" w:val="single"/>
        </w:tcBorders>
      </w:tcPr>
    </w:tblStylePr>
    <w:tblStylePr w:type="band1Horz">
      <w:rPr>
        <w:rFonts w:ascii="Arial" w:hAnsi="Arial"/>
        <w:color w:val="404040"/>
        <w:sz w:val="22"/>
      </w:rPr>
      <w:tblPr/>
      <w:tcPr>
        <w:tcBorders>
          <w:top w:color="B7CBE4" w:space="0" w:sz="4" w:themeColor="accent1" w:themeTint="67" w:val="single"/>
          <w:left w:color="B7CBE4" w:space="0" w:sz="4" w:themeColor="accent1" w:themeTint="67" w:val="single"/>
          <w:bottom w:color="B7CBE4" w:space="0" w:sz="4" w:themeColor="accent1" w:themeTint="67" w:val="single"/>
          <w:right w:color="B7CBE4" w:space="0" w:sz="4" w:themeColor="accent1" w:themeTint="67" w:val="single"/>
        </w:tcBorders>
      </w:tcPr>
    </w:tblStylePr>
  </w:style>
  <w:style w:customStyle="1" w:styleId="Bordered-Accent2" w:type="table">
    <w:name w:val="Bordered - Accent 2"/>
    <w:basedOn w:val="TableNormal"/>
    <w:uiPriority w:val="99"/>
    <w:pPr>
      <w:spacing w:after="0"/>
    </w:pPr>
    <w:tblPr>
      <w:tblStyleRowBandSize w:val="1"/>
      <w:tblStyleColBandSize w:val="1"/>
      <w:tblBorders>
        <w:top w:color="E5B7B6" w:space="0" w:sz="4" w:themeColor="accent2" w:themeTint="67" w:val="single"/>
        <w:left w:color="E5B7B6" w:space="0" w:sz="4" w:themeColor="accent2" w:themeTint="67" w:val="single"/>
        <w:bottom w:color="E5B7B6" w:space="0" w:sz="4" w:themeColor="accent2" w:themeTint="67" w:val="single"/>
        <w:right w:color="E5B7B6" w:space="0" w:sz="4" w:themeColor="accent2" w:themeTint="67" w:val="single"/>
        <w:insideH w:color="E5B7B6" w:space="0" w:sz="4" w:themeColor="accent2" w:themeTint="67" w:val="single"/>
        <w:insideV w:color="E5B7B6" w:space="0" w:sz="4" w:themeColor="accent2" w:themeTint="67" w:val="single"/>
      </w:tblBorders>
    </w:tblPr>
    <w:tblStylePr w:type="firstRow">
      <w:rPr>
        <w:rFonts w:ascii="Arial" w:hAnsi="Arial"/>
        <w:color w:val="404040"/>
        <w:sz w:val="22"/>
      </w:rPr>
      <w:tblPr/>
      <w:tcPr>
        <w:tcBorders>
          <w:bottom w:color="D99695" w:space="0" w:sz="12" w:themeColor="accent2" w:themeTint="97" w:val="single"/>
        </w:tcBorders>
      </w:tcPr>
    </w:tblStylePr>
    <w:tblStylePr w:type="lastRow">
      <w:rPr>
        <w:rFonts w:ascii="Arial" w:hAnsi="Arial"/>
        <w:color w:val="404040"/>
        <w:sz w:val="22"/>
      </w:rPr>
      <w:tblPr/>
      <w:tcPr>
        <w:tcBorders>
          <w:top w:color="D99695" w:space="0" w:sz="12" w:themeColor="accent2" w:themeTint="97"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D99695" w:space="0" w:sz="12" w:themeColor="accent2" w:themeTint="97" w:val="single"/>
        </w:tcBorders>
      </w:tcPr>
    </w:tblStylePr>
    <w:tblStylePr w:type="band1Horz">
      <w:rPr>
        <w:rFonts w:ascii="Arial" w:hAnsi="Arial"/>
        <w:color w:val="404040"/>
        <w:sz w:val="22"/>
      </w:rPr>
      <w:tblPr/>
      <w:tcPr>
        <w:tcBorders>
          <w:top w:color="E5B7B6" w:space="0" w:sz="4" w:themeColor="accent2" w:themeTint="67" w:val="single"/>
          <w:left w:color="E5B7B6" w:space="0" w:sz="4" w:themeColor="accent2" w:themeTint="67" w:val="single"/>
          <w:bottom w:color="E5B7B6" w:space="0" w:sz="4" w:themeColor="accent2" w:themeTint="67" w:val="single"/>
          <w:right w:color="E5B7B6" w:space="0" w:sz="4" w:themeColor="accent2" w:themeTint="67" w:val="single"/>
        </w:tcBorders>
      </w:tcPr>
    </w:tblStylePr>
  </w:style>
  <w:style w:customStyle="1" w:styleId="Bordered-Accent3" w:type="table">
    <w:name w:val="Bordered - Accent 3"/>
    <w:basedOn w:val="TableNormal"/>
    <w:uiPriority w:val="99"/>
    <w:pPr>
      <w:spacing w:after="0"/>
    </w:pPr>
    <w:tblPr>
      <w:tblStyleRowBandSize w:val="1"/>
      <w:tblStyleColBandSize w:val="1"/>
      <w:tblBorders>
        <w:top w:color="D6E3BB" w:space="0" w:sz="4" w:themeColor="accent3" w:themeTint="67" w:val="single"/>
        <w:left w:color="D6E3BB" w:space="0" w:sz="4" w:themeColor="accent3" w:themeTint="67" w:val="single"/>
        <w:bottom w:color="D6E3BB" w:space="0" w:sz="4" w:themeColor="accent3" w:themeTint="67" w:val="single"/>
        <w:right w:color="D6E3BB" w:space="0" w:sz="4" w:themeColor="accent3" w:themeTint="67" w:val="single"/>
        <w:insideH w:color="D6E3BB" w:space="0" w:sz="4" w:themeColor="accent3" w:themeTint="67" w:val="single"/>
        <w:insideV w:color="D6E3BB" w:space="0" w:sz="4" w:themeColor="accent3" w:themeTint="67" w:val="single"/>
      </w:tblBorders>
    </w:tblPr>
    <w:tblStylePr w:type="firstRow">
      <w:rPr>
        <w:rFonts w:ascii="Arial" w:hAnsi="Arial"/>
        <w:color w:val="404040"/>
        <w:sz w:val="22"/>
      </w:rPr>
      <w:tblPr/>
      <w:tcPr>
        <w:tcBorders>
          <w:bottom w:color="C3D69B" w:space="0" w:sz="12" w:themeColor="accent3" w:themeTint="98" w:val="single"/>
        </w:tcBorders>
      </w:tcPr>
    </w:tblStylePr>
    <w:tblStylePr w:type="lastRow">
      <w:rPr>
        <w:rFonts w:ascii="Arial" w:hAnsi="Arial"/>
        <w:color w:val="404040"/>
        <w:sz w:val="22"/>
      </w:rPr>
      <w:tblPr/>
      <w:tcPr>
        <w:tcBorders>
          <w:top w:color="C3D69B" w:space="0" w:sz="12" w:themeColor="accent3" w:themeTint="98"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C3D69B" w:space="0" w:sz="12" w:themeColor="accent3" w:themeTint="98" w:val="single"/>
        </w:tcBorders>
      </w:tcPr>
    </w:tblStylePr>
    <w:tblStylePr w:type="band1Horz">
      <w:rPr>
        <w:rFonts w:ascii="Arial" w:hAnsi="Arial"/>
        <w:color w:val="404040"/>
        <w:sz w:val="22"/>
      </w:rPr>
      <w:tblPr/>
      <w:tcPr>
        <w:tcBorders>
          <w:top w:color="D6E3BB" w:space="0" w:sz="4" w:themeColor="accent3" w:themeTint="67" w:val="single"/>
          <w:left w:color="D6E3BB" w:space="0" w:sz="4" w:themeColor="accent3" w:themeTint="67" w:val="single"/>
          <w:bottom w:color="D6E3BB" w:space="0" w:sz="4" w:themeColor="accent3" w:themeTint="67" w:val="single"/>
          <w:right w:color="D6E3BB" w:space="0" w:sz="4" w:themeColor="accent3" w:themeTint="67" w:val="single"/>
        </w:tcBorders>
      </w:tcPr>
    </w:tblStylePr>
  </w:style>
  <w:style w:customStyle="1" w:styleId="Bordered-Accent4" w:type="table">
    <w:name w:val="Bordered - Accent 4"/>
    <w:basedOn w:val="TableNormal"/>
    <w:uiPriority w:val="99"/>
    <w:pPr>
      <w:spacing w:after="0"/>
    </w:pPr>
    <w:tblPr>
      <w:tblStyleRowBandSize w:val="1"/>
      <w:tblStyleColBandSize w:val="1"/>
      <w:tblBorders>
        <w:top w:color="CBC0D9" w:space="0" w:sz="4" w:themeColor="accent4" w:themeTint="67" w:val="single"/>
        <w:left w:color="CBC0D9" w:space="0" w:sz="4" w:themeColor="accent4" w:themeTint="67" w:val="single"/>
        <w:bottom w:color="CBC0D9" w:space="0" w:sz="4" w:themeColor="accent4" w:themeTint="67" w:val="single"/>
        <w:right w:color="CBC0D9" w:space="0" w:sz="4" w:themeColor="accent4" w:themeTint="67" w:val="single"/>
        <w:insideH w:color="CBC0D9" w:space="0" w:sz="4" w:themeColor="accent4" w:themeTint="67" w:val="single"/>
        <w:insideV w:color="CBC0D9" w:space="0" w:sz="4" w:themeColor="accent4" w:themeTint="67" w:val="single"/>
      </w:tblBorders>
    </w:tblPr>
    <w:tblStylePr w:type="firstRow">
      <w:rPr>
        <w:rFonts w:ascii="Arial" w:hAnsi="Arial"/>
        <w:color w:val="404040"/>
        <w:sz w:val="22"/>
      </w:rPr>
      <w:tblPr/>
      <w:tcPr>
        <w:tcBorders>
          <w:bottom w:color="B2A1C6" w:space="0" w:sz="12" w:themeColor="accent4" w:themeTint="9A" w:val="single"/>
        </w:tcBorders>
      </w:tcPr>
    </w:tblStylePr>
    <w:tblStylePr w:type="lastRow">
      <w:rPr>
        <w:rFonts w:ascii="Arial" w:hAnsi="Arial"/>
        <w:color w:val="404040"/>
        <w:sz w:val="22"/>
      </w:rPr>
      <w:tblPr/>
      <w:tcPr>
        <w:tcBorders>
          <w:top w:color="B2A1C6" w:space="0" w:sz="12" w:themeColor="accent4" w:themeTint="9A"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B2A1C6" w:space="0" w:sz="12" w:themeColor="accent4" w:themeTint="9A" w:val="single"/>
        </w:tcBorders>
      </w:tcPr>
    </w:tblStylePr>
    <w:tblStylePr w:type="band1Horz">
      <w:rPr>
        <w:rFonts w:ascii="Arial" w:hAnsi="Arial"/>
        <w:color w:val="404040"/>
        <w:sz w:val="22"/>
      </w:rPr>
      <w:tblPr/>
      <w:tcPr>
        <w:tcBorders>
          <w:top w:color="CBC0D9" w:space="0" w:sz="4" w:themeColor="accent4" w:themeTint="67" w:val="single"/>
          <w:left w:color="CBC0D9" w:space="0" w:sz="4" w:themeColor="accent4" w:themeTint="67" w:val="single"/>
          <w:bottom w:color="CBC0D9" w:space="0" w:sz="4" w:themeColor="accent4" w:themeTint="67" w:val="single"/>
          <w:right w:color="CBC0D9" w:space="0" w:sz="4" w:themeColor="accent4" w:themeTint="67" w:val="single"/>
        </w:tcBorders>
      </w:tcPr>
    </w:tblStylePr>
  </w:style>
  <w:style w:customStyle="1" w:styleId="Bordered-Accent5" w:type="table">
    <w:name w:val="Bordered - Accent 5"/>
    <w:basedOn w:val="TableNormal"/>
    <w:uiPriority w:val="99"/>
    <w:pPr>
      <w:spacing w:after="0"/>
    </w:pPr>
    <w:tblPr>
      <w:tblStyleRowBandSize w:val="1"/>
      <w:tblStyleColBandSize w:val="1"/>
      <w:tblBorders>
        <w:top w:color="B6DDE8" w:space="0" w:sz="4" w:themeColor="accent5" w:themeTint="67" w:val="single"/>
        <w:left w:color="B6DDE8" w:space="0" w:sz="4" w:themeColor="accent5" w:themeTint="67" w:val="single"/>
        <w:bottom w:color="B6DDE8" w:space="0" w:sz="4" w:themeColor="accent5" w:themeTint="67" w:val="single"/>
        <w:right w:color="B6DDE8" w:space="0" w:sz="4" w:themeColor="accent5" w:themeTint="67" w:val="single"/>
        <w:insideH w:color="B6DDE8" w:space="0" w:sz="4" w:themeColor="accent5" w:themeTint="67" w:val="single"/>
        <w:insideV w:color="B6DDE8" w:space="0" w:sz="4" w:themeColor="accent5" w:themeTint="67" w:val="single"/>
      </w:tblBorders>
    </w:tblPr>
    <w:tblStylePr w:type="firstRow">
      <w:rPr>
        <w:rFonts w:ascii="Arial" w:hAnsi="Arial"/>
        <w:color w:val="404040"/>
        <w:sz w:val="22"/>
      </w:rPr>
      <w:tblPr/>
      <w:tcPr>
        <w:tcBorders>
          <w:bottom w:color="92CCDC" w:space="0" w:sz="12" w:themeColor="accent5" w:themeTint="9A" w:val="single"/>
        </w:tcBorders>
      </w:tcPr>
    </w:tblStylePr>
    <w:tblStylePr w:type="lastRow">
      <w:rPr>
        <w:rFonts w:ascii="Arial" w:hAnsi="Arial"/>
        <w:color w:val="404040"/>
        <w:sz w:val="22"/>
      </w:rPr>
      <w:tblPr/>
      <w:tcPr>
        <w:tcBorders>
          <w:top w:color="92CCDC" w:space="0" w:sz="12" w:themeColor="accent5" w:themeTint="9A"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92CCDC" w:space="0" w:sz="12" w:themeColor="accent5" w:themeTint="9A" w:val="single"/>
        </w:tcBorders>
      </w:tcPr>
    </w:tblStylePr>
    <w:tblStylePr w:type="band1Horz">
      <w:rPr>
        <w:rFonts w:ascii="Arial" w:hAnsi="Arial"/>
        <w:color w:val="404040"/>
        <w:sz w:val="22"/>
      </w:rPr>
      <w:tblPr/>
      <w:tcPr>
        <w:tcBorders>
          <w:top w:color="B6DDE8" w:space="0" w:sz="4" w:themeColor="accent5" w:themeTint="67" w:val="single"/>
          <w:left w:color="B6DDE8" w:space="0" w:sz="4" w:themeColor="accent5" w:themeTint="67" w:val="single"/>
          <w:bottom w:color="B6DDE8" w:space="0" w:sz="4" w:themeColor="accent5" w:themeTint="67" w:val="single"/>
          <w:right w:color="B6DDE8" w:space="0" w:sz="4" w:themeColor="accent5" w:themeTint="67" w:val="single"/>
        </w:tcBorders>
      </w:tcPr>
    </w:tblStylePr>
  </w:style>
  <w:style w:customStyle="1" w:styleId="Bordered-Accent6" w:type="table">
    <w:name w:val="Bordered - Accent 6"/>
    <w:basedOn w:val="TableNormal"/>
    <w:uiPriority w:val="99"/>
    <w:pPr>
      <w:spacing w:after="0"/>
    </w:pPr>
    <w:tblPr>
      <w:tblStyleRowBandSize w:val="1"/>
      <w:tblStyleColBandSize w:val="1"/>
      <w:tblBorders>
        <w:top w:color="FBD4B4" w:space="0" w:sz="4" w:themeColor="accent6" w:themeTint="67" w:val="single"/>
        <w:left w:color="FBD4B4" w:space="0" w:sz="4" w:themeColor="accent6" w:themeTint="67" w:val="single"/>
        <w:bottom w:color="FBD4B4" w:space="0" w:sz="4" w:themeColor="accent6" w:themeTint="67" w:val="single"/>
        <w:right w:color="FBD4B4" w:space="0" w:sz="4" w:themeColor="accent6" w:themeTint="67" w:val="single"/>
        <w:insideH w:color="FBD4B4" w:space="0" w:sz="4" w:themeColor="accent6" w:themeTint="67" w:val="single"/>
        <w:insideV w:color="FBD4B4" w:space="0" w:sz="4" w:themeColor="accent6" w:themeTint="67" w:val="single"/>
      </w:tblBorders>
    </w:tblPr>
    <w:tblStylePr w:type="firstRow">
      <w:rPr>
        <w:rFonts w:ascii="Arial" w:hAnsi="Arial"/>
        <w:color w:val="404040"/>
        <w:sz w:val="22"/>
      </w:rPr>
      <w:tblPr/>
      <w:tcPr>
        <w:tcBorders>
          <w:bottom w:color="FAC090" w:space="0" w:sz="12" w:themeColor="accent6" w:themeTint="98" w:val="single"/>
        </w:tcBorders>
      </w:tcPr>
    </w:tblStylePr>
    <w:tblStylePr w:type="lastRow">
      <w:rPr>
        <w:rFonts w:ascii="Arial" w:hAnsi="Arial"/>
        <w:color w:val="404040"/>
        <w:sz w:val="22"/>
      </w:rPr>
      <w:tblPr/>
      <w:tcPr>
        <w:tcBorders>
          <w:top w:color="FAC090" w:space="0" w:sz="12" w:themeColor="accent6" w:themeTint="98" w:val="single"/>
        </w:tcBorders>
      </w:tcPr>
    </w:tblStylePr>
    <w:tblStylePr w:type="firstCol">
      <w:rPr>
        <w:rFonts w:ascii="Arial" w:hAnsi="Arial"/>
        <w:color w:val="404040"/>
        <w:sz w:val="22"/>
      </w:rPr>
    </w:tblStylePr>
    <w:tblStylePr w:type="lastCol">
      <w:rPr>
        <w:rFonts w:ascii="Arial" w:hAnsi="Arial"/>
        <w:color w:val="404040"/>
        <w:sz w:val="22"/>
      </w:rPr>
      <w:tblPr/>
      <w:tcPr>
        <w:tcBorders>
          <w:left w:color="FAC090" w:space="0" w:sz="12" w:themeColor="accent6" w:themeTint="98" w:val="single"/>
        </w:tcBorders>
      </w:tcPr>
    </w:tblStylePr>
    <w:tblStylePr w:type="band1Horz">
      <w:rPr>
        <w:rFonts w:ascii="Arial" w:hAnsi="Arial"/>
        <w:color w:val="404040"/>
        <w:sz w:val="22"/>
      </w:rPr>
      <w:tblPr/>
      <w:tcPr>
        <w:tcBorders>
          <w:top w:color="FBD4B4" w:space="0" w:sz="4" w:themeColor="accent6" w:themeTint="67" w:val="single"/>
          <w:left w:color="FBD4B4" w:space="0" w:sz="4" w:themeColor="accent6" w:themeTint="67" w:val="single"/>
          <w:bottom w:color="FBD4B4" w:space="0" w:sz="4" w:themeColor="accent6" w:themeTint="67" w:val="single"/>
          <w:right w:color="FBD4B4" w:space="0" w:sz="4" w:themeColor="accent6" w:themeTint="67" w:val="single"/>
        </w:tcBorders>
      </w:tcPr>
    </w:tblStylePr>
  </w:style>
  <w:style w:customStyle="1" w:styleId="FootnoteTextChar" w:type="character">
    <w:name w:val="Footnote Text Char"/>
    <w:link w:val="FootnoteText"/>
    <w:uiPriority w:val="99"/>
    <w:rPr>
      <w:sz w:val="18"/>
    </w:rPr>
  </w:style>
  <w:style w:styleId="EndnoteText" w:type="paragraph">
    <w:name w:val="endnote text"/>
    <w:basedOn w:val="Normal"/>
    <w:link w:val="EndnoteTextChar"/>
    <w:uiPriority w:val="99"/>
    <w:semiHidden/>
    <w:unhideWhenUsed/>
    <w:pPr>
      <w:spacing w:after="0"/>
    </w:pPr>
    <w:rPr>
      <w:sz w:val="20"/>
    </w:rPr>
  </w:style>
  <w:style w:customStyle="1" w:styleId="EndnoteTextChar" w:type="character">
    <w:name w:val="Endnote Text Char"/>
    <w:link w:val="EndnoteText"/>
    <w:uiPriority w:val="99"/>
    <w:rPr>
      <w:sz w:val="20"/>
    </w:rPr>
  </w:style>
  <w:style w:styleId="EndnoteReference" w:type="character">
    <w:name w:val="endnote reference"/>
    <w:basedOn w:val="DefaultParagraphFont"/>
    <w:uiPriority w:val="99"/>
    <w:semiHidden/>
    <w:unhideWhenUsed/>
    <w:rPr>
      <w:vertAlign w:val="superscript"/>
    </w:rPr>
  </w:style>
  <w:style w:styleId="TOC1" w:type="paragraph">
    <w:name w:val="toc 1"/>
    <w:basedOn w:val="Normal"/>
    <w:next w:val="Normal"/>
    <w:uiPriority w:val="39"/>
    <w:unhideWhenUsed/>
    <w:pPr>
      <w:spacing w:after="57"/>
    </w:pPr>
  </w:style>
  <w:style w:styleId="TOC2" w:type="paragraph">
    <w:name w:val="toc 2"/>
    <w:basedOn w:val="Normal"/>
    <w:next w:val="Normal"/>
    <w:uiPriority w:val="39"/>
    <w:unhideWhenUsed/>
    <w:pPr>
      <w:spacing w:after="57"/>
      <w:ind w:left="283"/>
    </w:pPr>
  </w:style>
  <w:style w:styleId="TOC3" w:type="paragraph">
    <w:name w:val="toc 3"/>
    <w:basedOn w:val="Normal"/>
    <w:next w:val="Normal"/>
    <w:uiPriority w:val="39"/>
    <w:unhideWhenUsed/>
    <w:pPr>
      <w:spacing w:after="57"/>
      <w:ind w:left="567"/>
    </w:pPr>
  </w:style>
  <w:style w:styleId="TOC4" w:type="paragraph">
    <w:name w:val="toc 4"/>
    <w:basedOn w:val="Normal"/>
    <w:next w:val="Normal"/>
    <w:uiPriority w:val="39"/>
    <w:unhideWhenUsed/>
    <w:pPr>
      <w:spacing w:after="57"/>
      <w:ind w:left="850"/>
    </w:pPr>
  </w:style>
  <w:style w:styleId="TOC5" w:type="paragraph">
    <w:name w:val="toc 5"/>
    <w:basedOn w:val="Normal"/>
    <w:next w:val="Normal"/>
    <w:uiPriority w:val="39"/>
    <w:unhideWhenUsed/>
    <w:pPr>
      <w:spacing w:after="57"/>
      <w:ind w:left="1134"/>
    </w:pPr>
  </w:style>
  <w:style w:styleId="TOC6" w:type="paragraph">
    <w:name w:val="toc 6"/>
    <w:basedOn w:val="Normal"/>
    <w:next w:val="Normal"/>
    <w:uiPriority w:val="39"/>
    <w:unhideWhenUsed/>
    <w:pPr>
      <w:spacing w:after="57"/>
      <w:ind w:left="1417"/>
    </w:pPr>
  </w:style>
  <w:style w:styleId="TOC7" w:type="paragraph">
    <w:name w:val="toc 7"/>
    <w:basedOn w:val="Normal"/>
    <w:next w:val="Normal"/>
    <w:uiPriority w:val="39"/>
    <w:unhideWhenUsed/>
    <w:pPr>
      <w:spacing w:after="57"/>
      <w:ind w:left="1701"/>
    </w:pPr>
  </w:style>
  <w:style w:styleId="TOC8" w:type="paragraph">
    <w:name w:val="toc 8"/>
    <w:basedOn w:val="Normal"/>
    <w:next w:val="Normal"/>
    <w:uiPriority w:val="39"/>
    <w:unhideWhenUsed/>
    <w:pPr>
      <w:spacing w:after="57"/>
      <w:ind w:left="1984"/>
    </w:pPr>
  </w:style>
  <w:style w:styleId="TOC9" w:type="paragraph">
    <w:name w:val="toc 9"/>
    <w:basedOn w:val="Normal"/>
    <w:next w:val="Normal"/>
    <w:uiPriority w:val="39"/>
    <w:unhideWhenUsed/>
    <w:pPr>
      <w:spacing w:after="57"/>
      <w:ind w:left="2268"/>
    </w:pPr>
  </w:style>
  <w:style w:styleId="TableofFigures" w:type="paragraph">
    <w:name w:val="table of figures"/>
    <w:basedOn w:val="Normal"/>
    <w:next w:val="Normal"/>
    <w:uiPriority w:val="99"/>
    <w:unhideWhenUsed/>
    <w:pPr>
      <w:spacing w:after="0"/>
    </w:pPr>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qFormat/>
    <w:pPr>
      <w:keepNext/>
      <w:keepLines/>
      <w:spacing w:after="240" w:before="480"/>
      <w:jc w:val="center"/>
    </w:pPr>
    <w:rPr>
      <w:rFonts w:cs="Times New Roman" w:eastAsiaTheme="majorEastAsia"/>
      <w:b/>
      <w:bCs/>
    </w:rPr>
  </w:style>
  <w:style w:styleId="Subtitle" w:type="paragraph">
    <w:name w:val="Subtitle"/>
    <w:basedOn w:val="Title"/>
    <w:next w:val="BodyText"/>
    <w:link w:val="SubtitleChar"/>
    <w:qFormat/>
    <w:pPr>
      <w:spacing w:before="240"/>
    </w:pPr>
  </w:style>
  <w:style w:customStyle="1" w:styleId="Author" w:type="paragraph">
    <w:name w:val="Author"/>
    <w:next w:val="BodyText"/>
    <w:qFormat/>
    <w:rsid w:val="00676F1E"/>
    <w:pPr>
      <w:keepNext/>
      <w:keepLines/>
      <w:jc w:val="center"/>
    </w:pPr>
    <w:rPr>
      <w:rFonts w:ascii="Times New Roman" w:hAnsi="Times New Roman"/>
    </w:rPr>
  </w:style>
  <w:style w:styleId="Date" w:type="paragraph">
    <w:name w:val="Date"/>
    <w:next w:val="BodyText"/>
    <w:qFormat/>
    <w:rsid w:val="00676F1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rFonts w:cs="Times New Roman"/>
    </w:rPr>
  </w:style>
  <w:style w:styleId="Bibliography" w:type="paragraph">
    <w:name w:val="Bibliography"/>
    <w:basedOn w:val="Normal"/>
    <w:qFormat/>
    <w:rsid w:val="00676F1E"/>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link w:val="FootnoteTextChar"/>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000000" w:space="0" w:sz="4"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1"/>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1" w:type="character">
    <w:name w:val="Caption Char1"/>
    <w:basedOn w:val="DefaultParagraphFont"/>
    <w:link w:val="Caption"/>
  </w:style>
  <w:style w:customStyle="1" w:styleId="VerbatimChar" w:type="character">
    <w:name w:val="Verbatim Char"/>
    <w:basedOn w:val="CaptionChar1"/>
    <w:rPr>
      <w:rFonts w:ascii="Consolas" w:hAnsi="Consolas"/>
      <w:sz w:val="22"/>
    </w:rPr>
  </w:style>
  <w:style w:customStyle="1" w:styleId="SectionNumber" w:type="character">
    <w:name w:val="Section Number"/>
    <w:basedOn w:val="CaptionChar1"/>
  </w:style>
  <w:style w:styleId="FootnoteReference" w:type="character">
    <w:name w:val="footnote reference"/>
    <w:basedOn w:val="CaptionChar1"/>
    <w:rPr>
      <w:vertAlign w:val="superscript"/>
    </w:rPr>
  </w:style>
  <w:style w:styleId="Hyperlink" w:type="character">
    <w:name w:val="Hyperlink"/>
    <w:basedOn w:val="CaptionChar1"/>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hyperlink" Id="rId426" Target="https://academic.oup.com/book/11251/chapter/159788501" TargetMode="External" /><Relationship Type="http://schemas.openxmlformats.org/officeDocument/2006/relationships/hyperlink" Id="rId387" Target="https://certificate.queenslaw.ca/blog/what-is-inventorship" TargetMode="External" /><Relationship Type="http://schemas.openxmlformats.org/officeDocument/2006/relationships/hyperlink" Id="rId307" Target="https://cnnespanol.cnn.com/2021/10/20/violencia-estado-excepcion-ecuador-orix/" TargetMode="External" /><Relationship Type="http://schemas.openxmlformats.org/officeDocument/2006/relationships/hyperlink" Id="rId57" Target="https://doi.org/10.1002/j.2325-8012.2000.tb00323.x" TargetMode="External" /><Relationship Type="http://schemas.openxmlformats.org/officeDocument/2006/relationships/hyperlink" Id="rId59" Target="https://doi.org/10.1007/s00148-003-0166-x" TargetMode="External" /><Relationship Type="http://schemas.openxmlformats.org/officeDocument/2006/relationships/hyperlink" Id="rId87" Target="https://doi.org/10.1007/s00148-007-0137-8" TargetMode="External" /><Relationship Type="http://schemas.openxmlformats.org/officeDocument/2006/relationships/hyperlink" Id="rId193" Target="https://doi.org/10.1007/s10797-017-9438-3" TargetMode="External" /><Relationship Type="http://schemas.openxmlformats.org/officeDocument/2006/relationships/hyperlink" Id="rId79" Target="https://doi.org/10.1007/s10961-011-9211-1" TargetMode="External" /><Relationship Type="http://schemas.openxmlformats.org/officeDocument/2006/relationships/hyperlink" Id="rId152" Target="https://doi.org/10.1007/s11109-019-09539-8" TargetMode="External" /><Relationship Type="http://schemas.openxmlformats.org/officeDocument/2006/relationships/hyperlink" Id="rId122" Target="https://doi.org/10.1007/s11109-022-09798-y" TargetMode="External" /><Relationship Type="http://schemas.openxmlformats.org/officeDocument/2006/relationships/hyperlink" Id="rId55" Target="https://doi.org/10.1007/s12122-003-1031-0" TargetMode="External" /><Relationship Type="http://schemas.openxmlformats.org/officeDocument/2006/relationships/hyperlink" Id="rId273" Target="https://doi.org/10.1016/0048-7333(85)90017-4" TargetMode="External" /><Relationship Type="http://schemas.openxmlformats.org/officeDocument/2006/relationships/hyperlink" Id="rId67" Target="https://doi.org/10.1016/B978-0-444-53759-1.00001-7" TargetMode="External" /><Relationship Type="http://schemas.openxmlformats.org/officeDocument/2006/relationships/hyperlink" Id="rId91" Target="https://doi.org/10.1016/B978-0-444-53759-1.00002-9" TargetMode="External" /><Relationship Type="http://schemas.openxmlformats.org/officeDocument/2006/relationships/hyperlink" Id="rId124" Target="https://doi.org/10.1016/B978-0-444-53759-1.00003-0" TargetMode="External" /><Relationship Type="http://schemas.openxmlformats.org/officeDocument/2006/relationships/hyperlink" Id="rId185" Target="https://doi.org/10.1016/B978-0-444-53759-1.00004-2" TargetMode="External" /><Relationship Type="http://schemas.openxmlformats.org/officeDocument/2006/relationships/hyperlink" Id="rId228" Target="https://doi.org/10.1016/B978-0-444-53759-1.00005-4" TargetMode="External" /><Relationship Type="http://schemas.openxmlformats.org/officeDocument/2006/relationships/hyperlink" Id="rId311" Target="https://doi.org/10.1016/B978-0-444-53759-1.00012-1" TargetMode="External" /><Relationship Type="http://schemas.openxmlformats.org/officeDocument/2006/relationships/hyperlink" Id="rId261" Target="https://doi.org/10.1016/B978-0-444-53759-1.00014-5" TargetMode="External" /><Relationship Type="http://schemas.openxmlformats.org/officeDocument/2006/relationships/hyperlink" Id="rId216" Target="https://doi.org/10.1016/B978-0-444-53759-1.00015-7" TargetMode="External" /><Relationship Type="http://schemas.openxmlformats.org/officeDocument/2006/relationships/hyperlink" Id="rId136" Target="https://doi.org/10.1016/S0927-5371(97)00010-9" TargetMode="External" /><Relationship Type="http://schemas.openxmlformats.org/officeDocument/2006/relationships/hyperlink" Id="rId378" Target="https://doi.org/10.1016/j.econlet.2004.03.035" TargetMode="External" /><Relationship Type="http://schemas.openxmlformats.org/officeDocument/2006/relationships/hyperlink" Id="rId85" Target="https://doi.org/10.1016/j.ejpoleco.2014.06.005" TargetMode="External" /><Relationship Type="http://schemas.openxmlformats.org/officeDocument/2006/relationships/hyperlink" Id="rId294" Target="https://doi.org/10.1016/j.electstud.2009.07.003" TargetMode="External" /><Relationship Type="http://schemas.openxmlformats.org/officeDocument/2006/relationships/hyperlink" Id="rId441" Target="https://doi.org/10.1016/j.enpol.2018.08.032" TargetMode="External" /><Relationship Type="http://schemas.openxmlformats.org/officeDocument/2006/relationships/hyperlink" Id="rId150" Target="https://doi.org/10.1016/j.euroecorev.2003.11.002" TargetMode="External" /><Relationship Type="http://schemas.openxmlformats.org/officeDocument/2006/relationships/hyperlink" Id="rId222" Target="https://doi.org/10.1016/j.euroecorev.2013.11.001" TargetMode="External" /><Relationship Type="http://schemas.openxmlformats.org/officeDocument/2006/relationships/hyperlink" Id="rId418" Target="https://doi.org/10.1016/j.jeconom.2020.09.006" TargetMode="External" /><Relationship Type="http://schemas.openxmlformats.org/officeDocument/2006/relationships/hyperlink" Id="rId111" Target="https://doi.org/10.1016/j.jeconom.2020.12.001" TargetMode="External" /><Relationship Type="http://schemas.openxmlformats.org/officeDocument/2006/relationships/hyperlink" Id="rId319" Target="https://doi.org/10.1016/j.jedc.2017.09.004" TargetMode="External" /><Relationship Type="http://schemas.openxmlformats.org/officeDocument/2006/relationships/hyperlink" Id="rId259" Target="https://doi.org/10.1016/j.jeem.2021.102550" TargetMode="External" /><Relationship Type="http://schemas.openxmlformats.org/officeDocument/2006/relationships/hyperlink" Id="rId75" Target="https://doi.org/10.1016/j.joep.2017.01.003" TargetMode="External" /><Relationship Type="http://schemas.openxmlformats.org/officeDocument/2006/relationships/hyperlink" Id="rId177" Target="https://doi.org/10.1016/j.labeco.2003.02.001" TargetMode="External" /><Relationship Type="http://schemas.openxmlformats.org/officeDocument/2006/relationships/hyperlink" Id="rId242" Target="https://doi.org/10.1016/j.labeco.2006.11.002" TargetMode="External" /><Relationship Type="http://schemas.openxmlformats.org/officeDocument/2006/relationships/hyperlink" Id="rId226" Target="https://doi.org/10.1016/j.labeco.2009.05.001" TargetMode="External" /><Relationship Type="http://schemas.openxmlformats.org/officeDocument/2006/relationships/hyperlink" Id="rId395" Target="https://doi.org/10.1016/j.labeco.2010.06.003" TargetMode="External" /><Relationship Type="http://schemas.openxmlformats.org/officeDocument/2006/relationships/hyperlink" Id="rId375" Target="https://doi.org/10.1016/j.socscimed.2014.09.034" TargetMode="External" /><Relationship Type="http://schemas.openxmlformats.org/officeDocument/2006/relationships/hyperlink" Id="rId230" Target="https://doi.org/10.1017/9781108131704" TargetMode="External" /><Relationship Type="http://schemas.openxmlformats.org/officeDocument/2006/relationships/hyperlink" Id="rId160" Target="https://doi.org/10.1017/CBO9780511896606" TargetMode="External" /><Relationship Type="http://schemas.openxmlformats.org/officeDocument/2006/relationships/hyperlink" Id="rId132" Target="https://doi.org/10.1017/S0003055407070554" TargetMode="External" /><Relationship Type="http://schemas.openxmlformats.org/officeDocument/2006/relationships/hyperlink" Id="rId203" Target="https://doi.org/10.1017/S0003055409990104" TargetMode="External" /><Relationship Type="http://schemas.openxmlformats.org/officeDocument/2006/relationships/hyperlink" Id="rId106" Target="https://doi.org/10.1017/S0003055411000165" TargetMode="External" /><Relationship Type="http://schemas.openxmlformats.org/officeDocument/2006/relationships/hyperlink" Id="rId138" Target="https://doi.org/10.1017/S0007123400007134" TargetMode="External" /><Relationship Type="http://schemas.openxmlformats.org/officeDocument/2006/relationships/hyperlink" Id="rId97" Target="https://doi.org/10.1017/S0007123415000393" TargetMode="External" /><Relationship Type="http://schemas.openxmlformats.org/officeDocument/2006/relationships/hyperlink" Id="rId77" Target="https://doi.org/10.1017/XPS.2018.13" TargetMode="External" /><Relationship Type="http://schemas.openxmlformats.org/officeDocument/2006/relationships/hyperlink" Id="rId63" Target="https://doi.org/10.1017/s0022381610000940" TargetMode="External" /><Relationship Type="http://schemas.openxmlformats.org/officeDocument/2006/relationships/hyperlink" Id="rId380" Target="https://doi.org/10.1023/A:1025742423308" TargetMode="External" /><Relationship Type="http://schemas.openxmlformats.org/officeDocument/2006/relationships/hyperlink" Id="rId99" Target="https://doi.org/10.1037/0003-066X.36.2.129" TargetMode="External" /><Relationship Type="http://schemas.openxmlformats.org/officeDocument/2006/relationships/hyperlink" Id="rId267" Target="https://doi.org/10.1037/a0032124" TargetMode="External" /><Relationship Type="http://schemas.openxmlformats.org/officeDocument/2006/relationships/hyperlink" Id="rId445" Target="https://doi.org/10.1038/nature08316" TargetMode="External" /><Relationship Type="http://schemas.openxmlformats.org/officeDocument/2006/relationships/hyperlink" Id="rId183" Target="https://doi.org/10.1057/ces.2010.19" TargetMode="External" /><Relationship Type="http://schemas.openxmlformats.org/officeDocument/2006/relationships/hyperlink" Id="rId428" Target="https://doi.org/10.1080/10438590410001628387" TargetMode="External" /><Relationship Type="http://schemas.openxmlformats.org/officeDocument/2006/relationships/hyperlink" Id="rId197" Target="https://doi.org/10.1080/10438590701581481" TargetMode="External" /><Relationship Type="http://schemas.openxmlformats.org/officeDocument/2006/relationships/hyperlink" Id="rId148" Target="https://doi.org/10.1086/253422" TargetMode="External" /><Relationship Type="http://schemas.openxmlformats.org/officeDocument/2006/relationships/hyperlink" Id="rId251" Target="https://doi.org/10.1086/381257" TargetMode="External" /><Relationship Type="http://schemas.openxmlformats.org/officeDocument/2006/relationships/hyperlink" Id="rId240" Target="https://doi.org/10.1086/383107" TargetMode="External" /><Relationship Type="http://schemas.openxmlformats.org/officeDocument/2006/relationships/hyperlink" Id="rId249" Target="https://doi.org/10.1086/684510" TargetMode="External" /><Relationship Type="http://schemas.openxmlformats.org/officeDocument/2006/relationships/hyperlink" Id="rId71" Target="https://doi.org/10.1093/ser/mwac013" TargetMode="External" /><Relationship Type="http://schemas.openxmlformats.org/officeDocument/2006/relationships/hyperlink" Id="rId317" Target="https://doi.org/10.1111/1540-5982.00132" TargetMode="External" /><Relationship Type="http://schemas.openxmlformats.org/officeDocument/2006/relationships/hyperlink" Id="rId104" Target="https://doi.org/10.1111/ajps.12243" TargetMode="External" /><Relationship Type="http://schemas.openxmlformats.org/officeDocument/2006/relationships/hyperlink" Id="rId113" Target="https://doi.org/10.1111/coep.12036" TargetMode="External" /><Relationship Type="http://schemas.openxmlformats.org/officeDocument/2006/relationships/hyperlink" Id="rId384" Target="https://doi.org/10.1111/coep.12241" TargetMode="External" /><Relationship Type="http://schemas.openxmlformats.org/officeDocument/2006/relationships/hyperlink" Id="rId290" Target="https://doi.org/10.1111/irel.12306" TargetMode="External" /><Relationship Type="http://schemas.openxmlformats.org/officeDocument/2006/relationships/hyperlink" Id="rId276" Target="https://doi.org/10.1111/j.1465-7295.1984.tb00696.x" TargetMode="External" /><Relationship Type="http://schemas.openxmlformats.org/officeDocument/2006/relationships/hyperlink" Id="rId164" Target="https://doi.org/10.1111/j.1467-8543.2009.00724.x" TargetMode="External" /><Relationship Type="http://schemas.openxmlformats.org/officeDocument/2006/relationships/hyperlink" Id="rId81" Target="https://doi.org/10.1111/j.1468-0335.2006.00576.x" TargetMode="External" /><Relationship Type="http://schemas.openxmlformats.org/officeDocument/2006/relationships/hyperlink" Id="rId115" Target="https://doi.org/10.1111/j.1468-232X.2006.00424.x" TargetMode="External" /><Relationship Type="http://schemas.openxmlformats.org/officeDocument/2006/relationships/hyperlink" Id="rId255" Target="https://doi.org/10.1111/j.1468-2508.2006.00381.x" TargetMode="External" /><Relationship Type="http://schemas.openxmlformats.org/officeDocument/2006/relationships/hyperlink" Id="rId207" Target="https://doi.org/10.1146/annurev-polisci-032211-212920" TargetMode="External" /><Relationship Type="http://schemas.openxmlformats.org/officeDocument/2006/relationships/hyperlink" Id="rId140" Target="https://doi.org/10.1162/003355302320935089" TargetMode="External" /><Relationship Type="http://schemas.openxmlformats.org/officeDocument/2006/relationships/hyperlink" Id="rId382" Target="https://doi.org/10.1162/003355398555586" TargetMode="External" /><Relationship Type="http://schemas.openxmlformats.org/officeDocument/2006/relationships/hyperlink" Id="rId265" Target="https://doi.org/10.1177/0002716209351522" TargetMode="External" /><Relationship Type="http://schemas.openxmlformats.org/officeDocument/2006/relationships/hyperlink" Id="rId181" Target="https://doi.org/10.1177/0951692897009001001" TargetMode="External" /><Relationship Type="http://schemas.openxmlformats.org/officeDocument/2006/relationships/hyperlink" Id="rId305" Target="https://doi.org/10.1177/0951692897009001007" TargetMode="External" /><Relationship Type="http://schemas.openxmlformats.org/officeDocument/2006/relationships/hyperlink" Id="rId263" Target="https://doi.org/10.1177/1354068810372564" TargetMode="External" /><Relationship Type="http://schemas.openxmlformats.org/officeDocument/2006/relationships/hyperlink" Id="rId224" Target="https://doi.org/10.1177/2233865919888373" TargetMode="External" /><Relationship Type="http://schemas.openxmlformats.org/officeDocument/2006/relationships/hyperlink" Id="rId392" Target="https://doi.org/10.1186/2193-8997-3-3" TargetMode="External" /><Relationship Type="http://schemas.openxmlformats.org/officeDocument/2006/relationships/hyperlink" Id="rId166" Target="https://doi.org/10.1257/089533004773563458" TargetMode="External" /><Relationship Type="http://schemas.openxmlformats.org/officeDocument/2006/relationships/hyperlink" Id="rId309" Target="https://doi.org/10.1257/0895330054048704" TargetMode="External" /><Relationship Type="http://schemas.openxmlformats.org/officeDocument/2006/relationships/hyperlink" Id="rId432" Target="https://doi.org/10.1257/app.5.3.91" TargetMode="External" /><Relationship Type="http://schemas.openxmlformats.org/officeDocument/2006/relationships/hyperlink" Id="rId191" Target="https://doi.org/10.1257/jep.2.4.9" TargetMode="External" /><Relationship Type="http://schemas.openxmlformats.org/officeDocument/2006/relationships/hyperlink" Id="rId69" Target="https://doi.org/10.1257/jep.32.4.97" TargetMode="External" /><Relationship Type="http://schemas.openxmlformats.org/officeDocument/2006/relationships/hyperlink" Id="rId93" Target="https://doi.org/10.1257/jep.33.3.163" TargetMode="External" /><Relationship Type="http://schemas.openxmlformats.org/officeDocument/2006/relationships/hyperlink" Id="rId397" Target="https://doi.org/10.1257/jep.34.2.90" TargetMode="External" /><Relationship Type="http://schemas.openxmlformats.org/officeDocument/2006/relationships/hyperlink" Id="rId271" Target="https://doi.org/10.1257/jep.35.1.3" TargetMode="External" /><Relationship Type="http://schemas.openxmlformats.org/officeDocument/2006/relationships/hyperlink" Id="rId89" Target="https://doi.org/10.1257/jep.5.1.3" TargetMode="External" /><Relationship Type="http://schemas.openxmlformats.org/officeDocument/2006/relationships/hyperlink" Id="rId399" Target="https://doi.org/10.1257/jep.8.1.45" TargetMode="External" /><Relationship Type="http://schemas.openxmlformats.org/officeDocument/2006/relationships/hyperlink" Id="rId300" Target="https://doi.org/10.1257/pol.20210155" TargetMode="External" /><Relationship Type="http://schemas.openxmlformats.org/officeDocument/2006/relationships/hyperlink" Id="rId281" Target="https://doi.org/10.1257/pol.3.3.175" TargetMode="External" /><Relationship Type="http://schemas.openxmlformats.org/officeDocument/2006/relationships/hyperlink" Id="rId238" Target="https://doi.org/10.1287/mnsc.2023.4869" TargetMode="External" /><Relationship Type="http://schemas.openxmlformats.org/officeDocument/2006/relationships/hyperlink" Id="rId156" Target="https://doi.org/10.1371/journal.pone.0275228" TargetMode="External" /><Relationship Type="http://schemas.openxmlformats.org/officeDocument/2006/relationships/hyperlink" Id="rId179" Target="https://doi.org/10.15446/cuad.econ.v36n72.65821" TargetMode="External" /><Relationship Type="http://schemas.openxmlformats.org/officeDocument/2006/relationships/hyperlink" Id="rId205" Target="https://doi.org/10.1561/100.00009057" TargetMode="External" /><Relationship Type="http://schemas.openxmlformats.org/officeDocument/2006/relationships/hyperlink" Id="rId187" Target="https://doi.org/10.2139/ssrn.2361146" TargetMode="External" /><Relationship Type="http://schemas.openxmlformats.org/officeDocument/2006/relationships/hyperlink" Id="rId142" Target="https://doi.org/10.2139/ssrn.3780405" TargetMode="External" /><Relationship Type="http://schemas.openxmlformats.org/officeDocument/2006/relationships/hyperlink" Id="rId422" Target="https://doi.org/10.2307/134629" TargetMode="External" /><Relationship Type="http://schemas.openxmlformats.org/officeDocument/2006/relationships/hyperlink" Id="rId447" Target="https://doi.org/10.2307/1558771" TargetMode="External" /><Relationship Type="http://schemas.openxmlformats.org/officeDocument/2006/relationships/hyperlink" Id="rId128" Target="https://doi.org/10.2307/1907717" TargetMode="External" /><Relationship Type="http://schemas.openxmlformats.org/officeDocument/2006/relationships/hyperlink" Id="rId420" Target="https://doi.org/10.2307/1924551" TargetMode="External" /><Relationship Type="http://schemas.openxmlformats.org/officeDocument/2006/relationships/hyperlink" Id="rId315" Target="https://doi.org/10.2307/1956436" TargetMode="External" /><Relationship Type="http://schemas.openxmlformats.org/officeDocument/2006/relationships/hyperlink" Id="rId102" Target="https://doi.org/10.2307/1957788" TargetMode="External" /><Relationship Type="http://schemas.openxmlformats.org/officeDocument/2006/relationships/hyperlink" Id="rId269" Target="https://doi.org/10.2307/1963938" TargetMode="External" /><Relationship Type="http://schemas.openxmlformats.org/officeDocument/2006/relationships/hyperlink" Id="rId49" Target="https://doi.org/10.2307/2110467" TargetMode="External" /><Relationship Type="http://schemas.openxmlformats.org/officeDocument/2006/relationships/hyperlink" Id="rId83" Target="https://doi.org/10.2307/2491268" TargetMode="External" /><Relationship Type="http://schemas.openxmlformats.org/officeDocument/2006/relationships/hyperlink" Id="rId175" Target="https://doi.org/10.2307/2524941" TargetMode="External" /><Relationship Type="http://schemas.openxmlformats.org/officeDocument/2006/relationships/hyperlink" Id="rId246" Target="https://doi.org/10.2307/2937895" TargetMode="External" /><Relationship Type="http://schemas.openxmlformats.org/officeDocument/2006/relationships/hyperlink" Id="rId437" Target="https://doi.org/10.2307/2952170" TargetMode="External" /><Relationship Type="http://schemas.openxmlformats.org/officeDocument/2006/relationships/hyperlink" Id="rId108" Target="https://doi.org/10.2307/3440074" TargetMode="External" /><Relationship Type="http://schemas.openxmlformats.org/officeDocument/2006/relationships/hyperlink" Id="rId302" Target="https://doi.org/10.2307/3551400" TargetMode="External" /><Relationship Type="http://schemas.openxmlformats.org/officeDocument/2006/relationships/hyperlink" Id="rId51" Target="https://doi.org/10.2307/j.ctvc7770q" TargetMode="External" /><Relationship Type="http://schemas.openxmlformats.org/officeDocument/2006/relationships/hyperlink" Id="rId337" Target="https://doi.org/10.2307/j.ctvcm4hmx.1" TargetMode="External" /><Relationship Type="http://schemas.openxmlformats.org/officeDocument/2006/relationships/hyperlink" Id="rId341" Target="https://doi.org/10.2307/j.ctvcm4hmx.10" TargetMode="External" /><Relationship Type="http://schemas.openxmlformats.org/officeDocument/2006/relationships/hyperlink" Id="rId359" Target="https://doi.org/10.2307/j.ctvcm4hmx.11" TargetMode="External" /><Relationship Type="http://schemas.openxmlformats.org/officeDocument/2006/relationships/hyperlink" Id="rId357" Target="https://doi.org/10.2307/j.ctvcm4hmx.12" TargetMode="External" /><Relationship Type="http://schemas.openxmlformats.org/officeDocument/2006/relationships/hyperlink" Id="rId365" Target="https://doi.org/10.2307/j.ctvcm4hmx.13" TargetMode="External" /><Relationship Type="http://schemas.openxmlformats.org/officeDocument/2006/relationships/hyperlink" Id="rId353" Target="https://doi.org/10.2307/j.ctvcm4hmx.14" TargetMode="External" /><Relationship Type="http://schemas.openxmlformats.org/officeDocument/2006/relationships/hyperlink" Id="rId351" Target="https://doi.org/10.2307/j.ctvcm4hmx.15" TargetMode="External" /><Relationship Type="http://schemas.openxmlformats.org/officeDocument/2006/relationships/hyperlink" Id="rId349" Target="https://doi.org/10.2307/j.ctvcm4hmx.16" TargetMode="External" /><Relationship Type="http://schemas.openxmlformats.org/officeDocument/2006/relationships/hyperlink" Id="rId329" Target="https://doi.org/10.2307/j.ctvcm4hmx.17" TargetMode="External" /><Relationship Type="http://schemas.openxmlformats.org/officeDocument/2006/relationships/hyperlink" Id="rId343" Target="https://doi.org/10.2307/j.ctvcm4hmx.18" TargetMode="External" /><Relationship Type="http://schemas.openxmlformats.org/officeDocument/2006/relationships/hyperlink" Id="rId345" Target="https://doi.org/10.2307/j.ctvcm4hmx.19" TargetMode="External" /><Relationship Type="http://schemas.openxmlformats.org/officeDocument/2006/relationships/hyperlink" Id="rId369" Target="https://doi.org/10.2307/j.ctvcm4hmx.2" TargetMode="External" /><Relationship Type="http://schemas.openxmlformats.org/officeDocument/2006/relationships/hyperlink" Id="rId373" Target="https://doi.org/10.2307/j.ctvcm4hmx.20" TargetMode="External" /><Relationship Type="http://schemas.openxmlformats.org/officeDocument/2006/relationships/hyperlink" Id="rId355" Target="https://doi.org/10.2307/j.ctvcm4hmx.21" TargetMode="External" /><Relationship Type="http://schemas.openxmlformats.org/officeDocument/2006/relationships/hyperlink" Id="rId321" Target="https://doi.org/10.2307/j.ctvcm4hmx.22" TargetMode="External" /><Relationship Type="http://schemas.openxmlformats.org/officeDocument/2006/relationships/hyperlink" Id="rId323" Target="https://doi.org/10.2307/j.ctvcm4hmx.23" TargetMode="External" /><Relationship Type="http://schemas.openxmlformats.org/officeDocument/2006/relationships/hyperlink" Id="rId363" Target="https://doi.org/10.2307/j.ctvcm4hmx.24" TargetMode="External" /><Relationship Type="http://schemas.openxmlformats.org/officeDocument/2006/relationships/hyperlink" Id="rId325" Target="https://doi.org/10.2307/j.ctvcm4hmx.25" TargetMode="External" /><Relationship Type="http://schemas.openxmlformats.org/officeDocument/2006/relationships/hyperlink" Id="rId367" Target="https://doi.org/10.2307/j.ctvcm4hmx.26" TargetMode="External" /><Relationship Type="http://schemas.openxmlformats.org/officeDocument/2006/relationships/hyperlink" Id="rId327" Target="https://doi.org/10.2307/j.ctvcm4hmx.27" TargetMode="External" /><Relationship Type="http://schemas.openxmlformats.org/officeDocument/2006/relationships/hyperlink" Id="rId361" Target="https://doi.org/10.2307/j.ctvcm4hmx.3" TargetMode="External" /><Relationship Type="http://schemas.openxmlformats.org/officeDocument/2006/relationships/hyperlink" Id="rId347" Target="https://doi.org/10.2307/j.ctvcm4hmx.4" TargetMode="External" /><Relationship Type="http://schemas.openxmlformats.org/officeDocument/2006/relationships/hyperlink" Id="rId331" Target="https://doi.org/10.2307/j.ctvcm4hmx.5" TargetMode="External" /><Relationship Type="http://schemas.openxmlformats.org/officeDocument/2006/relationships/hyperlink" Id="rId333" Target="https://doi.org/10.2307/j.ctvcm4hmx.6" TargetMode="External" /><Relationship Type="http://schemas.openxmlformats.org/officeDocument/2006/relationships/hyperlink" Id="rId371" Target="https://doi.org/10.2307/j.ctvcm4hmx.7" TargetMode="External" /><Relationship Type="http://schemas.openxmlformats.org/officeDocument/2006/relationships/hyperlink" Id="rId339" Target="https://doi.org/10.2307/j.ctvcm4hmx.8" TargetMode="External" /><Relationship Type="http://schemas.openxmlformats.org/officeDocument/2006/relationships/hyperlink" Id="rId335" Target="https://doi.org/10.2307/j.ctvcm4hmx.9" TargetMode="External" /><Relationship Type="http://schemas.openxmlformats.org/officeDocument/2006/relationships/hyperlink" Id="rId403" Target="https://doi.org/10.25318/1210017501-eng" TargetMode="External" /><Relationship Type="http://schemas.openxmlformats.org/officeDocument/2006/relationships/hyperlink" Id="rId405" Target="https://doi.org/10.25318/1410000501-eng" TargetMode="External" /><Relationship Type="http://schemas.openxmlformats.org/officeDocument/2006/relationships/hyperlink" Id="rId407" Target="https://doi.org/10.25318/1410003001-eng" TargetMode="External" /><Relationship Type="http://schemas.openxmlformats.org/officeDocument/2006/relationships/hyperlink" Id="rId409" Target="https://doi.org/10.25318/1410006301-eng" TargetMode="External" /><Relationship Type="http://schemas.openxmlformats.org/officeDocument/2006/relationships/hyperlink" Id="rId411" Target="https://doi.org/10.25318/1410028701-eng" TargetMode="External" /><Relationship Type="http://schemas.openxmlformats.org/officeDocument/2006/relationships/hyperlink" Id="rId413" Target="https://doi.org/10.25318/1610004801-eng" TargetMode="External" /><Relationship Type="http://schemas.openxmlformats.org/officeDocument/2006/relationships/hyperlink" Id="rId401" Target="https://doi.org/10.25318/2010000801-eng" TargetMode="External" /><Relationship Type="http://schemas.openxmlformats.org/officeDocument/2006/relationships/hyperlink" Id="rId415" Target="https://doi.org/10.25318/2010007401-eng" TargetMode="External" /><Relationship Type="http://schemas.openxmlformats.org/officeDocument/2006/relationships/hyperlink" Id="rId47" Target="https://doi.org/10.3386/w4390" TargetMode="External" /><Relationship Type="http://schemas.openxmlformats.org/officeDocument/2006/relationships/hyperlink" Id="rId234" Target="https://doi.org/10.5282/jums/v6i1pp60-80" TargetMode="External" /><Relationship Type="http://schemas.openxmlformats.org/officeDocument/2006/relationships/hyperlink" Id="rId162" Target="https://genius.com/Epica-seif-al-din-the-embrace-that-smothers-part-vi-lyrics" TargetMode="External" /><Relationship Type="http://schemas.openxmlformats.org/officeDocument/2006/relationships/hyperlink" Id="rId24" Target="https://github.com/laboratoriolide/ecuador-temperature-noaa" TargetMode="External" /><Relationship Type="http://schemas.openxmlformats.org/officeDocument/2006/relationships/hyperlink" Id="rId73" Target="https://ideas.repec.org//p/pra/mprapa/25736.html" TargetMode="External" /><Relationship Type="http://schemas.openxmlformats.org/officeDocument/2006/relationships/hyperlink" Id="rId298" Target="https://ised-isde.canada.ca/site/canadian-intellectual-property-office/en/canadian-intellectual-property-statistics/patent-data-bibliographic-and-full-text-csv-and-txt" TargetMode="External" /><Relationship Type="http://schemas.openxmlformats.org/officeDocument/2006/relationships/hyperlink" Id="rId169" Target="https://journals-sagepub-com.proxy.lib.sfu.ca/doi/abs/10.1177/1354068810372564" TargetMode="External" /><Relationship Type="http://schemas.openxmlformats.org/officeDocument/2006/relationships/hyperlink" Id="rId158" Target="https://link.springer.com/article/10.1007/s11109-022-09798-y" TargetMode="External" /><Relationship Type="http://schemas.openxmlformats.org/officeDocument/2006/relationships/hyperlink" Id="rId279" Target="https://metal-exposure.com/interview-epica-mark-jansen-the-omega-point-science-and-ice-baths/" TargetMode="External" /><Relationship Type="http://schemas.openxmlformats.org/officeDocument/2006/relationships/hyperlink" Id="rId211" Target="https://mitpress.ublish.com/ebook/causal-analysis-impact-evaluation-and-causal-machine-learning-with-applications-in-r-preview/12759/Cover" TargetMode="External" /><Relationship Type="http://schemas.openxmlformats.org/officeDocument/2006/relationships/hyperlink" Id="rId430" Target="https://open.alberta.ca/publications/alberta-investor-tax-credit-guidelines" TargetMode="External" /><Relationship Type="http://schemas.openxmlformats.org/officeDocument/2006/relationships/hyperlink" Id="rId236" Target="https://papers.ssrn.com/abstract=1438845" TargetMode="External" /><Relationship Type="http://schemas.openxmlformats.org/officeDocument/2006/relationships/hyperlink" Id="rId286" Target="https://policycommons.net/artifacts/420890/tax-breaksnot-government-ownershipto-mitigate-ottawas-harm/1391614/" TargetMode="External" /><Relationship Type="http://schemas.openxmlformats.org/officeDocument/2006/relationships/hyperlink" Id="rId144" Target="https://press.princeton.edu/books/hardcover/9780691169446/democracy-for-realists" TargetMode="External" /><Relationship Type="http://schemas.openxmlformats.org/officeDocument/2006/relationships/hyperlink" Id="rId288" Target="https://psl.noaa.gov/data/gridded/data.cpc.globaltemp.html" TargetMode="External" /><Relationship Type="http://schemas.openxmlformats.org/officeDocument/2006/relationships/hyperlink" Id="rId389" Target="https://scholarship.law.cornell.edu/facpub/26" TargetMode="External" /><Relationship Type="http://schemas.openxmlformats.org/officeDocument/2006/relationships/hyperlink" Id="rId195" Target="https://shop.elsevier.com/books/handbook-of-public-economics/auerbach/978-0-444-53759-1" TargetMode="External" /><Relationship Type="http://schemas.openxmlformats.org/officeDocument/2006/relationships/hyperlink" Id="rId95" Target="https://tspace.library.utoronto.ca/handle/1807/99267" TargetMode="External" /><Relationship Type="http://schemas.openxmlformats.org/officeDocument/2006/relationships/hyperlink" Id="rId61" Target="https://www.alberta.ca/alberta-investor-tax-credit" TargetMode="External" /><Relationship Type="http://schemas.openxmlformats.org/officeDocument/2006/relationships/hyperlink" Id="rId146" Target="https://www.amazon.ca/Democracy-Realists-Elections-Responsive-Government/dp/0691178240" TargetMode="External" /><Relationship Type="http://schemas.openxmlformats.org/officeDocument/2006/relationships/hyperlink" Id="rId199" Target="https://www.cambridge.org/core/elements/quality-control/8D48763B8D1EEC440BA728B3456F51D1" TargetMode="External" /><Relationship Type="http://schemas.openxmlformats.org/officeDocument/2006/relationships/hyperlink" Id="rId296" Target="https://www.cambridge.org/core/journals/political-analysis/article/abs/no-evidence-on-directional-vs-proximity-voting/78407009C81D6C3DB11D11792ADA2EE1" TargetMode="External" /><Relationship Type="http://schemas.openxmlformats.org/officeDocument/2006/relationships/hyperlink" Id="rId218" Target="https://www.cengage.ca/c/introductory-econometrics-a-modern-approach-7e-wooldridge/9781337558860/" TargetMode="External" /><Relationship Type="http://schemas.openxmlformats.org/officeDocument/2006/relationships/hyperlink" Id="rId214" Target="https://www.ecuadorencifras.gob.ec/documentos/web-inec/Geografia_Estadistica/Micrositio_geoportal/index.html#clasificador-geog-dpa" TargetMode="External" /><Relationship Type="http://schemas.openxmlformats.org/officeDocument/2006/relationships/hyperlink" Id="rId443" Target="https://www.jstor.org/stable/1181698" TargetMode="External" /><Relationship Type="http://schemas.openxmlformats.org/officeDocument/2006/relationships/hyperlink" Id="rId209" Target="https://www.jstor.org/stable/20065397" TargetMode="External" /><Relationship Type="http://schemas.openxmlformats.org/officeDocument/2006/relationships/hyperlink" Id="rId257" Target="https://www.jstor.org/stable/25193798" TargetMode="External" /><Relationship Type="http://schemas.openxmlformats.org/officeDocument/2006/relationships/hyperlink" Id="rId201" Target="https://www.jstor.org/stable/25708619" TargetMode="External" /><Relationship Type="http://schemas.openxmlformats.org/officeDocument/2006/relationships/hyperlink" Id="rId173" Target="https://www.jstor.org/stable/25791500" TargetMode="External" /><Relationship Type="http://schemas.openxmlformats.org/officeDocument/2006/relationships/hyperlink" Id="rId253" Target="https://www.jstor.org/stable/25791594" TargetMode="External" /><Relationship Type="http://schemas.openxmlformats.org/officeDocument/2006/relationships/hyperlink" Id="rId292" Target="https://www.jstor.org/stable/2677855" TargetMode="External" /><Relationship Type="http://schemas.openxmlformats.org/officeDocument/2006/relationships/hyperlink" Id="rId118" Target="https://www.jstor.org/stable/2677856" TargetMode="External" /><Relationship Type="http://schemas.openxmlformats.org/officeDocument/2006/relationships/hyperlink" Id="rId130" Target="https://www.jstor.org/stable/30025956" TargetMode="External" /><Relationship Type="http://schemas.openxmlformats.org/officeDocument/2006/relationships/hyperlink" Id="rId171" Target="https://www.jstor.org/stable/3657314" TargetMode="External" /><Relationship Type="http://schemas.openxmlformats.org/officeDocument/2006/relationships/hyperlink" Id="rId232" Target="https://www.jstor.org/stable/586342" TargetMode="External" /><Relationship Type="http://schemas.openxmlformats.org/officeDocument/2006/relationships/hyperlink" Id="rId439" Target="https://www.jstor.org/stable/586547" TargetMode="External" /><Relationship Type="http://schemas.openxmlformats.org/officeDocument/2006/relationships/hyperlink" Id="rId189" Target="https://www.jstor.org/stable/j.ctt1npp6m" TargetMode="External" /><Relationship Type="http://schemas.openxmlformats.org/officeDocument/2006/relationships/hyperlink" Id="rId126" Target="https://www.jstor.org/stable/prancotamamnta.104.116" TargetMode="External" /><Relationship Type="http://schemas.openxmlformats.org/officeDocument/2006/relationships/hyperlink" Id="rId65" Target="https://www.science.org/doi/full/10.1126/science.283.5401.516?casa_token=zVjUQbaCIRkAAAAA%3AzIK77azGdefrewJm0RlnuBplfosImIbUjXswnBXQXQGO0gn4gwuUxsPCiNRukhaT3Q2VOzZoL5dqKX-i" TargetMode="External" /><Relationship Type="http://schemas.openxmlformats.org/officeDocument/2006/relationships/hyperlink" Id="rId244" Target="https://www.vanderbilt.edu/lapop/ab2014/AB2014_Comparative_Report_English_V3_Updated_040517_W.pdf" TargetMode="External" /><Relationship Type="http://schemas.openxmlformats.org/officeDocument/2006/relationships/hyperlink" Id="rId283" Target="https://www.vanderbilt.edu/lapop/ecuador/AB2018-19-Ecuador-Country-Report-Eng-V2-W-200903.pdf" TargetMode="External" /><Relationship Type="http://schemas.openxmlformats.org/officeDocument/2006/relationships/hyperlink" Id="rId424" Target="https://www.vanderbilt.edu/lapop/raw-data.php" TargetMode="External" /><Relationship Type="http://schemas.openxmlformats.org/officeDocument/2006/relationships/hyperlink" Id="rId434" Target="https://www150.statcan.gc.ca/n1/en/catalogue/88F0006X1997009" TargetMode="External" /></Relationships>
</file>

<file path=word/_rels/footnotes.xml.rels><?xml version="1.0" encoding="UTF-8"?><Relationships xmlns="http://schemas.openxmlformats.org/package/2006/relationships"><Relationship Type="http://schemas.openxmlformats.org/officeDocument/2006/relationships/hyperlink" Id="rId426" Target="https://academic.oup.com/book/11251/chapter/159788501" TargetMode="External" /><Relationship Type="http://schemas.openxmlformats.org/officeDocument/2006/relationships/hyperlink" Id="rId387" Target="https://certificate.queenslaw.ca/blog/what-is-inventorship" TargetMode="External" /><Relationship Type="http://schemas.openxmlformats.org/officeDocument/2006/relationships/hyperlink" Id="rId307" Target="https://cnnespanol.cnn.com/2021/10/20/violencia-estado-excepcion-ecuador-orix/" TargetMode="External" /><Relationship Type="http://schemas.openxmlformats.org/officeDocument/2006/relationships/hyperlink" Id="rId57" Target="https://doi.org/10.1002/j.2325-8012.2000.tb00323.x" TargetMode="External" /><Relationship Type="http://schemas.openxmlformats.org/officeDocument/2006/relationships/hyperlink" Id="rId59" Target="https://doi.org/10.1007/s00148-003-0166-x" TargetMode="External" /><Relationship Type="http://schemas.openxmlformats.org/officeDocument/2006/relationships/hyperlink" Id="rId87" Target="https://doi.org/10.1007/s00148-007-0137-8" TargetMode="External" /><Relationship Type="http://schemas.openxmlformats.org/officeDocument/2006/relationships/hyperlink" Id="rId193" Target="https://doi.org/10.1007/s10797-017-9438-3" TargetMode="External" /><Relationship Type="http://schemas.openxmlformats.org/officeDocument/2006/relationships/hyperlink" Id="rId79" Target="https://doi.org/10.1007/s10961-011-9211-1" TargetMode="External" /><Relationship Type="http://schemas.openxmlformats.org/officeDocument/2006/relationships/hyperlink" Id="rId152" Target="https://doi.org/10.1007/s11109-019-09539-8" TargetMode="External" /><Relationship Type="http://schemas.openxmlformats.org/officeDocument/2006/relationships/hyperlink" Id="rId122" Target="https://doi.org/10.1007/s11109-022-09798-y" TargetMode="External" /><Relationship Type="http://schemas.openxmlformats.org/officeDocument/2006/relationships/hyperlink" Id="rId55" Target="https://doi.org/10.1007/s12122-003-1031-0" TargetMode="External" /><Relationship Type="http://schemas.openxmlformats.org/officeDocument/2006/relationships/hyperlink" Id="rId273" Target="https://doi.org/10.1016/0048-7333(85)90017-4" TargetMode="External" /><Relationship Type="http://schemas.openxmlformats.org/officeDocument/2006/relationships/hyperlink" Id="rId67" Target="https://doi.org/10.1016/B978-0-444-53759-1.00001-7" TargetMode="External" /><Relationship Type="http://schemas.openxmlformats.org/officeDocument/2006/relationships/hyperlink" Id="rId91" Target="https://doi.org/10.1016/B978-0-444-53759-1.00002-9" TargetMode="External" /><Relationship Type="http://schemas.openxmlformats.org/officeDocument/2006/relationships/hyperlink" Id="rId124" Target="https://doi.org/10.1016/B978-0-444-53759-1.00003-0" TargetMode="External" /><Relationship Type="http://schemas.openxmlformats.org/officeDocument/2006/relationships/hyperlink" Id="rId185" Target="https://doi.org/10.1016/B978-0-444-53759-1.00004-2" TargetMode="External" /><Relationship Type="http://schemas.openxmlformats.org/officeDocument/2006/relationships/hyperlink" Id="rId228" Target="https://doi.org/10.1016/B978-0-444-53759-1.00005-4" TargetMode="External" /><Relationship Type="http://schemas.openxmlformats.org/officeDocument/2006/relationships/hyperlink" Id="rId311" Target="https://doi.org/10.1016/B978-0-444-53759-1.00012-1" TargetMode="External" /><Relationship Type="http://schemas.openxmlformats.org/officeDocument/2006/relationships/hyperlink" Id="rId261" Target="https://doi.org/10.1016/B978-0-444-53759-1.00014-5" TargetMode="External" /><Relationship Type="http://schemas.openxmlformats.org/officeDocument/2006/relationships/hyperlink" Id="rId216" Target="https://doi.org/10.1016/B978-0-444-53759-1.00015-7" TargetMode="External" /><Relationship Type="http://schemas.openxmlformats.org/officeDocument/2006/relationships/hyperlink" Id="rId136" Target="https://doi.org/10.1016/S0927-5371(97)00010-9" TargetMode="External" /><Relationship Type="http://schemas.openxmlformats.org/officeDocument/2006/relationships/hyperlink" Id="rId378" Target="https://doi.org/10.1016/j.econlet.2004.03.035" TargetMode="External" /><Relationship Type="http://schemas.openxmlformats.org/officeDocument/2006/relationships/hyperlink" Id="rId85" Target="https://doi.org/10.1016/j.ejpoleco.2014.06.005" TargetMode="External" /><Relationship Type="http://schemas.openxmlformats.org/officeDocument/2006/relationships/hyperlink" Id="rId294" Target="https://doi.org/10.1016/j.electstud.2009.07.003" TargetMode="External" /><Relationship Type="http://schemas.openxmlformats.org/officeDocument/2006/relationships/hyperlink" Id="rId441" Target="https://doi.org/10.1016/j.enpol.2018.08.032" TargetMode="External" /><Relationship Type="http://schemas.openxmlformats.org/officeDocument/2006/relationships/hyperlink" Id="rId150" Target="https://doi.org/10.1016/j.euroecorev.2003.11.002" TargetMode="External" /><Relationship Type="http://schemas.openxmlformats.org/officeDocument/2006/relationships/hyperlink" Id="rId222" Target="https://doi.org/10.1016/j.euroecorev.2013.11.001" TargetMode="External" /><Relationship Type="http://schemas.openxmlformats.org/officeDocument/2006/relationships/hyperlink" Id="rId418" Target="https://doi.org/10.1016/j.jeconom.2020.09.006" TargetMode="External" /><Relationship Type="http://schemas.openxmlformats.org/officeDocument/2006/relationships/hyperlink" Id="rId111" Target="https://doi.org/10.1016/j.jeconom.2020.12.001" TargetMode="External" /><Relationship Type="http://schemas.openxmlformats.org/officeDocument/2006/relationships/hyperlink" Id="rId319" Target="https://doi.org/10.1016/j.jedc.2017.09.004" TargetMode="External" /><Relationship Type="http://schemas.openxmlformats.org/officeDocument/2006/relationships/hyperlink" Id="rId259" Target="https://doi.org/10.1016/j.jeem.2021.102550" TargetMode="External" /><Relationship Type="http://schemas.openxmlformats.org/officeDocument/2006/relationships/hyperlink" Id="rId75" Target="https://doi.org/10.1016/j.joep.2017.01.003" TargetMode="External" /><Relationship Type="http://schemas.openxmlformats.org/officeDocument/2006/relationships/hyperlink" Id="rId177" Target="https://doi.org/10.1016/j.labeco.2003.02.001" TargetMode="External" /><Relationship Type="http://schemas.openxmlformats.org/officeDocument/2006/relationships/hyperlink" Id="rId242" Target="https://doi.org/10.1016/j.labeco.2006.11.002" TargetMode="External" /><Relationship Type="http://schemas.openxmlformats.org/officeDocument/2006/relationships/hyperlink" Id="rId226" Target="https://doi.org/10.1016/j.labeco.2009.05.001" TargetMode="External" /><Relationship Type="http://schemas.openxmlformats.org/officeDocument/2006/relationships/hyperlink" Id="rId395" Target="https://doi.org/10.1016/j.labeco.2010.06.003" TargetMode="External" /><Relationship Type="http://schemas.openxmlformats.org/officeDocument/2006/relationships/hyperlink" Id="rId375" Target="https://doi.org/10.1016/j.socscimed.2014.09.034" TargetMode="External" /><Relationship Type="http://schemas.openxmlformats.org/officeDocument/2006/relationships/hyperlink" Id="rId230" Target="https://doi.org/10.1017/9781108131704" TargetMode="External" /><Relationship Type="http://schemas.openxmlformats.org/officeDocument/2006/relationships/hyperlink" Id="rId160" Target="https://doi.org/10.1017/CBO9780511896606" TargetMode="External" /><Relationship Type="http://schemas.openxmlformats.org/officeDocument/2006/relationships/hyperlink" Id="rId132" Target="https://doi.org/10.1017/S0003055407070554" TargetMode="External" /><Relationship Type="http://schemas.openxmlformats.org/officeDocument/2006/relationships/hyperlink" Id="rId203" Target="https://doi.org/10.1017/S0003055409990104" TargetMode="External" /><Relationship Type="http://schemas.openxmlformats.org/officeDocument/2006/relationships/hyperlink" Id="rId106" Target="https://doi.org/10.1017/S0003055411000165" TargetMode="External" /><Relationship Type="http://schemas.openxmlformats.org/officeDocument/2006/relationships/hyperlink" Id="rId138" Target="https://doi.org/10.1017/S0007123400007134" TargetMode="External" /><Relationship Type="http://schemas.openxmlformats.org/officeDocument/2006/relationships/hyperlink" Id="rId97" Target="https://doi.org/10.1017/S0007123415000393" TargetMode="External" /><Relationship Type="http://schemas.openxmlformats.org/officeDocument/2006/relationships/hyperlink" Id="rId77" Target="https://doi.org/10.1017/XPS.2018.13" TargetMode="External" /><Relationship Type="http://schemas.openxmlformats.org/officeDocument/2006/relationships/hyperlink" Id="rId63" Target="https://doi.org/10.1017/s0022381610000940" TargetMode="External" /><Relationship Type="http://schemas.openxmlformats.org/officeDocument/2006/relationships/hyperlink" Id="rId380" Target="https://doi.org/10.1023/A:1025742423308" TargetMode="External" /><Relationship Type="http://schemas.openxmlformats.org/officeDocument/2006/relationships/hyperlink" Id="rId99" Target="https://doi.org/10.1037/0003-066X.36.2.129" TargetMode="External" /><Relationship Type="http://schemas.openxmlformats.org/officeDocument/2006/relationships/hyperlink" Id="rId267" Target="https://doi.org/10.1037/a0032124" TargetMode="External" /><Relationship Type="http://schemas.openxmlformats.org/officeDocument/2006/relationships/hyperlink" Id="rId445" Target="https://doi.org/10.1038/nature08316" TargetMode="External" /><Relationship Type="http://schemas.openxmlformats.org/officeDocument/2006/relationships/hyperlink" Id="rId183" Target="https://doi.org/10.1057/ces.2010.19" TargetMode="External" /><Relationship Type="http://schemas.openxmlformats.org/officeDocument/2006/relationships/hyperlink" Id="rId428" Target="https://doi.org/10.1080/10438590410001628387" TargetMode="External" /><Relationship Type="http://schemas.openxmlformats.org/officeDocument/2006/relationships/hyperlink" Id="rId197" Target="https://doi.org/10.1080/10438590701581481" TargetMode="External" /><Relationship Type="http://schemas.openxmlformats.org/officeDocument/2006/relationships/hyperlink" Id="rId148" Target="https://doi.org/10.1086/253422" TargetMode="External" /><Relationship Type="http://schemas.openxmlformats.org/officeDocument/2006/relationships/hyperlink" Id="rId251" Target="https://doi.org/10.1086/381257" TargetMode="External" /><Relationship Type="http://schemas.openxmlformats.org/officeDocument/2006/relationships/hyperlink" Id="rId240" Target="https://doi.org/10.1086/383107" TargetMode="External" /><Relationship Type="http://schemas.openxmlformats.org/officeDocument/2006/relationships/hyperlink" Id="rId249" Target="https://doi.org/10.1086/684510" TargetMode="External" /><Relationship Type="http://schemas.openxmlformats.org/officeDocument/2006/relationships/hyperlink" Id="rId71" Target="https://doi.org/10.1093/ser/mwac013" TargetMode="External" /><Relationship Type="http://schemas.openxmlformats.org/officeDocument/2006/relationships/hyperlink" Id="rId317" Target="https://doi.org/10.1111/1540-5982.00132" TargetMode="External" /><Relationship Type="http://schemas.openxmlformats.org/officeDocument/2006/relationships/hyperlink" Id="rId104" Target="https://doi.org/10.1111/ajps.12243" TargetMode="External" /><Relationship Type="http://schemas.openxmlformats.org/officeDocument/2006/relationships/hyperlink" Id="rId113" Target="https://doi.org/10.1111/coep.12036" TargetMode="External" /><Relationship Type="http://schemas.openxmlformats.org/officeDocument/2006/relationships/hyperlink" Id="rId384" Target="https://doi.org/10.1111/coep.12241" TargetMode="External" /><Relationship Type="http://schemas.openxmlformats.org/officeDocument/2006/relationships/hyperlink" Id="rId290" Target="https://doi.org/10.1111/irel.12306" TargetMode="External" /><Relationship Type="http://schemas.openxmlformats.org/officeDocument/2006/relationships/hyperlink" Id="rId276" Target="https://doi.org/10.1111/j.1465-7295.1984.tb00696.x" TargetMode="External" /><Relationship Type="http://schemas.openxmlformats.org/officeDocument/2006/relationships/hyperlink" Id="rId164" Target="https://doi.org/10.1111/j.1467-8543.2009.00724.x" TargetMode="External" /><Relationship Type="http://schemas.openxmlformats.org/officeDocument/2006/relationships/hyperlink" Id="rId81" Target="https://doi.org/10.1111/j.1468-0335.2006.00576.x" TargetMode="External" /><Relationship Type="http://schemas.openxmlformats.org/officeDocument/2006/relationships/hyperlink" Id="rId115" Target="https://doi.org/10.1111/j.1468-232X.2006.00424.x" TargetMode="External" /><Relationship Type="http://schemas.openxmlformats.org/officeDocument/2006/relationships/hyperlink" Id="rId255" Target="https://doi.org/10.1111/j.1468-2508.2006.00381.x" TargetMode="External" /><Relationship Type="http://schemas.openxmlformats.org/officeDocument/2006/relationships/hyperlink" Id="rId207" Target="https://doi.org/10.1146/annurev-polisci-032211-212920" TargetMode="External" /><Relationship Type="http://schemas.openxmlformats.org/officeDocument/2006/relationships/hyperlink" Id="rId140" Target="https://doi.org/10.1162/003355302320935089" TargetMode="External" /><Relationship Type="http://schemas.openxmlformats.org/officeDocument/2006/relationships/hyperlink" Id="rId382" Target="https://doi.org/10.1162/003355398555586" TargetMode="External" /><Relationship Type="http://schemas.openxmlformats.org/officeDocument/2006/relationships/hyperlink" Id="rId265" Target="https://doi.org/10.1177/0002716209351522" TargetMode="External" /><Relationship Type="http://schemas.openxmlformats.org/officeDocument/2006/relationships/hyperlink" Id="rId181" Target="https://doi.org/10.1177/0951692897009001001" TargetMode="External" /><Relationship Type="http://schemas.openxmlformats.org/officeDocument/2006/relationships/hyperlink" Id="rId305" Target="https://doi.org/10.1177/0951692897009001007" TargetMode="External" /><Relationship Type="http://schemas.openxmlformats.org/officeDocument/2006/relationships/hyperlink" Id="rId263" Target="https://doi.org/10.1177/1354068810372564" TargetMode="External" /><Relationship Type="http://schemas.openxmlformats.org/officeDocument/2006/relationships/hyperlink" Id="rId224" Target="https://doi.org/10.1177/2233865919888373" TargetMode="External" /><Relationship Type="http://schemas.openxmlformats.org/officeDocument/2006/relationships/hyperlink" Id="rId392" Target="https://doi.org/10.1186/2193-8997-3-3" TargetMode="External" /><Relationship Type="http://schemas.openxmlformats.org/officeDocument/2006/relationships/hyperlink" Id="rId166" Target="https://doi.org/10.1257/089533004773563458" TargetMode="External" /><Relationship Type="http://schemas.openxmlformats.org/officeDocument/2006/relationships/hyperlink" Id="rId309" Target="https://doi.org/10.1257/0895330054048704" TargetMode="External" /><Relationship Type="http://schemas.openxmlformats.org/officeDocument/2006/relationships/hyperlink" Id="rId432" Target="https://doi.org/10.1257/app.5.3.91" TargetMode="External" /><Relationship Type="http://schemas.openxmlformats.org/officeDocument/2006/relationships/hyperlink" Id="rId191" Target="https://doi.org/10.1257/jep.2.4.9" TargetMode="External" /><Relationship Type="http://schemas.openxmlformats.org/officeDocument/2006/relationships/hyperlink" Id="rId69" Target="https://doi.org/10.1257/jep.32.4.97" TargetMode="External" /><Relationship Type="http://schemas.openxmlformats.org/officeDocument/2006/relationships/hyperlink" Id="rId93" Target="https://doi.org/10.1257/jep.33.3.163" TargetMode="External" /><Relationship Type="http://schemas.openxmlformats.org/officeDocument/2006/relationships/hyperlink" Id="rId397" Target="https://doi.org/10.1257/jep.34.2.90" TargetMode="External" /><Relationship Type="http://schemas.openxmlformats.org/officeDocument/2006/relationships/hyperlink" Id="rId271" Target="https://doi.org/10.1257/jep.35.1.3" TargetMode="External" /><Relationship Type="http://schemas.openxmlformats.org/officeDocument/2006/relationships/hyperlink" Id="rId89" Target="https://doi.org/10.1257/jep.5.1.3" TargetMode="External" /><Relationship Type="http://schemas.openxmlformats.org/officeDocument/2006/relationships/hyperlink" Id="rId399" Target="https://doi.org/10.1257/jep.8.1.45" TargetMode="External" /><Relationship Type="http://schemas.openxmlformats.org/officeDocument/2006/relationships/hyperlink" Id="rId300" Target="https://doi.org/10.1257/pol.20210155" TargetMode="External" /><Relationship Type="http://schemas.openxmlformats.org/officeDocument/2006/relationships/hyperlink" Id="rId281" Target="https://doi.org/10.1257/pol.3.3.175" TargetMode="External" /><Relationship Type="http://schemas.openxmlformats.org/officeDocument/2006/relationships/hyperlink" Id="rId238" Target="https://doi.org/10.1287/mnsc.2023.4869" TargetMode="External" /><Relationship Type="http://schemas.openxmlformats.org/officeDocument/2006/relationships/hyperlink" Id="rId156" Target="https://doi.org/10.1371/journal.pone.0275228" TargetMode="External" /><Relationship Type="http://schemas.openxmlformats.org/officeDocument/2006/relationships/hyperlink" Id="rId179" Target="https://doi.org/10.15446/cuad.econ.v36n72.65821" TargetMode="External" /><Relationship Type="http://schemas.openxmlformats.org/officeDocument/2006/relationships/hyperlink" Id="rId205" Target="https://doi.org/10.1561/100.00009057" TargetMode="External" /><Relationship Type="http://schemas.openxmlformats.org/officeDocument/2006/relationships/hyperlink" Id="rId187" Target="https://doi.org/10.2139/ssrn.2361146" TargetMode="External" /><Relationship Type="http://schemas.openxmlformats.org/officeDocument/2006/relationships/hyperlink" Id="rId142" Target="https://doi.org/10.2139/ssrn.3780405" TargetMode="External" /><Relationship Type="http://schemas.openxmlformats.org/officeDocument/2006/relationships/hyperlink" Id="rId422" Target="https://doi.org/10.2307/134629" TargetMode="External" /><Relationship Type="http://schemas.openxmlformats.org/officeDocument/2006/relationships/hyperlink" Id="rId447" Target="https://doi.org/10.2307/1558771" TargetMode="External" /><Relationship Type="http://schemas.openxmlformats.org/officeDocument/2006/relationships/hyperlink" Id="rId128" Target="https://doi.org/10.2307/1907717" TargetMode="External" /><Relationship Type="http://schemas.openxmlformats.org/officeDocument/2006/relationships/hyperlink" Id="rId420" Target="https://doi.org/10.2307/1924551" TargetMode="External" /><Relationship Type="http://schemas.openxmlformats.org/officeDocument/2006/relationships/hyperlink" Id="rId315" Target="https://doi.org/10.2307/1956436" TargetMode="External" /><Relationship Type="http://schemas.openxmlformats.org/officeDocument/2006/relationships/hyperlink" Id="rId102" Target="https://doi.org/10.2307/1957788" TargetMode="External" /><Relationship Type="http://schemas.openxmlformats.org/officeDocument/2006/relationships/hyperlink" Id="rId269" Target="https://doi.org/10.2307/1963938" TargetMode="External" /><Relationship Type="http://schemas.openxmlformats.org/officeDocument/2006/relationships/hyperlink" Id="rId49" Target="https://doi.org/10.2307/2110467" TargetMode="External" /><Relationship Type="http://schemas.openxmlformats.org/officeDocument/2006/relationships/hyperlink" Id="rId83" Target="https://doi.org/10.2307/2491268" TargetMode="External" /><Relationship Type="http://schemas.openxmlformats.org/officeDocument/2006/relationships/hyperlink" Id="rId175" Target="https://doi.org/10.2307/2524941" TargetMode="External" /><Relationship Type="http://schemas.openxmlformats.org/officeDocument/2006/relationships/hyperlink" Id="rId246" Target="https://doi.org/10.2307/2937895" TargetMode="External" /><Relationship Type="http://schemas.openxmlformats.org/officeDocument/2006/relationships/hyperlink" Id="rId437" Target="https://doi.org/10.2307/2952170" TargetMode="External" /><Relationship Type="http://schemas.openxmlformats.org/officeDocument/2006/relationships/hyperlink" Id="rId108" Target="https://doi.org/10.2307/3440074" TargetMode="External" /><Relationship Type="http://schemas.openxmlformats.org/officeDocument/2006/relationships/hyperlink" Id="rId302" Target="https://doi.org/10.2307/3551400" TargetMode="External" /><Relationship Type="http://schemas.openxmlformats.org/officeDocument/2006/relationships/hyperlink" Id="rId51" Target="https://doi.org/10.2307/j.ctvc7770q" TargetMode="External" /><Relationship Type="http://schemas.openxmlformats.org/officeDocument/2006/relationships/hyperlink" Id="rId337" Target="https://doi.org/10.2307/j.ctvcm4hmx.1" TargetMode="External" /><Relationship Type="http://schemas.openxmlformats.org/officeDocument/2006/relationships/hyperlink" Id="rId341" Target="https://doi.org/10.2307/j.ctvcm4hmx.10" TargetMode="External" /><Relationship Type="http://schemas.openxmlformats.org/officeDocument/2006/relationships/hyperlink" Id="rId359" Target="https://doi.org/10.2307/j.ctvcm4hmx.11" TargetMode="External" /><Relationship Type="http://schemas.openxmlformats.org/officeDocument/2006/relationships/hyperlink" Id="rId357" Target="https://doi.org/10.2307/j.ctvcm4hmx.12" TargetMode="External" /><Relationship Type="http://schemas.openxmlformats.org/officeDocument/2006/relationships/hyperlink" Id="rId365" Target="https://doi.org/10.2307/j.ctvcm4hmx.13" TargetMode="External" /><Relationship Type="http://schemas.openxmlformats.org/officeDocument/2006/relationships/hyperlink" Id="rId353" Target="https://doi.org/10.2307/j.ctvcm4hmx.14" TargetMode="External" /><Relationship Type="http://schemas.openxmlformats.org/officeDocument/2006/relationships/hyperlink" Id="rId351" Target="https://doi.org/10.2307/j.ctvcm4hmx.15" TargetMode="External" /><Relationship Type="http://schemas.openxmlformats.org/officeDocument/2006/relationships/hyperlink" Id="rId349" Target="https://doi.org/10.2307/j.ctvcm4hmx.16" TargetMode="External" /><Relationship Type="http://schemas.openxmlformats.org/officeDocument/2006/relationships/hyperlink" Id="rId329" Target="https://doi.org/10.2307/j.ctvcm4hmx.17" TargetMode="External" /><Relationship Type="http://schemas.openxmlformats.org/officeDocument/2006/relationships/hyperlink" Id="rId343" Target="https://doi.org/10.2307/j.ctvcm4hmx.18" TargetMode="External" /><Relationship Type="http://schemas.openxmlformats.org/officeDocument/2006/relationships/hyperlink" Id="rId345" Target="https://doi.org/10.2307/j.ctvcm4hmx.19" TargetMode="External" /><Relationship Type="http://schemas.openxmlformats.org/officeDocument/2006/relationships/hyperlink" Id="rId369" Target="https://doi.org/10.2307/j.ctvcm4hmx.2" TargetMode="External" /><Relationship Type="http://schemas.openxmlformats.org/officeDocument/2006/relationships/hyperlink" Id="rId373" Target="https://doi.org/10.2307/j.ctvcm4hmx.20" TargetMode="External" /><Relationship Type="http://schemas.openxmlformats.org/officeDocument/2006/relationships/hyperlink" Id="rId355" Target="https://doi.org/10.2307/j.ctvcm4hmx.21" TargetMode="External" /><Relationship Type="http://schemas.openxmlformats.org/officeDocument/2006/relationships/hyperlink" Id="rId321" Target="https://doi.org/10.2307/j.ctvcm4hmx.22" TargetMode="External" /><Relationship Type="http://schemas.openxmlformats.org/officeDocument/2006/relationships/hyperlink" Id="rId323" Target="https://doi.org/10.2307/j.ctvcm4hmx.23" TargetMode="External" /><Relationship Type="http://schemas.openxmlformats.org/officeDocument/2006/relationships/hyperlink" Id="rId363" Target="https://doi.org/10.2307/j.ctvcm4hmx.24" TargetMode="External" /><Relationship Type="http://schemas.openxmlformats.org/officeDocument/2006/relationships/hyperlink" Id="rId325" Target="https://doi.org/10.2307/j.ctvcm4hmx.25" TargetMode="External" /><Relationship Type="http://schemas.openxmlformats.org/officeDocument/2006/relationships/hyperlink" Id="rId367" Target="https://doi.org/10.2307/j.ctvcm4hmx.26" TargetMode="External" /><Relationship Type="http://schemas.openxmlformats.org/officeDocument/2006/relationships/hyperlink" Id="rId327" Target="https://doi.org/10.2307/j.ctvcm4hmx.27" TargetMode="External" /><Relationship Type="http://schemas.openxmlformats.org/officeDocument/2006/relationships/hyperlink" Id="rId361" Target="https://doi.org/10.2307/j.ctvcm4hmx.3" TargetMode="External" /><Relationship Type="http://schemas.openxmlformats.org/officeDocument/2006/relationships/hyperlink" Id="rId347" Target="https://doi.org/10.2307/j.ctvcm4hmx.4" TargetMode="External" /><Relationship Type="http://schemas.openxmlformats.org/officeDocument/2006/relationships/hyperlink" Id="rId331" Target="https://doi.org/10.2307/j.ctvcm4hmx.5" TargetMode="External" /><Relationship Type="http://schemas.openxmlformats.org/officeDocument/2006/relationships/hyperlink" Id="rId333" Target="https://doi.org/10.2307/j.ctvcm4hmx.6" TargetMode="External" /><Relationship Type="http://schemas.openxmlformats.org/officeDocument/2006/relationships/hyperlink" Id="rId371" Target="https://doi.org/10.2307/j.ctvcm4hmx.7" TargetMode="External" /><Relationship Type="http://schemas.openxmlformats.org/officeDocument/2006/relationships/hyperlink" Id="rId339" Target="https://doi.org/10.2307/j.ctvcm4hmx.8" TargetMode="External" /><Relationship Type="http://schemas.openxmlformats.org/officeDocument/2006/relationships/hyperlink" Id="rId335" Target="https://doi.org/10.2307/j.ctvcm4hmx.9" TargetMode="External" /><Relationship Type="http://schemas.openxmlformats.org/officeDocument/2006/relationships/hyperlink" Id="rId403" Target="https://doi.org/10.25318/1210017501-eng" TargetMode="External" /><Relationship Type="http://schemas.openxmlformats.org/officeDocument/2006/relationships/hyperlink" Id="rId405" Target="https://doi.org/10.25318/1410000501-eng" TargetMode="External" /><Relationship Type="http://schemas.openxmlformats.org/officeDocument/2006/relationships/hyperlink" Id="rId407" Target="https://doi.org/10.25318/1410003001-eng" TargetMode="External" /><Relationship Type="http://schemas.openxmlformats.org/officeDocument/2006/relationships/hyperlink" Id="rId409" Target="https://doi.org/10.25318/1410006301-eng" TargetMode="External" /><Relationship Type="http://schemas.openxmlformats.org/officeDocument/2006/relationships/hyperlink" Id="rId411" Target="https://doi.org/10.25318/1410028701-eng" TargetMode="External" /><Relationship Type="http://schemas.openxmlformats.org/officeDocument/2006/relationships/hyperlink" Id="rId413" Target="https://doi.org/10.25318/1610004801-eng" TargetMode="External" /><Relationship Type="http://schemas.openxmlformats.org/officeDocument/2006/relationships/hyperlink" Id="rId401" Target="https://doi.org/10.25318/2010000801-eng" TargetMode="External" /><Relationship Type="http://schemas.openxmlformats.org/officeDocument/2006/relationships/hyperlink" Id="rId415" Target="https://doi.org/10.25318/2010007401-eng" TargetMode="External" /><Relationship Type="http://schemas.openxmlformats.org/officeDocument/2006/relationships/hyperlink" Id="rId47" Target="https://doi.org/10.3386/w4390" TargetMode="External" /><Relationship Type="http://schemas.openxmlformats.org/officeDocument/2006/relationships/hyperlink" Id="rId234" Target="https://doi.org/10.5282/jums/v6i1pp60-80" TargetMode="External" /><Relationship Type="http://schemas.openxmlformats.org/officeDocument/2006/relationships/hyperlink" Id="rId162" Target="https://genius.com/Epica-seif-al-din-the-embrace-that-smothers-part-vi-lyrics" TargetMode="External" /><Relationship Type="http://schemas.openxmlformats.org/officeDocument/2006/relationships/hyperlink" Id="rId24" Target="https://github.com/laboratoriolide/ecuador-temperature-noaa" TargetMode="External" /><Relationship Type="http://schemas.openxmlformats.org/officeDocument/2006/relationships/hyperlink" Id="rId73" Target="https://ideas.repec.org//p/pra/mprapa/25736.html" TargetMode="External" /><Relationship Type="http://schemas.openxmlformats.org/officeDocument/2006/relationships/hyperlink" Id="rId298" Target="https://ised-isde.canada.ca/site/canadian-intellectual-property-office/en/canadian-intellectual-property-statistics/patent-data-bibliographic-and-full-text-csv-and-txt" TargetMode="External" /><Relationship Type="http://schemas.openxmlformats.org/officeDocument/2006/relationships/hyperlink" Id="rId169" Target="https://journals-sagepub-com.proxy.lib.sfu.ca/doi/abs/10.1177/1354068810372564" TargetMode="External" /><Relationship Type="http://schemas.openxmlformats.org/officeDocument/2006/relationships/hyperlink" Id="rId158" Target="https://link.springer.com/article/10.1007/s11109-022-09798-y" TargetMode="External" /><Relationship Type="http://schemas.openxmlformats.org/officeDocument/2006/relationships/hyperlink" Id="rId279" Target="https://metal-exposure.com/interview-epica-mark-jansen-the-omega-point-science-and-ice-baths/" TargetMode="External" /><Relationship Type="http://schemas.openxmlformats.org/officeDocument/2006/relationships/hyperlink" Id="rId211" Target="https://mitpress.ublish.com/ebook/causal-analysis-impact-evaluation-and-causal-machine-learning-with-applications-in-r-preview/12759/Cover" TargetMode="External" /><Relationship Type="http://schemas.openxmlformats.org/officeDocument/2006/relationships/hyperlink" Id="rId430" Target="https://open.alberta.ca/publications/alberta-investor-tax-credit-guidelines" TargetMode="External" /><Relationship Type="http://schemas.openxmlformats.org/officeDocument/2006/relationships/hyperlink" Id="rId236" Target="https://papers.ssrn.com/abstract=1438845" TargetMode="External" /><Relationship Type="http://schemas.openxmlformats.org/officeDocument/2006/relationships/hyperlink" Id="rId286" Target="https://policycommons.net/artifacts/420890/tax-breaksnot-government-ownershipto-mitigate-ottawas-harm/1391614/" TargetMode="External" /><Relationship Type="http://schemas.openxmlformats.org/officeDocument/2006/relationships/hyperlink" Id="rId144" Target="https://press.princeton.edu/books/hardcover/9780691169446/democracy-for-realists" TargetMode="External" /><Relationship Type="http://schemas.openxmlformats.org/officeDocument/2006/relationships/hyperlink" Id="rId288" Target="https://psl.noaa.gov/data/gridded/data.cpc.globaltemp.html" TargetMode="External" /><Relationship Type="http://schemas.openxmlformats.org/officeDocument/2006/relationships/hyperlink" Id="rId389" Target="https://scholarship.law.cornell.edu/facpub/26" TargetMode="External" /><Relationship Type="http://schemas.openxmlformats.org/officeDocument/2006/relationships/hyperlink" Id="rId195" Target="https://shop.elsevier.com/books/handbook-of-public-economics/auerbach/978-0-444-53759-1" TargetMode="External" /><Relationship Type="http://schemas.openxmlformats.org/officeDocument/2006/relationships/hyperlink" Id="rId95" Target="https://tspace.library.utoronto.ca/handle/1807/99267" TargetMode="External" /><Relationship Type="http://schemas.openxmlformats.org/officeDocument/2006/relationships/hyperlink" Id="rId61" Target="https://www.alberta.ca/alberta-investor-tax-credit" TargetMode="External" /><Relationship Type="http://schemas.openxmlformats.org/officeDocument/2006/relationships/hyperlink" Id="rId146" Target="https://www.amazon.ca/Democracy-Realists-Elections-Responsive-Government/dp/0691178240" TargetMode="External" /><Relationship Type="http://schemas.openxmlformats.org/officeDocument/2006/relationships/hyperlink" Id="rId199" Target="https://www.cambridge.org/core/elements/quality-control/8D48763B8D1EEC440BA728B3456F51D1" TargetMode="External" /><Relationship Type="http://schemas.openxmlformats.org/officeDocument/2006/relationships/hyperlink" Id="rId296" Target="https://www.cambridge.org/core/journals/political-analysis/article/abs/no-evidence-on-directional-vs-proximity-voting/78407009C81D6C3DB11D11792ADA2EE1" TargetMode="External" /><Relationship Type="http://schemas.openxmlformats.org/officeDocument/2006/relationships/hyperlink" Id="rId218" Target="https://www.cengage.ca/c/introductory-econometrics-a-modern-approach-7e-wooldridge/9781337558860/" TargetMode="External" /><Relationship Type="http://schemas.openxmlformats.org/officeDocument/2006/relationships/hyperlink" Id="rId214" Target="https://www.ecuadorencifras.gob.ec/documentos/web-inec/Geografia_Estadistica/Micrositio_geoportal/index.html#clasificador-geog-dpa" TargetMode="External" /><Relationship Type="http://schemas.openxmlformats.org/officeDocument/2006/relationships/hyperlink" Id="rId443" Target="https://www.jstor.org/stable/1181698" TargetMode="External" /><Relationship Type="http://schemas.openxmlformats.org/officeDocument/2006/relationships/hyperlink" Id="rId209" Target="https://www.jstor.org/stable/20065397" TargetMode="External" /><Relationship Type="http://schemas.openxmlformats.org/officeDocument/2006/relationships/hyperlink" Id="rId257" Target="https://www.jstor.org/stable/25193798" TargetMode="External" /><Relationship Type="http://schemas.openxmlformats.org/officeDocument/2006/relationships/hyperlink" Id="rId201" Target="https://www.jstor.org/stable/25708619" TargetMode="External" /><Relationship Type="http://schemas.openxmlformats.org/officeDocument/2006/relationships/hyperlink" Id="rId173" Target="https://www.jstor.org/stable/25791500" TargetMode="External" /><Relationship Type="http://schemas.openxmlformats.org/officeDocument/2006/relationships/hyperlink" Id="rId253" Target="https://www.jstor.org/stable/25791594" TargetMode="External" /><Relationship Type="http://schemas.openxmlformats.org/officeDocument/2006/relationships/hyperlink" Id="rId292" Target="https://www.jstor.org/stable/2677855" TargetMode="External" /><Relationship Type="http://schemas.openxmlformats.org/officeDocument/2006/relationships/hyperlink" Id="rId118" Target="https://www.jstor.org/stable/2677856" TargetMode="External" /><Relationship Type="http://schemas.openxmlformats.org/officeDocument/2006/relationships/hyperlink" Id="rId130" Target="https://www.jstor.org/stable/30025956" TargetMode="External" /><Relationship Type="http://schemas.openxmlformats.org/officeDocument/2006/relationships/hyperlink" Id="rId171" Target="https://www.jstor.org/stable/3657314" TargetMode="External" /><Relationship Type="http://schemas.openxmlformats.org/officeDocument/2006/relationships/hyperlink" Id="rId232" Target="https://www.jstor.org/stable/586342" TargetMode="External" /><Relationship Type="http://schemas.openxmlformats.org/officeDocument/2006/relationships/hyperlink" Id="rId439" Target="https://www.jstor.org/stable/586547" TargetMode="External" /><Relationship Type="http://schemas.openxmlformats.org/officeDocument/2006/relationships/hyperlink" Id="rId189" Target="https://www.jstor.org/stable/j.ctt1npp6m" TargetMode="External" /><Relationship Type="http://schemas.openxmlformats.org/officeDocument/2006/relationships/hyperlink" Id="rId126" Target="https://www.jstor.org/stable/prancotamamnta.104.116" TargetMode="External" /><Relationship Type="http://schemas.openxmlformats.org/officeDocument/2006/relationships/hyperlink" Id="rId65" Target="https://www.science.org/doi/full/10.1126/science.283.5401.516?casa_token=zVjUQbaCIRkAAAAA%3AzIK77azGdefrewJm0RlnuBplfosImIbUjXswnBXQXQGO0gn4gwuUxsPCiNRukhaT3Q2VOzZoL5dqKX-i" TargetMode="External" /><Relationship Type="http://schemas.openxmlformats.org/officeDocument/2006/relationships/hyperlink" Id="rId244" Target="https://www.vanderbilt.edu/lapop/ab2014/AB2014_Comparative_Report_English_V3_Updated_040517_W.pdf" TargetMode="External" /><Relationship Type="http://schemas.openxmlformats.org/officeDocument/2006/relationships/hyperlink" Id="rId283" Target="https://www.vanderbilt.edu/lapop/ecuador/AB2018-19-Ecuador-Country-Report-Eng-V2-W-200903.pdf" TargetMode="External" /><Relationship Type="http://schemas.openxmlformats.org/officeDocument/2006/relationships/hyperlink" Id="rId424" Target="https://www.vanderbilt.edu/lapop/raw-data.php" TargetMode="External" /><Relationship Type="http://schemas.openxmlformats.org/officeDocument/2006/relationships/hyperlink" Id="rId434" Target="https://www150.statcan.gc.ca/n1/en/catalogue/88F0006X19970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67</Words>
  <Characters>385</Characters>
  <Application>Microsoft Office Word</Application>
  <DocSecurity>0</DocSecurity>
  <Lines>3</Lines>
  <Paragraphs>1</Paragraphs>
  <ScaleCrop>false</ScaleCrop>
  <Company/>
  <LinksUpToDate>false</LinksUpToDate>
  <CharactersWithSpaces>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POL837 Research Paper</dc:title>
  <dc:creator/>
  <cp:keywords/>
  <dcterms:created xsi:type="dcterms:W3CDTF">2024-03-18T21:44:29Z</dcterms:created>
  <dcterms:modified xsi:type="dcterms:W3CDTF">2024-03-18T21:44:29Z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../paper-text/apa7_normal.csl</vt:lpwstr>
  </property>
  <property fmtid="{D5CDD505-2E9C-101B-9397-08002B2CF9AE}" pid="5" name="fig-cap-location">
    <vt:lpwstr>top</vt:lpwstr>
  </property>
  <property fmtid="{D5CDD505-2E9C-101B-9397-08002B2CF9AE}" pid="6" name="fontsize">
    <vt:lpwstr>12pt</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knitr">
    <vt:lpwstr/>
  </property>
  <property fmtid="{D5CDD505-2E9C-101B-9397-08002B2CF9AE}" pid="11" name="labels">
    <vt:lpwstr/>
  </property>
  <property fmtid="{D5CDD505-2E9C-101B-9397-08002B2CF9AE}" pid="12" name="linestretch">
    <vt:lpwstr>2</vt:lpwstr>
  </property>
  <property fmtid="{D5CDD505-2E9C-101B-9397-08002B2CF9AE}" pid="13" name="mainfont">
    <vt:lpwstr>Times New Roman</vt:lpwstr>
  </property>
  <property fmtid="{D5CDD505-2E9C-101B-9397-08002B2CF9AE}" pid="14" name="mathfont">
    <vt:lpwstr>Libertinus Math</vt:lpwstr>
  </property>
  <property fmtid="{D5CDD505-2E9C-101B-9397-08002B2CF9AE}" pid="15" name="monofont">
    <vt:lpwstr>Times New Roman</vt:lpwstr>
  </property>
  <property fmtid="{D5CDD505-2E9C-101B-9397-08002B2CF9AE}" pid="16" name="nocite">
    <vt:lpwstr>@*</vt:lpwstr>
  </property>
  <property fmtid="{D5CDD505-2E9C-101B-9397-08002B2CF9AE}" pid="17" name="output-dir">
    <vt:lpwstr>/paper-text/sections/output</vt:lpwstr>
  </property>
  <property fmtid="{D5CDD505-2E9C-101B-9397-08002B2CF9AE}" pid="18" name="suppress-bibliography">
    <vt:lpwstr>False</vt:lpwstr>
  </property>
  <property fmtid="{D5CDD505-2E9C-101B-9397-08002B2CF9AE}" pid="19" name="tbl-cap-location">
    <vt:lpwstr>top</vt:lpwstr>
  </property>
  <property fmtid="{D5CDD505-2E9C-101B-9397-08002B2CF9AE}" pid="20" name="toc-title">
    <vt:lpwstr>Table of contents</vt:lpwstr>
  </property>
</Properties>
</file>