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7.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cknowledgments"/>
    <w:p>
      <w:pPr>
        <w:pStyle w:val="Heading1"/>
      </w:pPr>
      <w:r>
        <w:t xml:space="preserve">Acknowledgments</w:t>
      </w:r>
    </w:p>
    <w:p>
      <w:pPr>
        <w:pStyle w:val="FirstParagraph"/>
      </w:pPr>
      <w:r>
        <w:t xml:space="preserve">I acknowledge support from Universidad San Francisco de Quito in providing access to the AmericasBarometer subscriber data, which was used in this work. These data were supplied by the Latin American Public Opinion Project at Vanderbilt University, which takes no responsibility for any interpretation of the data.</w:t>
      </w:r>
    </w:p>
    <w:bookmarkEnd w:id="20"/>
    <w:bookmarkStart w:id="21" w:name="introduction"/>
    <w:p>
      <w:pPr>
        <w:pStyle w:val="Heading1"/>
      </w:pPr>
      <w:r>
        <w:t xml:space="preserve">Introduction</w:t>
      </w:r>
    </w:p>
    <w:p>
      <w:pPr>
        <w:pStyle w:val="FirstParagraph"/>
      </w:pPr>
      <w:r>
        <w:t xml:space="preserve">Whether voters can truly capture a realistic appraisal of the state of the world at the polls remains a core research topic in the study of politics. In an ideal scenario, individuals will be able to adequately judge the strengths and weaknesses of politicians punishing poor performers and providing incentives for new leaders to perform competently while in office. This well known argument of</w:t>
      </w:r>
      <w:r>
        <w:t xml:space="preserve"> </w:t>
      </w:r>
      <w:r>
        <w:rPr>
          <w:iCs/>
          <w:i/>
        </w:rPr>
        <w:t xml:space="preserve">voter rationality</w:t>
      </w:r>
      <w:r>
        <w:t xml:space="preserve"> </w:t>
      </w:r>
      <w:r>
        <w:t xml:space="preserve">by</w:t>
      </w:r>
      <w:r>
        <w:t xml:space="preserve"> </w:t>
      </w:r>
      <w:r>
        <w:t xml:space="preserve">Key (1960)</w:t>
      </w:r>
      <w:r>
        <w:t xml:space="preserve"> </w:t>
      </w:r>
      <w:r>
        <w:t xml:space="preserve">builds the foundation of retrospective voting, which models citizens as rational observers of government past-performance</w:t>
      </w:r>
      <w:r>
        <w:t xml:space="preserve"> </w:t>
      </w:r>
      <w:r>
        <w:t xml:space="preserve">(Ferejohn, 1986; A. Healy &amp; Malhotra, 2013)</w:t>
      </w:r>
      <w:r>
        <w:t xml:space="preserve">. An adequate system of retrospective voting has can to efficient political outcomes, where politicians who underperform leave office resulting in greater democratic accountability</w:t>
      </w:r>
      <w:r>
        <w:t xml:space="preserve"> </w:t>
      </w:r>
      <w:r>
        <w:t xml:space="preserve">(Besley, 2006; Persson &amp; Tabellini, 2002)</w:t>
      </w:r>
      <w:r>
        <w:t xml:space="preserve">.</w:t>
      </w:r>
    </w:p>
    <w:p>
      <w:pPr>
        <w:pStyle w:val="BodyText"/>
      </w:pPr>
      <w:r>
        <w:t xml:space="preserve">However, modern researchers have challenged the view that voters can adequately appraise the performance of a politician, finding a variety of biases in the way voters attribute responsibility to political leaders, which challenges the foundational basis of the perfect retrospective voter</w:t>
      </w:r>
      <w:r>
        <w:t xml:space="preserve"> </w:t>
      </w:r>
      <w:r>
        <w:t xml:space="preserve">(A. Healy &amp; Malhotra, 2013)</w:t>
      </w:r>
      <w:r>
        <w:t xml:space="preserve">. In this paper, I contribute to this stream of the literature by focusing on how seemingly irrelevant events can significantly affect presidential approval.</w:t>
      </w:r>
    </w:p>
    <w:p>
      <w:pPr>
        <w:pStyle w:val="BodyText"/>
      </w:pPr>
      <w:r>
        <w:t xml:space="preserve">By merging the AmericasBarometer (AB) public opinion survey data with CPC Global Unified temperature from Ecuador. I leverage variation from an ordinary yet impactful natural experiment: short-term temperature changes. Given that daily temperature changes can be assumed to be random and exogenous to political behaviour, I can consistently estimate the impact of daily temperature changes on presidential approval ratings. The core result of the paper is that higher temperatures have a negative and statistically significant relationship with presidential approval, which suggests that voters commit attribution errors when evaluating politicians. I ascribe this result to a mood misattribution caused by heat discomfort, a robust result across other disciplines but relatively unexplored in the study of political behaviour.</w:t>
      </w:r>
    </w:p>
    <w:p>
      <w:pPr>
        <w:pStyle w:val="BodyText"/>
      </w:pPr>
      <w:r>
        <w:t xml:space="preserve">Most of the retrospective voting literature has focused on economic voting</w:t>
      </w:r>
      <w:r>
        <w:t xml:space="preserve"> </w:t>
      </w:r>
      <w:r>
        <w:t xml:space="preserve">(Berlemann &amp; Enkelmann, 2014; Kiewiet &amp; Rivers, 1984;</w:t>
      </w:r>
      <w:r>
        <w:t xml:space="preserve"> </w:t>
      </w:r>
      <w:r>
        <w:rPr>
          <w:bCs/>
          <w:b/>
        </w:rPr>
        <w:t xml:space="preserve">ducheconomicvotehow2008?</w:t>
      </w:r>
      <w:r>
        <w:t xml:space="preserve">)</w:t>
      </w:r>
      <w:r>
        <w:t xml:space="preserve">. Further, other researchers have found evidence of cognitive and emotional biases in the voters’ perceptions of politicians</w:t>
      </w:r>
      <w:r>
        <w:t xml:space="preserve"> </w:t>
      </w:r>
      <w:r>
        <w:t xml:space="preserve">(Beck, 1982; Hart &amp; Matthews, 2023; Kahneman &amp; Tversky, 1982; Tilley &amp; Hobolt, 2011)</w:t>
      </w:r>
      <w:r>
        <w:t xml:space="preserve">, yet few have studied the impact of random events</w:t>
      </w:r>
      <w:r>
        <w:t xml:space="preserve"> </w:t>
      </w:r>
      <w:r>
        <w:t xml:space="preserve">(A. J. Healy et al., 2010; A. Healy &amp; Malhotra, 2010;</w:t>
      </w:r>
      <w:r>
        <w:t xml:space="preserve"> </w:t>
      </w:r>
      <w:r>
        <w:rPr>
          <w:bCs/>
          <w:b/>
        </w:rPr>
        <w:t xml:space="preserve">christopherhachenauthorDemocracyrealistswhy2016?</w:t>
      </w:r>
      <w:r>
        <w:t xml:space="preserve">)</w:t>
      </w:r>
      <w:r>
        <w:t xml:space="preserve">. Weather-related events have been used in quasiexperimental studies to draw causal statements about voter turnout and vote choice performance ratings and campaign finance</w:t>
      </w:r>
      <w:r>
        <w:t xml:space="preserve"> </w:t>
      </w:r>
      <w:r>
        <w:t xml:space="preserve">(Bassi, 2019; Bastos &amp; Miller, 2013; A. Healy &amp; Malhotra, 2009; Liao &amp; Ruiz Junco, 2022; Visconti, 2022)</w:t>
      </w:r>
      <w:r>
        <w:t xml:space="preserve">, but their direct effect on performance ratings and the implications for retrospective voting are yet to be understood.</w:t>
      </w:r>
    </w:p>
    <w:p>
      <w:pPr>
        <w:pStyle w:val="BodyText"/>
      </w:pPr>
      <w:r>
        <w:t xml:space="preserve">Understanding how voters misattribute their mood to political leaders is a question whose importance has been well established by the literature. Extending the applicability of retrospective voting models based on cognitive biases to the context of a developing country the tropics like Ecuador holds additional importance, considering the difficulty of replicating conditions like these in experimental settings. Significant mood misattributions like the one I find may partially explain democratic accountability crises, as voters may persistently fail to evaluate incumbent performance at the ballot box, and thus fail to provide the correct incentives for political leaders in democratic systems. Further, understanding what factors outside the common variables typically studied by political science models may be a better way to understand the modern issues the region faces, such as corruption and crime</w:t>
      </w:r>
      <w:r>
        <w:t xml:space="preserve"> </w:t>
      </w:r>
      <w:r>
        <w:t xml:space="preserve">(Crespo, 2017;</w:t>
      </w:r>
      <w:r>
        <w:t xml:space="preserve"> </w:t>
      </w:r>
      <w:r>
        <w:rPr>
          <w:iCs/>
          <w:i/>
        </w:rPr>
        <w:t xml:space="preserve">Latin America Wrestles with a New Crime Wave</w:t>
      </w:r>
      <w:r>
        <w:t xml:space="preserve">, 2023)</w:t>
      </w:r>
      <w:r>
        <w:t xml:space="preserve">.</w:t>
      </w:r>
    </w:p>
    <w:p>
      <w:pPr>
        <w:pStyle w:val="BodyText"/>
      </w:pPr>
      <w:r>
        <w:t xml:space="preserve">The rest of the paper proceeds as follows. In the next section, I review the theory which informed the paper’s empirical approach. Section 3 presents the empirical approach. In section 4, I present the paper’s results. Section 5 concludes. In the Appendix, I present average marginal effects for all logistic regressions estimated in the paper.</w:t>
      </w:r>
    </w:p>
    <w:bookmarkEnd w:id="21"/>
    <w:bookmarkStart w:id="22" w:name="theory"/>
    <w:p>
      <w:pPr>
        <w:pStyle w:val="Heading1"/>
      </w:pPr>
      <w:r>
        <w:t xml:space="preserve">Theory</w:t>
      </w:r>
    </w:p>
    <w:p>
      <w:pPr>
        <w:pStyle w:val="FirstParagraph"/>
      </w:pPr>
      <w:r>
        <w:t xml:space="preserve">The notion that citizens will evaluate the incumbent as a part of their voting decision goes is inevitably Downsian: a voter will choose the party that</w:t>
      </w:r>
      <w:r>
        <w:t xml:space="preserve"> </w:t>
      </w:r>
      <w:r>
        <w:rPr>
          <w:iCs/>
          <w:i/>
        </w:rPr>
        <w:t xml:space="preserve">maximizes</w:t>
      </w:r>
      <w:r>
        <w:t xml:space="preserve"> </w:t>
      </w:r>
      <w:r>
        <w:t xml:space="preserve">its utility income among the available alternative</w:t>
      </w:r>
      <w:r>
        <w:t xml:space="preserve"> </w:t>
      </w:r>
      <w:r>
        <w:t xml:space="preserve">(1957, p. ch.3)</w:t>
      </w:r>
      <w:r>
        <w:t xml:space="preserve">, and an appropriate estimation of utility requires a retrospective look at parties’ performance. Utility has an unavoidable economic connotation, which is why retrospective voting literature has produced a large amount of work on the public’s evaluation of politician’s management of the economy. Economic voting research has long discussed if the economy truly explains voting behaviour, or if the economy is seen through partisan lens</w:t>
      </w:r>
      <w:r>
        <w:t xml:space="preserve"> </w:t>
      </w:r>
      <w:r>
        <w:t xml:space="preserve">(Lewis-Beck, 2006; Lewis-Beck et al., 2008; Wlezien et al., 1997)</w:t>
      </w:r>
      <w:r>
        <w:t xml:space="preserve">. Difficult identification challenges emerge from this type of performance models, given that multiple factors are endogenous to the public’s perceptions of the economy and vote choice</w:t>
      </w:r>
      <w:r>
        <w:t xml:space="preserve"> </w:t>
      </w:r>
      <w:r>
        <w:t xml:space="preserve">(Anderson, 2007; Kiewiet &amp; Rivers, 1984)</w:t>
      </w:r>
      <w:r>
        <w:t xml:space="preserve">. In any case, what the literature determines is that the economy is always a statistically significant</w:t>
      </w:r>
      <w:r>
        <w:t xml:space="preserve"> </w:t>
      </w:r>
      <w:r>
        <w:rPr>
          <w:iCs/>
          <w:i/>
        </w:rPr>
        <w:t xml:space="preserve">predictor</w:t>
      </w:r>
      <w:r>
        <w:t xml:space="preserve"> </w:t>
      </w:r>
      <w:r>
        <w:t xml:space="preserve">of voting behaviour, even if endogenous, which is why any formal model of voting behaviour includes some form of economic performance evaluation.</w:t>
      </w:r>
    </w:p>
    <w:p>
      <w:pPr>
        <w:pStyle w:val="BodyText"/>
      </w:pPr>
      <w:r>
        <w:t xml:space="preserve">Most retrospective voting research in Latin America has focused on economic voting too, as well as on populism and the recent rise of leftist parties and populism</w:t>
      </w:r>
      <w:r>
        <w:t xml:space="preserve"> </w:t>
      </w:r>
      <w:r>
        <w:t xml:space="preserve">(Benton, 2005; Lee, 2014; Murillo et al., 2010; Wiesehomeier &amp; Doyle, 2013)</w:t>
      </w:r>
      <w:r>
        <w:t xml:space="preserve">. The literature also finds no clear conclusions, with some evidence for Latin American voters behaving similar to developed country voters: evaluating incumbents prospectively at the beginning of the term and retrospectively at the end of it. However,</w:t>
      </w:r>
      <w:r>
        <w:t xml:space="preserve"> </w:t>
      </w:r>
      <w:r>
        <w:t xml:space="preserve">Veiga (2013)</w:t>
      </w:r>
      <w:r>
        <w:t xml:space="preserve"> </w:t>
      </w:r>
      <w:r>
        <w:t xml:space="preserve">finds that usual macroeconomic variables are not reliable predictors of vote choice on Latin American countries from 1995 to 2010. Rather, social investment does show a significant effect on ruling party electoral outcomes (p.20). Regarding leftist parties and populism, evidence has shown that the early 2000’s</w:t>
      </w:r>
      <w:r>
        <w:t xml:space="preserve"> </w:t>
      </w:r>
      <w:r>
        <w:rPr>
          <w:iCs/>
          <w:i/>
        </w:rPr>
        <w:t xml:space="preserve">pink tide</w:t>
      </w:r>
      <w:r>
        <w:t xml:space="preserve"> </w:t>
      </w:r>
      <w:r>
        <w:t xml:space="preserve">in Latin America may have been a result of retrospective voting and discontent with establishment parties</w:t>
      </w:r>
      <w:r>
        <w:t xml:space="preserve"> </w:t>
      </w:r>
      <w:r>
        <w:t xml:space="preserve">(Wiesehomeier &amp; Doyle, 2013)</w:t>
      </w:r>
      <w:r>
        <w:t xml:space="preserve">.</w:t>
      </w:r>
    </w:p>
    <w:p>
      <w:pPr>
        <w:pStyle w:val="BodyText"/>
      </w:pPr>
      <w:r>
        <w:t xml:space="preserve">The literature on presidential approval is adjacent to economic voting, since it has mostly focused on estimating</w:t>
      </w:r>
      <w:r>
        <w:t xml:space="preserve"> </w:t>
      </w:r>
      <w:r>
        <w:rPr>
          <w:iCs/>
          <w:i/>
        </w:rPr>
        <w:t xml:space="preserve">popularity functions</w:t>
      </w:r>
      <w:r>
        <w:t xml:space="preserve"> </w:t>
      </w:r>
      <w:r>
        <w:t xml:space="preserve">to determine the relationship between presidential popularity and other variables</w:t>
      </w:r>
      <w:r>
        <w:t xml:space="preserve"> </w:t>
      </w:r>
      <w:r>
        <w:t xml:space="preserve">(Berlemann &amp; Enkelmann, 2014)</w:t>
      </w:r>
      <w:r>
        <w:t xml:space="preserve">. Macroeconomic variables such as inflation and unemployment have been found to significantly affect presidential approval in some cases, however, no definitive results have been found. Much like economic voting, this strand of research is highly dependent on context, and on the researcher’s choice of variables, model specification, frequency, time frame, among others. Further, it has been shown that presidential approval likely does not follow a linear relationship, though most studies have used linear models to estimate popularity functions (p.52).</w:t>
      </w:r>
      <w:r>
        <w:t xml:space="preserve"> </w:t>
      </w:r>
      <w:r>
        <w:t xml:space="preserve">(Donovan et al., 2020)</w:t>
      </w:r>
      <w:r>
        <w:t xml:space="preserve"> </w:t>
      </w:r>
      <w:r>
        <w:t xml:space="preserve">show that presidential approval is also impacted by the public’s partisan identity. Recent findings show that perceptions of corruption can act as significant predictors of presidential approval</w:t>
      </w:r>
      <w:r>
        <w:t xml:space="preserve"> </w:t>
      </w:r>
      <w:r>
        <w:t xml:space="preserve">(Jung &amp; Oh, 2020)</w:t>
      </w:r>
      <w:r>
        <w:t xml:space="preserve">, especially in Latin America, where other work has shown a reduced importance of standard economic variables</w:t>
      </w:r>
      <w:r>
        <w:t xml:space="preserve"> </w:t>
      </w:r>
      <w:r>
        <w:t xml:space="preserve">(Cerda &amp; Vergara, 2023)</w:t>
      </w:r>
      <w:r>
        <w:t xml:space="preserve">.</w:t>
      </w:r>
    </w:p>
    <w:p>
      <w:pPr>
        <w:pStyle w:val="BodyText"/>
      </w:pPr>
      <w:r>
        <w:t xml:space="preserve">The debate which retrospective voting has gave rise to has incentivized for the use of advanced causal inference and experimental techniques to overcome identification challenges. This renewed approach has allowed for a more precise understanding of the mechanisms behind retrospective voting, which involves the evolving literature on the mistakes that voters make when evaluating politicians’ performance. This has went beyond the mere lack of knowledge about economic information, which is typically trivial considering that a voter need only consult his own economic situation. Rather, recent research has found that citizens tend to commit errors consistent with decision-making beyond political life.</w:t>
      </w:r>
    </w:p>
    <w:p>
      <w:pPr>
        <w:pStyle w:val="BodyText"/>
      </w:pPr>
      <w:r>
        <w:t xml:space="preserve">One of the most discussed cognitive biases is recency bias, where voters place a disproportionate weight on recent events on recent events, for economic outcomes and beyond. Experimental studies have documented the existence of such bias and assigned it to cognitive bias rather than other factors</w:t>
      </w:r>
      <w:r>
        <w:t xml:space="preserve"> </w:t>
      </w:r>
      <w:r>
        <w:t xml:space="preserve">(Hart &amp; Matthews, 2023; A. Healy &amp; Lenz, 2014)</w:t>
      </w:r>
      <w:r>
        <w:t xml:space="preserve">. The implications of such bias highlight the importance of controlling for time trends in any empirical study of political behaviour. Further, the addvanced use of quasiexperiments has allowed the use of natural disasters to find how voters can be myopic:</w:t>
      </w:r>
      <w:r>
        <w:t xml:space="preserve"> </w:t>
      </w:r>
      <w:r>
        <w:t xml:space="preserve">A. Healy &amp; Malhotra (2009)</w:t>
      </w:r>
      <w:r>
        <w:t xml:space="preserve"> </w:t>
      </w:r>
      <w:r>
        <w:t xml:space="preserve">show that after Hurricane Katrina, American voters rewarded incumbents for disaster relief spending, but not for disaster prevention spending before the disaster.</w:t>
      </w:r>
    </w:p>
    <w:p>
      <w:pPr>
        <w:pStyle w:val="BodyText"/>
      </w:pPr>
      <w:r>
        <w:t xml:space="preserve">Events that are irrelevant have been shown to impact voter behaviour with causal arguments. Though disputed,</w:t>
      </w:r>
      <w:r>
        <w:t xml:space="preserve"> </w:t>
      </w:r>
      <w:r>
        <w:t xml:space="preserve">Achen &amp; Bartels (2017)</w:t>
      </w:r>
      <w:r>
        <w:t xml:space="preserve"> </w:t>
      </w:r>
      <w:r>
        <w:t xml:space="preserve">famously presented evidence of shark attacks impacting Woodrow Wilson’s vote share in 191. Further,</w:t>
      </w:r>
      <w:r>
        <w:t xml:space="preserve"> </w:t>
      </w:r>
      <w:r>
        <w:t xml:space="preserve">A. J. Healy et al. (2010)</w:t>
      </w:r>
      <w:r>
        <w:t xml:space="preserve"> </w:t>
      </w:r>
      <w:r>
        <w:t xml:space="preserve">find that football games can positively impact the vote share of incumbents, results also consistent with irrelevant events impacting voting behaviour. Events that politicians have no control upon can impact their electoral outcomes if voters are assumed to be affected by mood in their performance judgments, which is a well-documented phenomenon in other fields. In an experimental setting,</w:t>
      </w:r>
      <w:r>
        <w:t xml:space="preserve"> </w:t>
      </w:r>
      <w:r>
        <w:t xml:space="preserve">Schwarz &amp; Clore (1983)</w:t>
      </w:r>
      <w:r>
        <w:t xml:space="preserve"> </w:t>
      </w:r>
      <w:r>
        <w:t xml:space="preserve">show how inducing positive moods lead subjects to report more feelings of satisfaction relative to subjects which were induced negative moods. Most importantly, it was shown that</w:t>
      </w:r>
      <w:r>
        <w:t xml:space="preserve"> </w:t>
      </w:r>
      <w:r>
        <w:rPr>
          <w:iCs/>
          <w:i/>
        </w:rPr>
        <w:t xml:space="preserve">people in bad moods were more likely to search for information to explain their mood</w:t>
      </w:r>
      <w:r>
        <w:t xml:space="preserve"> </w:t>
      </w:r>
      <w:r>
        <w:t xml:space="preserve">relative to those in a happy mood. This is direct evidence for attribution errors: if an outside circumstance induces a negative mood, people may be more likely to attribute their mood to search for information that confirms their mood, rather than the other way around. Additionally,</w:t>
      </w:r>
      <w:r>
        <w:t xml:space="preserve"> </w:t>
      </w:r>
      <w:r>
        <w:t xml:space="preserve">Bower (1981)</w:t>
      </w:r>
      <w:r>
        <w:t xml:space="preserve"> </w:t>
      </w:r>
      <w:r>
        <w:t xml:space="preserve">show that people who were induced a mood were more likely to recall information that was congruent with their mood. This can confirm misattribution errors in voters, who may be more likely to recall negative information about politicians if they are in a bad mood, and vice versa.</w:t>
      </w:r>
    </w:p>
    <w:p>
      <w:pPr>
        <w:pStyle w:val="BodyText"/>
      </w:pPr>
      <w:r>
        <w:t xml:space="preserve">While daily weather conditions have not been studied in political science, other fields have studied the impact of weather on life satisfaction and other variables, with results mostly showing significant impacts. Notably,</w:t>
      </w:r>
      <w:r>
        <w:t xml:space="preserve"> </w:t>
      </w:r>
      <w:r>
        <w:t xml:space="preserve">Keller et al. (2005)</w:t>
      </w:r>
      <w:r>
        <w:t xml:space="preserve"> </w:t>
      </w:r>
      <w:r>
        <w:t xml:space="preserve">find that pleasant weather (higher temperature or barometric pressure) in has a positive impact on mood in an observational study in the United States, and it also impacts how individuals may process information.</w:t>
      </w:r>
      <w:r>
        <w:t xml:space="preserve"> </w:t>
      </w:r>
      <w:r>
        <w:t xml:space="preserve">Kämpfer &amp; Mutz (2013)</w:t>
      </w:r>
      <w:r>
        <w:t xml:space="preserve"> </w:t>
      </w:r>
      <w:r>
        <w:t xml:space="preserve">and</w:t>
      </w:r>
      <w:r>
        <w:t xml:space="preserve"> </w:t>
      </w:r>
      <w:r>
        <w:t xml:space="preserve">Kämpfer &amp; Mutz (2013)</w:t>
      </w:r>
      <w:r>
        <w:t xml:space="preserve"> </w:t>
      </w:r>
      <w:r>
        <w:t xml:space="preserve">find conflicting results of the impact of sunnier days on life satisfaction using survey data from Germany.</w:t>
      </w:r>
      <w:r>
        <w:t xml:space="preserve"> </w:t>
      </w:r>
      <w:r>
        <w:t xml:space="preserve">Lucas &amp; Lawless (2013)</w:t>
      </w:r>
      <w:r>
        <w:t xml:space="preserve"> </w:t>
      </w:r>
      <w:r>
        <w:t xml:space="preserve">does not find reliable evidence of weather impacting life satisfaction using U.S. survey data.</w:t>
      </w:r>
    </w:p>
    <w:p>
      <w:pPr>
        <w:pStyle w:val="BodyText"/>
      </w:pPr>
      <w:r>
        <w:t xml:space="preserve">Barrington-Leigh (2008)</w:t>
      </w:r>
      <w:r>
        <w:t xml:space="preserve"> </w:t>
      </w:r>
      <w:r>
        <w:t xml:space="preserve">finds a positive effect of sunnier days on trust in neighbours using Canadian survey data. Further,</w:t>
      </w:r>
      <w:r>
        <w:t xml:space="preserve"> </w:t>
      </w:r>
      <w:r>
        <w:t xml:space="preserve">Barrington-Leigh &amp; Behzadnejad (2017)</w:t>
      </w:r>
      <w:r>
        <w:t xml:space="preserve"> </w:t>
      </w:r>
      <w:r>
        <w:t xml:space="preserve">find that temporary rainfall variations have a significant, yet small negative impact in life satisfaction for Canadian survey-respondents, notably on individuals with poor health and women.</w:t>
      </w:r>
      <w:r>
        <w:t xml:space="preserve"> </w:t>
      </w:r>
      <w:r>
        <w:t xml:space="preserve">Lignier et al. (2023)</w:t>
      </w:r>
      <w:r>
        <w:t xml:space="preserve"> </w:t>
      </w:r>
      <w:r>
        <w:t xml:space="preserve">find that higher temperatures in prolonged dry temperatures have a negative impact on life satisfaction in Australia. Beyond life satisfaction,</w:t>
      </w:r>
      <w:r>
        <w:t xml:space="preserve"> </w:t>
      </w:r>
      <w:r>
        <w:t xml:space="preserve">Deller &amp; Michels (2022)</w:t>
      </w:r>
      <w:r>
        <w:t xml:space="preserve"> </w:t>
      </w:r>
      <w:r>
        <w:t xml:space="preserve">show that cloudy days have a significant impact on the way that managers evaluate subordinates across field experiments in the United States. Additionally,</w:t>
      </w:r>
      <w:r>
        <w:t xml:space="preserve"> </w:t>
      </w:r>
      <w:r>
        <w:t xml:space="preserve">Quijano-Ruiz (2023)</w:t>
      </w:r>
      <w:r>
        <w:t xml:space="preserve">, using the same CPC daily weather data for Ecuador, finds an effect of daily temperature changes on self-rated health for female survey respondents only.</w:t>
      </w:r>
    </w:p>
    <w:p>
      <w:pPr>
        <w:pStyle w:val="BodyText"/>
      </w:pPr>
      <w:r>
        <w:t xml:space="preserve">The causal mechanism, which is supported by psychology theory from</w:t>
      </w:r>
      <w:r>
        <w:t xml:space="preserve"> </w:t>
      </w:r>
      <w:r>
        <w:t xml:space="preserve">Schwarz &amp; Clore (1983)</w:t>
      </w:r>
      <w:r>
        <w:t xml:space="preserve"> </w:t>
      </w:r>
      <w:r>
        <w:t xml:space="preserve">and</w:t>
      </w:r>
      <w:r>
        <w:t xml:space="preserve"> </w:t>
      </w:r>
      <w:r>
        <w:t xml:space="preserve">Bower (1981)</w:t>
      </w:r>
      <w:r>
        <w:t xml:space="preserve">, is that weather impacts mood, which then causes citizens to attribute their moods to external circumstances. If Ecuadorian survey respondents consider higher temperatures to be</w:t>
      </w:r>
      <w:r>
        <w:t xml:space="preserve"> </w:t>
      </w:r>
      <w:r>
        <w:t xml:space="preserve">“</w:t>
      </w:r>
      <w:r>
        <w:t xml:space="preserve">bad weather</w:t>
      </w:r>
      <w:r>
        <w:t xml:space="preserve">”</w:t>
      </w:r>
      <w:r>
        <w:t xml:space="preserve">, their mood can be negatively impacted, making them more likely to negatively evalute the president as a result of their discomfort. This corresponds to what is described by</w:t>
      </w:r>
      <w:r>
        <w:t xml:space="preserve"> </w:t>
      </w:r>
      <w:r>
        <w:t xml:space="preserve">Schwarz &amp; Clore (1983)</w:t>
      </w:r>
      <w:r>
        <w:t xml:space="preserve">: voters attribute their mood to a external situation (the question being asked by the interviewer) and may even justify it by searching for negative events that confirm their mood, as proposed by</w:t>
      </w:r>
      <w:r>
        <w:t xml:space="preserve"> </w:t>
      </w:r>
      <w:r>
        <w:t xml:space="preserve">Bower (1981)</w:t>
      </w:r>
      <w:r>
        <w:t xml:space="preserve">.</w:t>
      </w:r>
    </w:p>
    <w:p>
      <w:pPr>
        <w:pStyle w:val="BodyText"/>
      </w:pPr>
      <w:r>
        <w:t xml:space="preserve">In summary, retrospective voting literature has had an economic focus, which underscores the importance of controlling for economic perceptions in any formal empirical model of political behaviour. The Latin American context has shown some degree of resemblance to developed countries, but also some differences, notably in how certain ideological factors may moderate political behaviour to larger extent than developed countries. Presidential approval rating is extensive and has provided many recommendations for the estimation of popularity functions, notably the incorporation of nonlinearities. However, this may not be possible or applicable in all contexts due to data availability. Cognitive biases have been shown to be persistent in many settings, with a clear importance of a recency bias, emphasizing the importance of controlling for time trends in models. My theory on the impact of weather on presidential approval is supported by a growing literature on the impact of weather on mood and life satisfaction, which has shown mostly significant impacts of</w:t>
      </w:r>
      <w:r>
        <w:t xml:space="preserve"> </w:t>
      </w:r>
      <w:r>
        <w:t xml:space="preserve">“</w:t>
      </w:r>
      <w:r>
        <w:t xml:space="preserve">better</w:t>
      </w:r>
      <w:r>
        <w:t xml:space="preserve">”</w:t>
      </w:r>
      <w:r>
        <w:t xml:space="preserve"> </w:t>
      </w:r>
      <w:r>
        <w:t xml:space="preserve">weather on mood, life satisfaction, and other variables. The causal mechanism is supported by psychological theory, which has shown that mood can impact the way that individuals process information, and how they attribute their mood to external circumstances.</w:t>
      </w:r>
    </w:p>
    <w:bookmarkEnd w:id="22"/>
    <w:bookmarkStart w:id="37" w:name="empirical-approach"/>
    <w:p>
      <w:pPr>
        <w:pStyle w:val="Heading1"/>
      </w:pPr>
      <w:r>
        <w:t xml:space="preserve">Empirical Approach</w:t>
      </w:r>
    </w:p>
    <w:bookmarkStart w:id="35" w:name="data"/>
    <w:p>
      <w:pPr>
        <w:pStyle w:val="Heading2"/>
      </w:pPr>
      <w:r>
        <w:t xml:space="preserve">Data</w:t>
      </w:r>
    </w:p>
    <w:p>
      <w:pPr>
        <w:pStyle w:val="FirstParagraph"/>
      </w:pPr>
      <w:r>
        <w:t xml:space="preserve">My data are composed of a pooled cross section of the AmericasBarometer (AB)</w:t>
      </w:r>
      <w:r>
        <w:t xml:space="preserve"> </w:t>
      </w:r>
      <w:r>
        <w:t xml:space="preserve">(</w:t>
      </w:r>
      <w:r>
        <w:rPr>
          <w:bCs/>
          <w:b/>
        </w:rPr>
        <w:t xml:space="preserve">ABDatasets?</w:t>
      </w:r>
      <w:r>
        <w:t xml:space="preserve">)</w:t>
      </w:r>
      <w:r>
        <w:t xml:space="preserve"> </w:t>
      </w:r>
      <w:r>
        <w:t xml:space="preserve">merged with daily CPC Global Unified temperature</w:t>
      </w:r>
      <w:r>
        <w:t xml:space="preserve"> </w:t>
      </w:r>
      <w:r>
        <w:t xml:space="preserve">(National Oceanic and Atmospheric Administration (NOAA) Physical Sciences Laboratory (PSL), 2024)</w:t>
      </w:r>
      <w:r>
        <w:t xml:space="preserve"> </w:t>
      </w:r>
      <w:r>
        <w:t xml:space="preserve">based on interview date and canton in Ecuador. The AB is a public opinion survey conducted by the Latin American Public Opinion Project (LAPOP), which has conducted biyearly survey waves in Ecuador and other countries from 2004 to 2023. I use the subscriber LAPOP datasets available through Universidad San Francisco de Quito’s research affiliation with LAPOP, focusing on the eight survey waves carried out between 2008 to 2023</w:t>
      </w:r>
      <w:r>
        <w:rPr>
          <w:rStyle w:val="FootnoteReference"/>
        </w:rPr>
        <w:footnoteReference w:id="23"/>
      </w:r>
      <w:r>
        <w:t xml:space="preserve">. The surveys are based on a multi-stage national probability design, representative at the national level, except for 2021, where the survey switched to a random-digit-dialing design due to the COVID-19 pandemic.</w:t>
      </w:r>
    </w:p>
    <w:p>
      <w:pPr>
        <w:pStyle w:val="BodyText"/>
      </w:pPr>
      <w:r>
        <w:t xml:space="preserve">The explained variable of interest is presidential job approval, which the AmericasBarometer measures as in a 1-5 scale in the question:</w:t>
      </w:r>
      <w:r>
        <w:t xml:space="preserve"> </w:t>
      </w:r>
      <w:r>
        <w:t xml:space="preserve"> </w:t>
      </w:r>
      <w:r>
        <w:t xml:space="preserve">(</w:t>
      </w:r>
      <w:r>
        <w:rPr>
          <w:bCs/>
          <w:b/>
        </w:rPr>
        <w:t xml:space="preserve">ABDatasets?</w:t>
      </w:r>
      <w:r>
        <w:t xml:space="preserve">)</w:t>
      </w:r>
      <w:r>
        <w:t xml:space="preserve"> </w:t>
      </w:r>
      <w:r>
        <w:t xml:space="preserve">(p.14), where 1 represents a very good performance and 5 terrible performance. This question is similarly similarly to the classic Gallup presidential approval question, which the literature has used extensively</w:t>
      </w:r>
      <w:r>
        <w:t xml:space="preserve"> </w:t>
      </w:r>
      <w:r>
        <w:t xml:space="preserve">(Berlemann &amp; Enkelmann, 2014)</w:t>
      </w:r>
      <w:r>
        <w:t xml:space="preserve"> </w:t>
      </w:r>
      <w:r>
        <w:t xml:space="preserve">and has not been found to significantly deviate from other presidential popularity measures. I dichotomize the variable following LAPOP research reports</w:t>
      </w:r>
      <w:r>
        <w:t xml:space="preserve"> </w:t>
      </w:r>
      <w:r>
        <w:t xml:space="preserve">(Layton et al., 2016)</w:t>
      </w:r>
      <w:r>
        <w:t xml:space="preserve">, where responses greater than 3 are considerar as approval for the incumbent president.</w:t>
      </w:r>
    </w:p>
    <w:p>
      <w:pPr>
        <w:pStyle w:val="BodyText"/>
      </w:pPr>
      <w:r>
        <w:t xml:space="preserve">Table 1 below displays descriptive statistics for the variables used in the empirical analysis. I collect opinion on personal economic situations and on country economic situation, also measured on a 1-5 scale, where 1 represents a very good situation and 5 a terrible situation. Political ideology is represent in a 0-10 scale, where 0 represents the</w:t>
      </w:r>
      <w:r>
        <w:t xml:space="preserve"> </w:t>
      </w:r>
      <w:r>
        <w:t xml:space="preserve">“</w:t>
      </w:r>
      <w:r>
        <w:t xml:space="preserve">extreme left</w:t>
      </w:r>
      <w:r>
        <w:t xml:space="preserve">”</w:t>
      </w:r>
      <w:r>
        <w:t xml:space="preserve"> </w:t>
      </w:r>
      <w:r>
        <w:t xml:space="preserve">and 10 the extreme right. I include 1-7 scales for trust in police, local government, political pride, and support for democracy where 0 represents no trust or support and 7 complete the opposite. Corruption perceptions are collected by the AB as a 1-4 scale, where 1 represents</w:t>
      </w:r>
      <w:r>
        <w:t xml:space="preserve"> </w:t>
      </w:r>
      <w:r>
        <w:t xml:space="preserve">“</w:t>
      </w:r>
      <w:r>
        <w:t xml:space="preserve">corruption not generalized</w:t>
      </w:r>
      <w:r>
        <w:t xml:space="preserve">”</w:t>
      </w:r>
      <w:r>
        <w:t xml:space="preserve"> </w:t>
      </w:r>
      <w:r>
        <w:t xml:space="preserve">and 4</w:t>
      </w:r>
      <w:r>
        <w:t xml:space="preserve"> </w:t>
      </w:r>
      <w:r>
        <w:t xml:space="preserve">“</w:t>
      </w:r>
      <w:r>
        <w:t xml:space="preserve">very generalized</w:t>
      </w:r>
      <w:r>
        <w:t xml:space="preserve">”</w:t>
      </w:r>
      <w:r>
        <w:t xml:space="preserve"> </w:t>
      </w:r>
      <w:r>
        <w:t xml:space="preserve">(</w:t>
      </w:r>
      <w:r>
        <w:rPr>
          <w:bCs/>
          <w:b/>
        </w:rPr>
        <w:t xml:space="preserve">ABDatasets?</w:t>
      </w:r>
      <w:r>
        <w:t xml:space="preserve">)</w:t>
      </w:r>
      <w:r>
        <w:t xml:space="preserve"> </w:t>
      </w:r>
      <w:r>
        <w:t xml:space="preserve">(p. 22). I dichotomize this variable taking values greater than 1 as perceiving corruption. Corruption tolerance is measured as tolerance to paying a bribe, where 0 is not justified, and 1 is justified. The empirical analysis also includes demographic controls, where labour market status includes three categories: employed, not in the labour force, and unemployed. Not being in the labour force includes retired, students, homemakers, and those not working. Education is a categorical variable for highest educational degree attained, including levels for no education, primary, secondary, and higher education (college, university or higher are lumped together).</w:t>
      </w:r>
    </w:p>
    <w:p>
      <w:pPr>
        <w:pStyle w:val="BodyText"/>
      </w:pPr>
      <w:r>
        <w:t xml:space="preserve">I extract daily minimum and maximum temperature and precipitation data from the CPC Global Unified Temperature datasets</w:t>
      </w:r>
      <w:r>
        <w:t xml:space="preserve"> </w:t>
      </w:r>
      <w:r>
        <w:t xml:space="preserve">(National Oceanic and Atmospheric Administration (NOAA) Physical Sciences Laboratory (PSL), 2024)</w:t>
      </w:r>
      <w:r>
        <w:t xml:space="preserve">. These datasets are prepared by the U.S. government National Oceanic and Atmospheric Administration (NOAA) and result from satellite imaging of the Earth surface. While typically daily weather data would be available from every country’s meteorological authority</w:t>
      </w:r>
      <w:r>
        <w:rPr>
          <w:rStyle w:val="FootnoteReference"/>
        </w:rPr>
        <w:footnoteReference w:id="24"/>
      </w:r>
      <w:r>
        <w:t xml:space="preserve">, the Ecuadorian publicly available meteorological data lacks the frequency and geospatial granularity required for this type of analysis.</w:t>
      </w:r>
    </w:p>
    <w:p>
      <w:pPr>
        <w:pStyle w:val="BodyText"/>
      </w:pPr>
      <w:r>
        <w:t xml:space="preserve">The temperature data from NOAA is of lower quality than that of a typical meteorological authority, given that this data is global gridded GTS data (0.5</w:t>
      </w:r>
      <w:r>
        <w:t xml:space="preserve">) for temperature and gauge-based for precipitation. However, I follow Quijano-Ruiz</w:t>
      </w:r>
      <w:r>
        <w:t xml:space="preserve"> </w:t>
      </w:r>
      <w:r>
        <w:t xml:space="preserve">(2023)</w:t>
      </w:r>
      <w:r>
        <w:t xml:space="preserve"> </w:t>
      </w:r>
      <w:r>
        <w:t xml:space="preserve">and compute weighted mean minimum and maximum temperatures for each canton</w:t>
      </w:r>
      <w:r>
        <w:rPr>
          <w:rStyle w:val="FootnoteReference"/>
        </w:rPr>
        <w:footnoteReference w:id="25"/>
      </w:r>
      <w:r>
        <w:t xml:space="preserve">. and day, where the weights are the surface area of each canton. Replication code for this process is publicly available in a</w:t>
      </w:r>
      <w:r>
        <w:t xml:space="preserve"> </w:t>
      </w:r>
      <w:hyperlink r:id="rId26">
        <w:r>
          <w:rPr>
            <w:rStyle w:val="Hyperlink"/>
          </w:rPr>
          <w:t xml:space="preserve">GitHub repository</w:t>
        </w:r>
      </w:hyperlink>
      <w:r>
        <w:t xml:space="preserve">. The surface area of each canton is obtained the Ecuadorian statistics authority (INEC, for its initials in Spanish) geoportal, along with the map shapefiles and political administrative divisions to match the canton names and codes to the AB data</w:t>
      </w:r>
      <w:r>
        <w:t xml:space="preserve"> </w:t>
      </w:r>
      <w:r>
        <w:t xml:space="preserve">(Instituto Nacional de Estadística y Censos, n.d.)</w:t>
      </w:r>
      <w:r>
        <w:t xml:space="preserve">. I then merge this data with the AB data using the interview dates and canton codes as join identifiers.</w:t>
      </w:r>
    </w:p>
    <w:tbl>
      <w:tblPr>
        <w:tblStyle w:val="Table"/>
        <w:tblW w:type="pct" w:w="5000"/>
        <w:tblLook w:firstRow="0" w:lastRow="0" w:firstColumn="0" w:lastColumn="0" w:noHBand="0" w:noVBand="0" w:val="0000"/>
        <w:jc w:val="start"/>
        <w:tblLayout w:type="fixed"/>
      </w:tblPr>
      <w:tblGrid>
        <w:gridCol w:w="7920"/>
      </w:tblGrid>
      <w:tr>
        <w:tc>
          <w:tcPr/>
          <w:bookmarkStart w:id="30" w:name="fig-interviewdates"/>
          <w:p>
            <w:pPr>
              <w:jc w:val="center"/>
            </w:pPr>
            <w:pPr>
              <w:jc w:val="start"/>
              <w:spacing w:before="200"/>
              <w:pStyle w:val="ImageCaption"/>
            </w:pPr>
            <w:r>
              <w:t xml:space="preserve">Figure 1: Survey dates of the Americas Barometer in Ecuador, 2008-2023</w:t>
            </w:r>
          </w:p>
          <w:p>
            <w:pPr>
              <w:pStyle w:val="Compact"/>
              <w:jc w:val="center"/>
            </w:pPr>
            <w:r>
              <w:drawing>
                <wp:inline>
                  <wp:extent cx="5930900" cy="3488308"/>
                  <wp:effectExtent b="0" l="0" r="0" t="0"/>
                  <wp:docPr descr="" title="" id="28" name="Picture"/>
                  <a:graphic>
                    <a:graphicData uri="http://schemas.openxmlformats.org/drawingml/2006/picture">
                      <pic:pic>
                        <pic:nvPicPr>
                          <pic:cNvPr descr="..\figures/interview_dates_barchart.png" id="29" name="Picture"/>
                          <pic:cNvPicPr>
                            <a:picLocks noChangeArrowheads="1" noChangeAspect="1"/>
                          </pic:cNvPicPr>
                        </pic:nvPicPr>
                        <pic:blipFill>
                          <a:blip r:embed="rId27"/>
                          <a:stretch>
                            <a:fillRect/>
                          </a:stretch>
                        </pic:blipFill>
                        <pic:spPr bwMode="auto">
                          <a:xfrm>
                            <a:off x="0" y="0"/>
                            <a:ext cx="5930900" cy="3488308"/>
                          </a:xfrm>
                          <a:prstGeom prst="rect">
                            <a:avLst/>
                          </a:prstGeom>
                          <a:noFill/>
                          <a:ln w="9525">
                            <a:noFill/>
                            <a:headEnd/>
                            <a:tailEnd/>
                          </a:ln>
                        </pic:spPr>
                      </pic:pic>
                    </a:graphicData>
                  </a:graphic>
                </wp:inline>
              </w:drawing>
            </w:r>
          </w:p>
          <w:bookmarkEnd w:id="30"/>
        </w:tc>
      </w:tr>
    </w:tbl>
    <w:p>
      <w:pPr>
        <w:pStyle w:val="BodyText"/>
      </w:pPr>
      <w:hyperlink w:anchor="fig-interviewdates">
        <w:r>
          <w:rPr>
            <w:rStyle w:val="Hyperlink"/>
          </w:rPr>
          <w:t xml:space="preserve">Figure 1</w:t>
        </w:r>
      </w:hyperlink>
      <w:r>
        <w:t xml:space="preserve"> </w:t>
      </w:r>
      <w:r>
        <w:t xml:space="preserve">shows the distribution of respondents by interview date in the AmericasBarometer survey waves. As it can be seen, most stay in a relatively small time frame. The 2018 wave (sometimes referred as the 2018/19 wave) is the most spread out due to the survey being carried out between late 2018 and early 2019. Most waves are carried out January to April. These periods contain rich variation of temperature for Ecuador’s diverse geography.</w:t>
      </w:r>
    </w:p>
    <w:tbl>
      <w:tblPr>
        <w:tblStyle w:val="Table"/>
        <w:tblW w:type="pct" w:w="5000"/>
        <w:tblLook w:firstRow="0" w:lastRow="0" w:firstColumn="0" w:lastColumn="0" w:noHBand="0" w:noVBand="0" w:val="0000"/>
        <w:jc w:val="start"/>
        <w:tblLayout w:type="fixed"/>
      </w:tblPr>
      <w:tblGrid>
        <w:gridCol w:w="7920"/>
      </w:tblGrid>
      <w:tr>
        <w:tc>
          <w:tcPr/>
          <w:bookmarkStart w:id="34" w:name="fig-temperature"/>
          <w:p>
            <w:pPr>
              <w:jc w:val="center"/>
            </w:pPr>
            <w:pPr>
              <w:jc w:val="start"/>
              <w:spacing w:before="200"/>
              <w:pStyle w:val="ImageCaption"/>
            </w:pPr>
            <w:r>
              <w:t xml:space="preserve">Figure 2: Mean monthly temperatures, 2008-2023</w:t>
            </w:r>
          </w:p>
          <w:p>
            <w:pPr>
              <w:pStyle w:val="Compact"/>
              <w:jc w:val="center"/>
            </w:pPr>
            <w:r>
              <w:drawing>
                <wp:inline>
                  <wp:extent cx="5930900" cy="3488308"/>
                  <wp:effectExtent b="0" l="0" r="0" t="0"/>
                  <wp:docPr descr="" title="" id="32" name="Picture"/>
                  <a:graphic>
                    <a:graphicData uri="http://schemas.openxmlformats.org/drawingml/2006/picture">
                      <pic:pic>
                        <pic:nvPicPr>
                          <pic:cNvPr descr="..\figures/ecuador_monthly_mean_temps_fig.png" id="33" name="Picture"/>
                          <pic:cNvPicPr>
                            <a:picLocks noChangeArrowheads="1" noChangeAspect="1"/>
                          </pic:cNvPicPr>
                        </pic:nvPicPr>
                        <pic:blipFill>
                          <a:blip r:embed="rId31"/>
                          <a:stretch>
                            <a:fillRect/>
                          </a:stretch>
                        </pic:blipFill>
                        <pic:spPr bwMode="auto">
                          <a:xfrm>
                            <a:off x="0" y="0"/>
                            <a:ext cx="5930900" cy="3488308"/>
                          </a:xfrm>
                          <a:prstGeom prst="rect">
                            <a:avLst/>
                          </a:prstGeom>
                          <a:noFill/>
                          <a:ln w="9525">
                            <a:noFill/>
                            <a:headEnd/>
                            <a:tailEnd/>
                          </a:ln>
                        </pic:spPr>
                      </pic:pic>
                    </a:graphicData>
                  </a:graphic>
                </wp:inline>
              </w:drawing>
            </w:r>
          </w:p>
          <w:bookmarkEnd w:id="34"/>
        </w:tc>
      </w:tr>
    </w:tbl>
    <w:p>
      <w:pPr>
        <w:pStyle w:val="BodyText"/>
      </w:pPr>
      <w:r>
        <w:t xml:space="preserve">In</w:t>
      </w:r>
      <w:r>
        <w:t xml:space="preserve"> </w:t>
      </w:r>
      <w:hyperlink w:anchor="fig-temperature">
        <w:r>
          <w:rPr>
            <w:rStyle w:val="Hyperlink"/>
          </w:rPr>
          <w:t xml:space="preserve">Figure 2</w:t>
        </w:r>
      </w:hyperlink>
      <w:r>
        <w:t xml:space="preserve"> </w:t>
      </w:r>
      <w:r>
        <w:t xml:space="preserve">above I show mean monthly minimum and maximum temperatures from 2008 to 2023. There are no notable upward or downward trends through time, with some periods showing higher temperatures, possible due to El Niño events</w:t>
      </w:r>
      <w:r>
        <w:t xml:space="preserve"> </w:t>
      </w:r>
      <w:r>
        <w:t xml:space="preserve">(</w:t>
      </w:r>
      <w:r>
        <w:rPr>
          <w:bCs/>
          <w:b/>
        </w:rPr>
        <w:t xml:space="preserve">yehninochangingclimate2009?</w:t>
      </w:r>
      <w:r>
        <w:t xml:space="preserve">)</w:t>
      </w:r>
      <w:r>
        <w:t xml:space="preserve">. An important feature is that the spread between minimum and maximum temperatures is relatively stable, which will be important for the identification strategy, which I describe below.</w:t>
      </w:r>
    </w:p>
    <w:bookmarkEnd w:id="35"/>
    <w:bookmarkStart w:id="36" w:name="identification-strategy"/>
    <w:p>
      <w:pPr>
        <w:pStyle w:val="Heading2"/>
      </w:pPr>
      <w:r>
        <w:t xml:space="preserve">Identification strategy</w:t>
      </w:r>
    </w:p>
    <w:p>
      <w:pPr>
        <w:pStyle w:val="FirstParagraph"/>
      </w:pPr>
      <w:r>
        <w:t xml:space="preserve">I exploit variation produced by a natural experiment: the transitory nature of daily temperature changes. I assume these changes are random and exogenous to variables related to political mechanisms or other variables that can affect the performance of political leaders. By making this assumption, I can definme a presidential population function as follows:</w:t>
      </w:r>
    </w:p>
    <w:p>
      <w:pPr>
        <w:pStyle w:val="BodyText"/>
      </w:pPr>
      <w:r>
        <w:t xml:space="preserve">where</w:t>
      </w:r>
      <w:r>
        <w:t xml:space="preserve"> </w:t>
      </w:r>
      <m:oMath>
        <m:sSub>
          <m:e>
            <m:r>
              <m:rPr>
                <m:nor/>
                <m:sty m:val="p"/>
              </m:rPr>
              <m:t>approval</m:t>
            </m:r>
          </m:e>
          <m:sub>
            <m:r>
              <m:t>i</m:t>
            </m:r>
            <m:r>
              <m:t>t</m:t>
            </m:r>
          </m:sub>
        </m:sSub>
      </m:oMath>
      <w:r>
        <w:t xml:space="preserve"> </w:t>
      </w:r>
      <w:r>
        <w:t xml:space="preserve">is presidential approval,</w:t>
      </w:r>
      <w:r>
        <w:t xml:space="preserve"> </w:t>
      </w:r>
      <m:oMath>
        <m:sSub>
          <m:e>
            <m:r>
              <m:t>τ</m:t>
            </m:r>
          </m:e>
          <m:sub>
            <m:r>
              <m:t>d</m:t>
            </m:r>
          </m:sub>
        </m:sSub>
      </m:oMath>
      <w:r>
        <w:t xml:space="preserve"> </w:t>
      </w:r>
      <w:r>
        <w:t xml:space="preserve">and</w:t>
      </w:r>
      <w:r>
        <w:t xml:space="preserve"> </w:t>
      </w:r>
      <m:oMath>
        <m:sSub>
          <m:e>
            <m:r>
              <m:t>θ</m:t>
            </m:r>
          </m:e>
          <m:sub>
            <m:r>
              <m:t>j</m:t>
            </m:r>
          </m:sub>
        </m:sSub>
      </m:oMath>
      <w:r>
        <w:t xml:space="preserve"> </w:t>
      </w:r>
      <w:r>
        <w:t xml:space="preserve">are vectors of interview date and canton fixed effects,</w:t>
      </w:r>
      <w:r>
        <w:t xml:space="preserve"> </w:t>
      </w:r>
      <m:oMath>
        <m:sSub>
          <m:e>
            <m:r>
              <m:rPr>
                <m:nor/>
                <m:sty m:val="p"/>
              </m:rPr>
              <m:t>temp</m:t>
            </m:r>
          </m:e>
          <m:sub>
            <m:r>
              <m:t>j</m:t>
            </m:r>
            <m:r>
              <m:t>d</m:t>
            </m:r>
          </m:sub>
        </m:sSub>
      </m:oMath>
      <w:r>
        <w:t xml:space="preserve"> </w:t>
      </w:r>
      <w:r>
        <w:t xml:space="preserve">is daily temperature,</w:t>
      </w:r>
      <w:r>
        <w:t xml:space="preserve"> </w:t>
      </w:r>
      <m:oMath>
        <m:sSub>
          <m:e>
            <m:r>
              <m:rPr>
                <m:sty m:val="p"/>
                <m:scr m:val="double-struck"/>
              </m:rPr>
              <m:t>X</m:t>
            </m:r>
            <m:r>
              <m:rPr>
                <m:sty m:val="p"/>
                <m:scr m:val="double-struck"/>
              </m:rPr>
              <m:t>′</m:t>
            </m:r>
          </m:e>
          <m:sub>
            <m:r>
              <m:t>i</m:t>
            </m:r>
            <m:r>
              <m:t>t</m:t>
            </m:r>
          </m:sub>
        </m:sSub>
      </m:oMath>
      <w:r>
        <w:t xml:space="preserve"> </w:t>
      </w:r>
      <w:r>
        <w:t xml:space="preserve">a vector of survey-wave and individual varying controls,</w:t>
      </w:r>
      <w:r>
        <w:t xml:space="preserve"> </w:t>
      </w:r>
      <m:oMath>
        <m:r>
          <m:t>γ</m:t>
        </m:r>
      </m:oMath>
      <w:r>
        <w:t xml:space="preserve"> </w:t>
      </w:r>
      <w:r>
        <w:t xml:space="preserve">the vector of associated control coefficients and</w:t>
      </w:r>
      <w:r>
        <w:t xml:space="preserve"> </w:t>
      </w:r>
      <m:oMath>
        <m:sSub>
          <m:e>
            <m:r>
              <m:t>u</m:t>
            </m:r>
          </m:e>
          <m:sub>
            <m:r>
              <m:t>i</m:t>
            </m:r>
            <m:r>
              <m:t>t</m:t>
            </m:r>
          </m:sub>
        </m:sSub>
      </m:oMath>
      <w:r>
        <w:t xml:space="preserve"> </w:t>
      </w:r>
      <w:r>
        <w:t xml:space="preserve">an error term. The parameter</w:t>
      </w:r>
      <w:r>
        <w:t xml:space="preserve"> </w:t>
      </w:r>
      <m:oMath>
        <m:r>
          <m:t>β</m:t>
        </m:r>
      </m:oMath>
      <w:r>
        <w:t xml:space="preserve"> </w:t>
      </w:r>
      <w:r>
        <w:t xml:space="preserve">is the coefficient of interest, which measures the effect of temperature on presidential approval. The assumption of randomness in temperature changes implies that</w:t>
      </w:r>
    </w:p>
    <w:p>
      <w:pPr>
        <w:pStyle w:val="BodyText"/>
      </w:pPr>
    </w:p>
    <w:p>
      <w:pPr>
        <w:pStyle w:val="BodyText"/>
      </w:pPr>
      <w:r>
        <w:t xml:space="preserve">which allows me to estimate</w:t>
      </w:r>
      <w:r>
        <w:t xml:space="preserve"> </w:t>
      </w:r>
      <m:oMath>
        <m:r>
          <m:t>β</m:t>
        </m:r>
      </m:oMath>
      <w:r>
        <w:t xml:space="preserve"> </w:t>
      </w:r>
      <w:r>
        <w:t xml:space="preserve">consistently. However, if temperature as measured by the CPC Global Unified Temperature datasets suffers from measurement error,</w:t>
      </w:r>
      <w:r>
        <w:t xml:space="preserve"> </w:t>
      </w:r>
      <m:oMath>
        <m:acc>
          <m:accPr>
            <m:chr m:val="̂"/>
          </m:accPr>
          <m:e>
            <m:r>
              <m:t>β</m:t>
            </m:r>
          </m:e>
        </m:acc>
      </m:oMath>
      <w:r>
        <w:t xml:space="preserve"> </w:t>
      </w:r>
      <w:r>
        <w:t xml:space="preserve">can suffer from attenuation bias, which makes me underestimate the true effect of temperature on presidential approval. Attenuation bias will exist if measurement error is more likely to be present in days with higher or lower temperatures, or for certain cantons. There is no reason to assume this is the case, but I address this possibility later in the paper. If measurement error is present but not correlated with the error term, then</w:t>
      </w:r>
      <w:r>
        <w:t xml:space="preserve"> </w:t>
      </w:r>
      <m:oMath>
        <m:acc>
          <m:accPr>
            <m:chr m:val="̂"/>
          </m:accPr>
          <m:e>
            <m:r>
              <m:t>β</m:t>
            </m:r>
          </m:e>
        </m:acc>
      </m:oMath>
      <w:r>
        <w:t xml:space="preserve"> </w:t>
      </w:r>
      <w:r>
        <w:t xml:space="preserve">will still be consistently estimated, but with less precision.</w:t>
      </w:r>
    </w:p>
    <w:p>
      <w:pPr>
        <w:pStyle w:val="BodyText"/>
      </w:pPr>
      <w:r>
        <w:t xml:space="preserve">Further, given that I only observe presidential approval in an ordinal or binary scale, I cannot directly estimate Equation 1. While it is possible to use a linear probability model, I choose to follow the literature and use logistic regression to estimate a variant of Equation 1, as follows:</w:t>
      </w:r>
    </w:p>
    <w:p>
      <w:pPr>
        <w:pStyle w:val="BodyText"/>
      </w:pPr>
      <w:r>
        <w:t xml:space="preserve">where</w:t>
      </w:r>
      <w:r>
        <w:t xml:space="preserve"> </w:t>
      </w:r>
      <m:oMath>
        <m:r>
          <m:t>P</m:t>
        </m:r>
        <m:d>
          <m:dPr>
            <m:begChr m:val="("/>
            <m:endChr m:val=")"/>
            <m:sepChr m:val=""/>
            <m:grow/>
          </m:dPr>
          <m:e>
            <m:sSub>
              <m:e>
                <m:r>
                  <m:rPr>
                    <m:nor/>
                    <m:sty m:val="p"/>
                  </m:rPr>
                  <m:t>approval</m:t>
                </m:r>
              </m:e>
              <m:sub>
                <m:r>
                  <m:t>i</m:t>
                </m:r>
                <m:r>
                  <m:t>t</m:t>
                </m:r>
              </m:sub>
            </m:sSub>
            <m:r>
              <m:rPr>
                <m:sty m:val="p"/>
              </m:rPr>
              <m:t>=</m:t>
            </m:r>
            <m:r>
              <m:t>1</m:t>
            </m:r>
          </m:e>
        </m:d>
      </m:oMath>
      <w:r>
        <w:t xml:space="preserve"> </w:t>
      </w:r>
      <w:r>
        <w:t xml:space="preserve">is the probability of approving the incumbent president,</w:t>
      </w:r>
      <w:r>
        <w:t xml:space="preserve"> </w:t>
      </w:r>
      <m:oMath>
        <m:r>
          <m:t>G</m:t>
        </m:r>
      </m:oMath>
      <w:r>
        <w:t xml:space="preserve"> </w:t>
      </w:r>
      <w:r>
        <w:t xml:space="preserve">is the link function,</w:t>
      </w:r>
      <w:r>
        <w:t xml:space="preserve"> </w:t>
      </w:r>
      <m:oMath>
        <m:r>
          <m:rPr>
            <m:sty m:val="b"/>
          </m:rPr>
          <m:t>R</m:t>
        </m:r>
      </m:oMath>
      <w:r>
        <w:t xml:space="preserve"> </w:t>
      </w:r>
      <w:r>
        <w:t xml:space="preserve">is a vector of explanatory variables, which includes all variables in Equation 1, and</w:t>
      </w:r>
      <w:r>
        <w:t xml:space="preserve"> </w:t>
      </w:r>
      <m:oMath>
        <m:r>
          <m:t>λ</m:t>
        </m:r>
      </m:oMath>
      <w:r>
        <w:t xml:space="preserve"> </w:t>
      </w:r>
      <w:r>
        <w:t xml:space="preserve">is the associated vector of coefficients. I estimate Equation 2 using the logistic function as</w:t>
      </w:r>
      <w:r>
        <w:t xml:space="preserve"> </w:t>
      </w:r>
      <m:oMath>
        <m:r>
          <m:t>G</m:t>
        </m:r>
      </m:oMath>
      <w:r>
        <w:t xml:space="preserve">. I cluster all standard errors at the canton level, to allow for spatially clustered correlation in the error term.</w:t>
      </w:r>
    </w:p>
    <w:bookmarkEnd w:id="36"/>
    <w:bookmarkEnd w:id="37"/>
    <w:bookmarkStart w:id="47" w:name="results"/>
    <w:p>
      <w:pPr>
        <w:pStyle w:val="Heading1"/>
      </w:pPr>
      <w:r>
        <w:t xml:space="preserve">Results</w:t>
      </w:r>
    </w:p>
    <w:bookmarkStart w:id="41" w:name="baseline-specifications"/>
    <w:p>
      <w:pPr>
        <w:pStyle w:val="Heading2"/>
      </w:pPr>
      <w:r>
        <w:t xml:space="preserve">Baseline specifications</w:t>
      </w:r>
    </w:p>
    <w:p>
      <w:pPr>
        <w:pStyle w:val="FirstParagraph"/>
      </w:pPr>
      <w:r>
        <w:t xml:space="preserve">Table 3 shows baseline results of the logit fixed effects estimation of Equation</w:t>
      </w:r>
      <w:r>
        <w:t xml:space="preserve"> </w:t>
      </w:r>
      <w:r>
        <w:t xml:space="preserve">, which are the baseline empirical models of the paper, implementing only daily weather variables and canton and interview date fixed effects. These results serve as a benchmark comparison for the subsequent models that include additional control variables. Further, models without any type of political behaviour controls leverage a large sample size. I later estimate models with controls to examine the robustness of these results and the existence of omitted variable bias.</w:t>
      </w:r>
    </w:p>
    <w:p>
      <w:pPr>
        <w:pStyle w:val="BodyText"/>
      </w:pPr>
      <w:r>
        <w:t xml:space="preserve">Specification (1) considers only daily minimum temperature as a weather variable, which shows a positive logit coefficient which is not statistically distinguishable from zero at any conventional significance level. Specification (2) only includes maximum daily temperature, which shows a negative logit coefficient that is statistically significant at the 0.01 level. Specification (3) includes my measure of average temperature, again showing no statistically significant relationship between temperature and presidential approval. Specification (4) considers the relationship between both daily temperature variables, to account for interconnected relationships between these two variables. I also include a daily precipitation variable, to account for the possibility that a more humid rain may have an effect. It is shown that maximum temperature keeps its significance at the 0.01 level, while the other weather variables remain statistically insignificant at any conventional significance level. It is valuable to note that standard errors for these variables are not notably large, which suggests that the lack of statistical significance may not be due to a lack of precision in the estimation process. This is evidence which supports the hypothesis that voters may commit attribution errors when evaluating politician’s performance, and tend to evaluate the president worse in days with higher temperatures.</w:t>
      </w:r>
    </w:p>
    <w:p>
      <w:pPr>
        <w:pStyle w:val="CaptionedFigure"/>
      </w:pPr>
      <w:r>
        <w:drawing>
          <wp:inline>
            <wp:extent cx="5930900" cy="3541937"/>
            <wp:effectExtent b="0" l="0" r="0" t="0"/>
            <wp:docPr descr="Marginal Effects of Max. Temperature on Presidential Approval" title="" id="39" name="Picture"/>
            <a:graphic>
              <a:graphicData uri="http://schemas.openxmlformats.org/drawingml/2006/picture">
                <pic:pic>
                  <pic:nvPicPr>
                    <pic:cNvPr descr="main_files/figure-docx/partial-effects-plot-1.png" id="40" name="Picture"/>
                    <pic:cNvPicPr>
                      <a:picLocks noChangeArrowheads="1" noChangeAspect="1"/>
                    </pic:cNvPicPr>
                  </pic:nvPicPr>
                  <pic:blipFill>
                    <a:blip r:embed="rId38"/>
                    <a:stretch>
                      <a:fillRect/>
                    </a:stretch>
                  </pic:blipFill>
                  <pic:spPr bwMode="auto">
                    <a:xfrm>
                      <a:off x="0" y="0"/>
                      <a:ext cx="5930900" cy="3541937"/>
                    </a:xfrm>
                    <a:prstGeom prst="rect">
                      <a:avLst/>
                    </a:prstGeom>
                    <a:noFill/>
                    <a:ln w="9525">
                      <a:noFill/>
                      <a:headEnd/>
                      <a:tailEnd/>
                    </a:ln>
                  </pic:spPr>
                </pic:pic>
              </a:graphicData>
            </a:graphic>
          </wp:inline>
        </w:drawing>
      </w:r>
    </w:p>
    <w:p>
      <w:pPr>
        <w:pStyle w:val="ImageCaption"/>
      </w:pPr>
      <w:r>
        <w:t xml:space="preserve">Marginal Effects of Max. Temperature on Presidential Approval</w:t>
      </w:r>
    </w:p>
    <w:p>
      <w:pPr>
        <w:pStyle w:val="BodyText"/>
      </w:pPr>
      <w:r>
        <w:t xml:space="preserve">Figure 3 shows the marginal effects plot of maximum temperature on presidential approval from Specification (4). The plot shows that the marginal probability of presidential approval decreases as maximum temperature increases. At about 10°C of maximum daily temperatures, an additional degree makes survey respondents one percent point less likely to approve of the president. At the highest maximum temperature, which is about 34°C, an additional degree makes survey respondents about 1.3 percent points less likely to approve of the president. These translate to an average marginal effect of -1.1%, as it can be seen in the Appendix, which presents average marginal effects for all the tables in the paper.</w:t>
      </w:r>
    </w:p>
    <w:bookmarkEnd w:id="41"/>
    <w:bookmarkStart w:id="45" w:name="controlling-for-political-behaviour"/>
    <w:p>
      <w:pPr>
        <w:pStyle w:val="Heading2"/>
      </w:pPr>
      <w:r>
        <w:t xml:space="preserve">Controlling for political behaviour</w:t>
      </w:r>
    </w:p>
    <w:p>
      <w:pPr>
        <w:pStyle w:val="FirstParagraph"/>
      </w:pPr>
      <w:r>
        <w:t xml:space="preserve">Table 4 shows the results of the logit fixed effects estimation of Equation</w:t>
      </w:r>
      <w:r>
        <w:t xml:space="preserve"> </w:t>
      </w:r>
      <w:r>
        <w:t xml:space="preserve"> </w:t>
      </w:r>
      <w:r>
        <w:t xml:space="preserve">with additional political behaviour controls. I control for regular demographic and socioeconomic variables, as well as political ideology and behaviour. I control for sex, age and rural status (vs. an urban status reference level). I also compare the effect of different levels of education, where my reference level is no reported education level (0 years of education). For labour market status, I consider four categories, where the reference level is being employed and binary variables for not being the labour force (retired, not working, student, and homemakers.) and being unemployed (looking actively for a job). Personal perceptions of both personal and country economic situations are included too. The country’s economic situation is particularly informative, given that it partials out the relationship of economic voting from the weather variables.</w:t>
      </w:r>
    </w:p>
    <w:p>
      <w:pPr>
        <w:pStyle w:val="BodyText"/>
      </w:pPr>
      <w:r>
        <w:t xml:space="preserve">I also control for political ideology through a 0-10 scale indicating the degree to which a survey respondent identifies with a more right-wing ideology. Finally, I include variables for democracy support, as measured by the classic</w:t>
      </w:r>
      <w:r>
        <w:t xml:space="preserve"> </w:t>
      </w:r>
      <w:r>
        <w:t xml:space="preserve">“</w:t>
      </w:r>
      <w:r>
        <w:t xml:space="preserve">Churchill</w:t>
      </w:r>
      <w:r>
        <w:t xml:space="preserve">”</w:t>
      </w:r>
      <w:r>
        <w:t xml:space="preserve"> </w:t>
      </w:r>
      <w:r>
        <w:t xml:space="preserve">definition, political pride, corruption perceptions, corruption tolerance (bribes) and trust scores for police and local government. By including these controls, I aim to address any potential omitted variable bias that could be present from the underlying model in Table 1. The literature has pointed to several factors that can interact with voters’ attribution processes; these could act as confounders in my estimation procedure and should be controlled for to the extent that is possible. A disadvantage to these models is that lose a large amount of observations, since not all questions are asked consistently across survey rounds. Further, I completely lose the 2021 wave due to a lack of the most fundamental controls, which were not asked due to the restricted survey design which was adopted to the COVID-19 pandemic.</w:t>
      </w:r>
    </w:p>
    <w:p>
      <w:pPr>
        <w:pStyle w:val="BodyText"/>
      </w:pPr>
      <w:r>
        <w:t xml:space="preserve">Specifications (1) through (4) show the results of the specifications in Table 3, but with the addition of the political behaviour controls. These results show that the sign and statistical significance of daily maximum temperature remain unchanged, which suggests that the relationship between temperature and presidential approval is robust to the inclusion of these controls. Further, I also find a negative and statistically significant relationship between presidential approval and my measure of average temperature in specification (3), which was not present in the baseline models.</w:t>
      </w:r>
    </w:p>
    <w:p>
      <w:pPr>
        <w:pStyle w:val="BodyText"/>
      </w:pPr>
      <w:r>
        <w:t xml:space="preserve">With regard to the political behaviour controls, I find that the relationship between presidential approval and the political behaviour controls is consistent with the literature. Those who perceive the country’s economic situation as worse are less likely to approve of the president, as are those who perceive the country as more corrupt and those more tolerant to bribes. The former result is consistent with most of the literature on economic voting. Further, I find that support for democracy, police, and political pride are positively related to presidential approval, while the opposite is true for those who are more right-wing and those who are unemployed. No demographic or socioeconomic variables are statistically significant at any conventional significance level other than sex (female).</w:t>
      </w:r>
    </w:p>
    <w:p>
      <w:pPr>
        <w:pStyle w:val="CaptionedFigure"/>
      </w:pPr>
      <w:r>
        <w:drawing>
          <wp:inline>
            <wp:extent cx="5930900" cy="3541937"/>
            <wp:effectExtent b="0" l="0" r="0" t="0"/>
            <wp:docPr descr="Marginal Effects of Max. Temperature on Presidential Approval with Controls" title="" id="43" name="Picture"/>
            <a:graphic>
              <a:graphicData uri="http://schemas.openxmlformats.org/drawingml/2006/picture">
                <pic:pic>
                  <pic:nvPicPr>
                    <pic:cNvPr descr="main_files/figure-docx/partial-effects-plot-controls-1.png" id="44" name="Picture"/>
                    <pic:cNvPicPr>
                      <a:picLocks noChangeArrowheads="1" noChangeAspect="1"/>
                    </pic:cNvPicPr>
                  </pic:nvPicPr>
                  <pic:blipFill>
                    <a:blip r:embed="rId42"/>
                    <a:stretch>
                      <a:fillRect/>
                    </a:stretch>
                  </pic:blipFill>
                  <pic:spPr bwMode="auto">
                    <a:xfrm>
                      <a:off x="0" y="0"/>
                      <a:ext cx="5930900" cy="3541937"/>
                    </a:xfrm>
                    <a:prstGeom prst="rect">
                      <a:avLst/>
                    </a:prstGeom>
                    <a:noFill/>
                    <a:ln w="9525">
                      <a:noFill/>
                      <a:headEnd/>
                      <a:tailEnd/>
                    </a:ln>
                  </pic:spPr>
                </pic:pic>
              </a:graphicData>
            </a:graphic>
          </wp:inline>
        </w:drawing>
      </w:r>
    </w:p>
    <w:p>
      <w:pPr>
        <w:pStyle w:val="ImageCaption"/>
      </w:pPr>
      <w:r>
        <w:t xml:space="preserve">Marginal Effects of Max. Temperature on Presidential Approval with Controls</w:t>
      </w:r>
    </w:p>
    <w:p>
      <w:pPr>
        <w:pStyle w:val="BodyText"/>
      </w:pPr>
      <w:r>
        <w:t xml:space="preserve">Above, Figure 2 the marginal effects plot of maximum temperature on presidential approval from Specification (4) with controls is shown. Comparing to Figure 1, it is shown that the inclusion of controls does not change the decreasing marginal probability of presidential approval acrossing maximum temperature. The relationship is in fact increased after controls are included, suggest a downward bias in the baseline models. The average marginal effect of maximum temperature on presidential approval is -2.2%, as it can be seen in Appendix A.</w:t>
      </w:r>
    </w:p>
    <w:bookmarkEnd w:id="45"/>
    <w:bookmarkStart w:id="46" w:name="X3b5fd0fc069c0340b5ca9e85e089252a1bbaa35"/>
    <w:p>
      <w:pPr>
        <w:pStyle w:val="Heading2"/>
      </w:pPr>
      <w:r>
        <w:t xml:space="preserve">Heterogenous effects of temperature on presidential approval</w:t>
      </w:r>
    </w:p>
    <w:p>
      <w:pPr>
        <w:pStyle w:val="FirstParagraph"/>
      </w:pPr>
      <w:r>
        <w:t xml:space="preserve">In this subsection I allow for heterogeneity in the effect of temperature on presidential approval. Table 3 below follows the general model below, which includes an interaction term.</w:t>
      </w:r>
    </w:p>
    <w:p>
      <w:pPr>
        <w:pStyle w:val="BodyText"/>
      </w:pPr>
      <w:r>
        <w:t xml:space="preserve">All variables are defined as in Equation</w:t>
      </w:r>
      <w:r>
        <w:t xml:space="preserve"> </w:t>
      </w:r>
      <w:r>
        <w:t xml:space="preserve">, but I include an interaction term between temperature and any explanatory variable</w:t>
      </w:r>
      <w:r>
        <w:t xml:space="preserve"> </w:t>
      </w:r>
      <m:oMath>
        <m:sSub>
          <m:e>
            <m:r>
              <m:t>g</m:t>
            </m:r>
          </m:e>
          <m:sub>
            <m:r>
              <m:t>i</m:t>
            </m:r>
            <m:r>
              <m:t>t</m:t>
            </m:r>
          </m:sub>
        </m:sSub>
      </m:oMath>
      <w:r>
        <w:t xml:space="preserve">, which was only contained in the vector of controls</w:t>
      </w:r>
      <w:r>
        <w:t xml:space="preserve"> </w:t>
      </w:r>
      <m:oMath>
        <m:sSub>
          <m:e>
            <m:r>
              <m:rPr>
                <m:sty m:val="p"/>
                <m:scr m:val="double-struck"/>
              </m:rPr>
              <m:t>X</m:t>
            </m:r>
            <m:r>
              <m:rPr>
                <m:sty m:val="p"/>
                <m:scr m:val="double-struck"/>
              </m:rPr>
              <m:t>′</m:t>
            </m:r>
          </m:e>
          <m:sub>
            <m:r>
              <m:t>i</m:t>
            </m:r>
            <m:r>
              <m:t>t</m:t>
            </m:r>
          </m:sub>
        </m:sSub>
      </m:oMath>
      <w:r>
        <w:t xml:space="preserve">. In this section, I explore important covariates that can interact with temperature to affect presidential approval, which are region</w:t>
      </w:r>
      <w:r>
        <w:t xml:space="preserve">, perceived economic situations for both the country and the respondent, and political ideology. If the interaction term is statistically significant, it would suggest that the effect of temperature on presidential approval is not constant across the population, and that the relationship between temperature and presidential approval is conditional on the value of the covariate. The controls on vector</w:t>
      </w:r>
      <w:r>
        <w:t xml:space="preserve"> </w:t>
      </w:r>
      <m:oMath>
        <m:sSub>
          <m:e>
            <m:r>
              <m:rPr>
                <m:sty m:val="p"/>
                <m:scr m:val="double-struck"/>
              </m:rPr>
              <m:t>X</m:t>
            </m:r>
            <m:r>
              <m:rPr>
                <m:sty m:val="p"/>
                <m:scr m:val="double-struck"/>
              </m:rPr>
              <m:t>′</m:t>
            </m:r>
          </m:e>
          <m:sub>
            <m:r>
              <m:t>i</m:t>
            </m:r>
            <m:r>
              <m:t>t</m:t>
            </m:r>
          </m:sub>
        </m:sSub>
      </m:oMath>
      <w:r>
        <w:t xml:space="preserve"> </w:t>
      </w:r>
      <w:r>
        <w:t xml:space="preserve">are the same as in Table 2 for this subsection, but are not shown in the table for brevity.</w:t>
      </w:r>
    </w:p>
    <w:p>
      <w:pPr>
        <w:pStyle w:val="BodyText"/>
      </w:pPr>
      <w:r>
        <w:t xml:space="preserve">These results show that heterogeneity exists in the effect of the temperature on presidential approval between different regions in the country. Survey respondents from the Amazon region are less likely to approve of the president at higher values of maximum temperature compared to those in the Highlands region. As pointed out in the background section, the Amazon region is the most humid and warm region in the country, which could explain this result if weather truly affects presidential approval. However, the AmericasBarometer surveys very little respondents in Amazon cantons, which is why this result is very preliminary. Survey respondents from the Coastal region do not show a statistically significant difference between temperature and presidential approval compared to those in the Highlands region. Given the large difference in temperatures between the Highlands and the Coastal region, this result is surprising and could point to biases in the estimation process.</w:t>
      </w:r>
    </w:p>
    <w:p>
      <w:pPr>
        <w:pStyle w:val="BodyText"/>
      </w:pPr>
      <w:r>
        <w:t xml:space="preserve">I find no heterogeneity between personal and country economic situations, which suggests that economic voting may be unrelated to weather attribution errors. Ideology does interact with temperature to affect presidential approval, but results are conflicting. Voters who identify closer to the political right are more likely to approve of the president at higher values of minimum temperature, but at the same time are likely to disapprove of the president at higher values of maximum temperature. In the Appendix A, it is shown that the average marginal effect of minimum temperature is still statistically insignificant, while the average marginal effect of maximum temperature is -1.9%.</w:t>
      </w:r>
    </w:p>
    <w:bookmarkEnd w:id="46"/>
    <w:bookmarkEnd w:id="47"/>
    <w:bookmarkStart w:id="48" w:name="conclusion"/>
    <w:p>
      <w:pPr>
        <w:pStyle w:val="Heading1"/>
      </w:pPr>
      <w:r>
        <w:t xml:space="preserve">Conclusion</w:t>
      </w:r>
    </w:p>
    <w:p>
      <w:pPr>
        <w:pStyle w:val="FirstParagraph"/>
      </w:pPr>
      <w:r>
        <w:t xml:space="preserve">This paper has shown that daily temperature has a statistically significant and negative effect on presidential approval in Ecuador. Survey respondents are about 1.9-2.2% less likely to approve of the president when maximum daily temperatures increase by one degree. This result is robust to the inclusion of socioeconomic and political behaviour controls. The results are consistent with the literature retrospective voting, which suggests that voters may commit attribution errors when evaluating politician’s performance.</w:t>
      </w:r>
    </w:p>
    <w:p>
      <w:pPr>
        <w:pStyle w:val="BodyText"/>
      </w:pPr>
      <w:r>
        <w:t xml:space="preserve">The results also show that the effect of temperature on presidential approval is not constant across the population. I find that the effect of temperature on presidential approval is conditional on the region of the country and the political ideology of the survey respondent. These results, while understandable given that the Amazon region is the most humid and warm region in the country, are preliminary and should be taken with caution, because of the small sample size of the Amazon region in the AmericasBarometer surveys.</w:t>
      </w:r>
    </w:p>
    <w:p>
      <w:pPr>
        <w:pStyle w:val="BodyText"/>
      </w:pPr>
      <w:r>
        <w:t xml:space="preserve">There is a possibility that my temperature variables are subject to measurement error, which could bias my results. If this is the case, then my results are likely to be downward biased, which would suggest that the true effect of temperature on presidential approval is larger than what I estimate. The fact that I am able to find statistically significant results in an observational setting suggests that the true effect of temperature on presidential approval is likely to be larger, and future research should aim to address this possibility by using more precise temperature data, and by using more sophisticated methods to address measurement error. Replicating this study in other countries where temperature data of higher quality is available would also be valuable, in order to validate these results and to evaluate the generalization of these results to other contexts.</w:t>
      </w:r>
    </w:p>
    <w:bookmarkEnd w:id="48"/>
    <w:bookmarkStart w:id="150" w:name="references"/>
    <w:p>
      <w:pPr>
        <w:pStyle w:val="Heading1"/>
      </w:pPr>
      <w:r>
        <w:t xml:space="preserve">References</w:t>
      </w:r>
    </w:p>
    <w:bookmarkStart w:id="149" w:name="refs"/>
    <w:bookmarkStart w:id="50" w:name="ref-achenBlindretrospectionelectoral2017"/>
    <w:p>
      <w:pPr>
        <w:pStyle w:val="Bibliography"/>
      </w:pPr>
      <w:r>
        <w:t xml:space="preserve">Achen, C. H., &amp; Bartels, L. M. (2017). Blind retrospection: Electoral responses to droughts, floods, and shark attacks. In</w:t>
      </w:r>
      <w:r>
        <w:t xml:space="preserve"> </w:t>
      </w:r>
      <w:r>
        <w:rPr>
          <w:iCs/>
          <w:i/>
        </w:rPr>
        <w:t xml:space="preserve">Democracy for</w:t>
      </w:r>
      <w:r>
        <w:rPr>
          <w:iCs/>
          <w:i/>
        </w:rPr>
        <w:t xml:space="preserve"> </w:t>
      </w:r>
      <w:r>
        <w:rPr>
          <w:iCs/>
          <w:i/>
        </w:rPr>
        <w:t xml:space="preserve">Realists</w:t>
      </w:r>
      <w:r>
        <w:rPr>
          <w:iCs/>
          <w:i/>
        </w:rPr>
        <w:t xml:space="preserve">:</w:t>
      </w:r>
      <w:r>
        <w:rPr>
          <w:iCs/>
          <w:i/>
        </w:rPr>
        <w:t xml:space="preserve"> </w:t>
      </w:r>
      <w:r>
        <w:rPr>
          <w:iCs/>
          <w:i/>
        </w:rPr>
        <w:t xml:space="preserve">Why Elections Do Not Produce Responsive Government</w:t>
      </w:r>
      <w:r>
        <w:t xml:space="preserve"> </w:t>
      </w:r>
      <w:r>
        <w:t xml:space="preserve">(REV - Revised). Princeton University Press.</w:t>
      </w:r>
      <w:r>
        <w:t xml:space="preserve"> </w:t>
      </w:r>
      <w:hyperlink r:id="rId49">
        <w:r>
          <w:rPr>
            <w:rStyle w:val="Hyperlink"/>
          </w:rPr>
          <w:t xml:space="preserve">https://doi.org/10.2307/j.ctvc7770q</w:t>
        </w:r>
      </w:hyperlink>
    </w:p>
    <w:bookmarkEnd w:id="50"/>
    <w:bookmarkStart w:id="52" w:name="ref-andersonendeconomicvoting2007"/>
    <w:p>
      <w:pPr>
        <w:pStyle w:val="Bibliography"/>
      </w:pPr>
      <w:r>
        <w:t xml:space="preserve">Anderson, C. J. (2007). The end of economic voting?</w:t>
      </w:r>
      <w:r>
        <w:t xml:space="preserve"> </w:t>
      </w:r>
      <w:r>
        <w:t xml:space="preserve">Contingency</w:t>
      </w:r>
      <w:r>
        <w:t xml:space="preserve"> </w:t>
      </w:r>
      <w:r>
        <w:t xml:space="preserve">dilemmas and the limits of democratic accountability.</w:t>
      </w:r>
      <w:r>
        <w:t xml:space="preserve"> </w:t>
      </w:r>
      <w:r>
        <w:rPr>
          <w:iCs/>
          <w:i/>
        </w:rPr>
        <w:t xml:space="preserve">Annual Review of Political Science</w:t>
      </w:r>
      <w:r>
        <w:t xml:space="preserve">,</w:t>
      </w:r>
      <w:r>
        <w:t xml:space="preserve"> </w:t>
      </w:r>
      <w:r>
        <w:rPr>
          <w:iCs/>
          <w:i/>
        </w:rPr>
        <w:t xml:space="preserve">10</w:t>
      </w:r>
      <w:r>
        <w:t xml:space="preserve">(1), 271–296.</w:t>
      </w:r>
      <w:r>
        <w:t xml:space="preserve"> </w:t>
      </w:r>
      <w:hyperlink r:id="rId51">
        <w:r>
          <w:rPr>
            <w:rStyle w:val="Hyperlink"/>
          </w:rPr>
          <w:t xml:space="preserve">https://doi.org/10.1146/annurev.polisci.10.050806.155344</w:t>
        </w:r>
      </w:hyperlink>
    </w:p>
    <w:bookmarkEnd w:id="52"/>
    <w:bookmarkStart w:id="54" w:name="X4f9609e2dca211ebdcf8e5b5b890174f711bda1"/>
    <w:p>
      <w:pPr>
        <w:pStyle w:val="Bibliography"/>
      </w:pPr>
      <w:r>
        <w:t xml:space="preserve">Barrington-Leigh, C. (2008). Weather as a transient influence on survey-reported satisfaction with life.</w:t>
      </w:r>
      <w:r>
        <w:t xml:space="preserve"> </w:t>
      </w:r>
      <w:r>
        <w:rPr>
          <w:iCs/>
          <w:i/>
        </w:rPr>
        <w:t xml:space="preserve">MPRA Paper</w:t>
      </w:r>
      <w:r>
        <w:t xml:space="preserve">,</w:t>
      </w:r>
      <w:r>
        <w:t xml:space="preserve"> </w:t>
      </w:r>
      <w:r>
        <w:rPr>
          <w:iCs/>
          <w:i/>
        </w:rPr>
        <w:t xml:space="preserve">25736</w:t>
      </w:r>
      <w:r>
        <w:t xml:space="preserve">.</w:t>
      </w:r>
      <w:r>
        <w:t xml:space="preserve"> </w:t>
      </w:r>
      <w:hyperlink r:id="rId53">
        <w:r>
          <w:rPr>
            <w:rStyle w:val="Hyperlink"/>
          </w:rPr>
          <w:t xml:space="preserve">https://ideas.repec.org//p/pra/mprapa/25736.html</w:t>
        </w:r>
      </w:hyperlink>
    </w:p>
    <w:bookmarkEnd w:id="54"/>
    <w:bookmarkStart w:id="56" w:name="X01e647866929b3bc97812db62a77d440fdc3e88"/>
    <w:p>
      <w:pPr>
        <w:pStyle w:val="Bibliography"/>
      </w:pPr>
      <w:r>
        <w:t xml:space="preserve">Barrington-Leigh, C., &amp; Behzadnejad, F. (2017). The impact of daily weather conditions on life satisfaction evidence from</w:t>
      </w:r>
      <w:r>
        <w:t xml:space="preserve"> </w:t>
      </w:r>
      <w:r>
        <w:t xml:space="preserve">Canadian</w:t>
      </w:r>
      <w:r>
        <w:t xml:space="preserve"> </w:t>
      </w:r>
      <w:r>
        <w:t xml:space="preserve">cross-sectional and panel data.</w:t>
      </w:r>
      <w:r>
        <w:t xml:space="preserve"> </w:t>
      </w:r>
      <w:r>
        <w:rPr>
          <w:iCs/>
          <w:i/>
        </w:rPr>
        <w:t xml:space="preserve">Journal of Economic Psychology</w:t>
      </w:r>
      <w:r>
        <w:t xml:space="preserve">,</w:t>
      </w:r>
      <w:r>
        <w:t xml:space="preserve"> </w:t>
      </w:r>
      <w:r>
        <w:rPr>
          <w:iCs/>
          <w:i/>
        </w:rPr>
        <w:t xml:space="preserve">59</w:t>
      </w:r>
      <w:r>
        <w:t xml:space="preserve">, 145–163.</w:t>
      </w:r>
      <w:r>
        <w:t xml:space="preserve"> </w:t>
      </w:r>
      <w:hyperlink r:id="rId55">
        <w:r>
          <w:rPr>
            <w:rStyle w:val="Hyperlink"/>
          </w:rPr>
          <w:t xml:space="preserve">https://doi.org/10.1016/j.joep.2017.01.003</w:t>
        </w:r>
      </w:hyperlink>
    </w:p>
    <w:bookmarkEnd w:id="56"/>
    <w:bookmarkStart w:id="58" w:name="ref-bassiWeatherriskvoting2019"/>
    <w:p>
      <w:pPr>
        <w:pStyle w:val="Bibliography"/>
      </w:pPr>
      <w:r>
        <w:t xml:space="preserve">Bassi, A. (2019). Weather, risk, and voting: An experimental analysis of the effect of weather on vote choice.</w:t>
      </w:r>
      <w:r>
        <w:t xml:space="preserve"> </w:t>
      </w:r>
      <w:r>
        <w:rPr>
          <w:iCs/>
          <w:i/>
        </w:rPr>
        <w:t xml:space="preserve">Journal of Experimental Political Science</w:t>
      </w:r>
      <w:r>
        <w:t xml:space="preserve">,</w:t>
      </w:r>
      <w:r>
        <w:t xml:space="preserve"> </w:t>
      </w:r>
      <w:r>
        <w:rPr>
          <w:iCs/>
          <w:i/>
        </w:rPr>
        <w:t xml:space="preserve">6</w:t>
      </w:r>
      <w:r>
        <w:t xml:space="preserve">(1), 17–32.</w:t>
      </w:r>
      <w:r>
        <w:t xml:space="preserve"> </w:t>
      </w:r>
      <w:hyperlink r:id="rId57">
        <w:r>
          <w:rPr>
            <w:rStyle w:val="Hyperlink"/>
          </w:rPr>
          <w:t xml:space="preserve">https://doi.org/10.1017/XPS.2018.13</w:t>
        </w:r>
      </w:hyperlink>
    </w:p>
    <w:bookmarkEnd w:id="58"/>
    <w:bookmarkStart w:id="60" w:name="ref-bastosPoliticsweatherdroughts2013"/>
    <w:p>
      <w:pPr>
        <w:pStyle w:val="Bibliography"/>
      </w:pPr>
      <w:r>
        <w:t xml:space="preserve">Bastos, P., &amp; Miller, S. (2013, October 1).</w:t>
      </w:r>
      <w:r>
        <w:t xml:space="preserve"> </w:t>
      </w:r>
      <w:r>
        <w:rPr>
          <w:iCs/>
          <w:i/>
        </w:rPr>
        <w:t xml:space="preserve">Politics under the weather: Droughts, parties and electoral outcomes</w:t>
      </w:r>
      <w:r>
        <w:t xml:space="preserve"> </w:t>
      </w:r>
      <w:r>
        <w:t xml:space="preserve">(SSRN Scholarly Paper 2367702).</w:t>
      </w:r>
      <w:r>
        <w:t xml:space="preserve"> </w:t>
      </w:r>
      <w:hyperlink r:id="rId59">
        <w:r>
          <w:rPr>
            <w:rStyle w:val="Hyperlink"/>
          </w:rPr>
          <w:t xml:space="preserve">https://doi.org/10.2139/ssrn.2367702</w:t>
        </w:r>
      </w:hyperlink>
    </w:p>
    <w:bookmarkEnd w:id="60"/>
    <w:bookmarkStart w:id="61" w:name="ref-beckDoesthereexist1982"/>
    <w:p>
      <w:pPr>
        <w:pStyle w:val="Bibliography"/>
      </w:pPr>
      <w:r>
        <w:t xml:space="preserve">Beck, N. (1982). Does there exist a political business cycle:</w:t>
      </w:r>
      <w:r>
        <w:t xml:space="preserve"> </w:t>
      </w:r>
      <w:r>
        <w:t xml:space="preserve">A Box-Tiao</w:t>
      </w:r>
      <w:r>
        <w:t xml:space="preserve"> </w:t>
      </w:r>
      <w:r>
        <w:t xml:space="preserve">analysis.</w:t>
      </w:r>
      <w:r>
        <w:t xml:space="preserve"> </w:t>
      </w:r>
      <w:r>
        <w:rPr>
          <w:iCs/>
          <w:i/>
        </w:rPr>
        <w:t xml:space="preserve">Public Choice</w:t>
      </w:r>
      <w:r>
        <w:t xml:space="preserve">, 205–209.</w:t>
      </w:r>
    </w:p>
    <w:bookmarkEnd w:id="61"/>
    <w:bookmarkStart w:id="63" w:name="X4ba0171914af9d3fe86021c6f9f5c160bc7ffb7"/>
    <w:p>
      <w:pPr>
        <w:pStyle w:val="Bibliography"/>
      </w:pPr>
      <w:r>
        <w:t xml:space="preserve">Benton, A. L. (2005). Dissatisfied democrats or retrospective voters?: Economic hardship, political institutions, and voting behavior in latin america.</w:t>
      </w:r>
      <w:r>
        <w:t xml:space="preserve"> </w:t>
      </w:r>
      <w:r>
        <w:rPr>
          <w:iCs/>
          <w:i/>
        </w:rPr>
        <w:t xml:space="preserve">Comparative Political Studies</w:t>
      </w:r>
      <w:r>
        <w:t xml:space="preserve">,</w:t>
      </w:r>
      <w:r>
        <w:t xml:space="preserve"> </w:t>
      </w:r>
      <w:r>
        <w:rPr>
          <w:iCs/>
          <w:i/>
        </w:rPr>
        <w:t xml:space="preserve">38</w:t>
      </w:r>
      <w:r>
        <w:t xml:space="preserve">(4), 417–442.</w:t>
      </w:r>
      <w:r>
        <w:t xml:space="preserve"> </w:t>
      </w:r>
      <w:hyperlink r:id="rId62">
        <w:r>
          <w:rPr>
            <w:rStyle w:val="Hyperlink"/>
          </w:rPr>
          <w:t xml:space="preserve">https://doi.org/10.1177/0010414004273856</w:t>
        </w:r>
      </w:hyperlink>
    </w:p>
    <w:bookmarkEnd w:id="63"/>
    <w:bookmarkStart w:id="65" w:name="Xfd080ac9663eb2d055c9be821d8ec761017a926"/>
    <w:p>
      <w:pPr>
        <w:pStyle w:val="Bibliography"/>
      </w:pPr>
      <w:r>
        <w:t xml:space="preserve">Berlemann, M., &amp; Enkelmann, S. (2014). The economic determinants of</w:t>
      </w:r>
      <w:r>
        <w:t xml:space="preserve"> </w:t>
      </w:r>
      <w:r>
        <w:t xml:space="preserve">U</w:t>
      </w:r>
      <w:r>
        <w:t xml:space="preserve">.</w:t>
      </w:r>
      <w:r>
        <w:t xml:space="preserve">S</w:t>
      </w:r>
      <w:r>
        <w:t xml:space="preserve">. Presidential approval: A survey.</w:t>
      </w:r>
      <w:r>
        <w:t xml:space="preserve"> </w:t>
      </w:r>
      <w:r>
        <w:rPr>
          <w:iCs/>
          <w:i/>
        </w:rPr>
        <w:t xml:space="preserve">European Journal of Political Economy</w:t>
      </w:r>
      <w:r>
        <w:t xml:space="preserve">,</w:t>
      </w:r>
      <w:r>
        <w:t xml:space="preserve"> </w:t>
      </w:r>
      <w:r>
        <w:rPr>
          <w:iCs/>
          <w:i/>
        </w:rPr>
        <w:t xml:space="preserve">36</w:t>
      </w:r>
      <w:r>
        <w:t xml:space="preserve">, 41–54.</w:t>
      </w:r>
      <w:r>
        <w:t xml:space="preserve"> </w:t>
      </w:r>
      <w:hyperlink r:id="rId64">
        <w:r>
          <w:rPr>
            <w:rStyle w:val="Hyperlink"/>
          </w:rPr>
          <w:t xml:space="preserve">https://doi.org/10.1016/j.ejpoleco.2014.06.005</w:t>
        </w:r>
      </w:hyperlink>
    </w:p>
    <w:bookmarkEnd w:id="65"/>
    <w:bookmarkStart w:id="66" w:name="ref-besleyPrincipledagentspolitical2006"/>
    <w:p>
      <w:pPr>
        <w:pStyle w:val="Bibliography"/>
      </w:pPr>
      <w:r>
        <w:t xml:space="preserve">Besley, T. (2006).</w:t>
      </w:r>
      <w:r>
        <w:t xml:space="preserve"> </w:t>
      </w:r>
      <w:r>
        <w:rPr>
          <w:iCs/>
          <w:i/>
        </w:rPr>
        <w:t xml:space="preserve">Principled agents?: The political economy of good government</w:t>
      </w:r>
      <w:r>
        <w:t xml:space="preserve"> </w:t>
      </w:r>
      <w:r>
        <w:t xml:space="preserve">(1st ed.). Oxford University Press.</w:t>
      </w:r>
    </w:p>
    <w:bookmarkEnd w:id="66"/>
    <w:bookmarkStart w:id="68" w:name="ref-bowerMoodmemory1981"/>
    <w:p>
      <w:pPr>
        <w:pStyle w:val="Bibliography"/>
      </w:pPr>
      <w:r>
        <w:t xml:space="preserve">Bower, G. H. (1981). Mood and memory.</w:t>
      </w:r>
      <w:r>
        <w:t xml:space="preserve"> </w:t>
      </w:r>
      <w:r>
        <w:rPr>
          <w:iCs/>
          <w:i/>
        </w:rPr>
        <w:t xml:space="preserve">American Psychologist</w:t>
      </w:r>
      <w:r>
        <w:t xml:space="preserve">,</w:t>
      </w:r>
      <w:r>
        <w:t xml:space="preserve"> </w:t>
      </w:r>
      <w:r>
        <w:rPr>
          <w:iCs/>
          <w:i/>
        </w:rPr>
        <w:t xml:space="preserve">36</w:t>
      </w:r>
      <w:r>
        <w:t xml:space="preserve">(2), 129–148.</w:t>
      </w:r>
      <w:r>
        <w:t xml:space="preserve"> </w:t>
      </w:r>
      <w:hyperlink r:id="rId67">
        <w:r>
          <w:rPr>
            <w:rStyle w:val="Hyperlink"/>
          </w:rPr>
          <w:t xml:space="preserve">https://doi.org/10.1037/0003-066X.36.2.129</w:t>
        </w:r>
      </w:hyperlink>
    </w:p>
    <w:bookmarkEnd w:id="68"/>
    <w:bookmarkStart w:id="70" w:name="ref-broockmancausaleffectselite2017"/>
    <w:p>
      <w:pPr>
        <w:pStyle w:val="Bibliography"/>
      </w:pPr>
      <w:r>
        <w:t xml:space="preserve">Broockman, D. E., &amp; Butler, D. M. (2017). The causal effects of elite position-taking on voter attitudes: Field experiments with elite communication.</w:t>
      </w:r>
      <w:r>
        <w:t xml:space="preserve"> </w:t>
      </w:r>
      <w:r>
        <w:rPr>
          <w:iCs/>
          <w:i/>
        </w:rPr>
        <w:t xml:space="preserve">American Journal of Political Science</w:t>
      </w:r>
      <w:r>
        <w:t xml:space="preserve">,</w:t>
      </w:r>
      <w:r>
        <w:t xml:space="preserve"> </w:t>
      </w:r>
      <w:r>
        <w:rPr>
          <w:iCs/>
          <w:i/>
        </w:rPr>
        <w:t xml:space="preserve">61</w:t>
      </w:r>
      <w:r>
        <w:t xml:space="preserve">(1), 208–221.</w:t>
      </w:r>
      <w:r>
        <w:t xml:space="preserve"> </w:t>
      </w:r>
      <w:hyperlink r:id="rId69">
        <w:r>
          <w:rPr>
            <w:rStyle w:val="Hyperlink"/>
          </w:rPr>
          <w:t xml:space="preserve">https://doi.org/10.1111/ajps.12243</w:t>
        </w:r>
      </w:hyperlink>
    </w:p>
    <w:bookmarkEnd w:id="70"/>
    <w:bookmarkStart w:id="72" w:name="ref-cerdaEconomicgrowthpolitical2023"/>
    <w:p>
      <w:pPr>
        <w:pStyle w:val="Bibliography"/>
      </w:pPr>
      <w:r>
        <w:t xml:space="preserve">Cerda, R., &amp; Vergara, R. (2023). Economic growth and political approval ratings: Evidence from</w:t>
      </w:r>
      <w:r>
        <w:t xml:space="preserve"> </w:t>
      </w:r>
      <w:r>
        <w:t xml:space="preserve">Latin America</w:t>
      </w:r>
      <w:r>
        <w:t xml:space="preserve">.</w:t>
      </w:r>
      <w:r>
        <w:t xml:space="preserve"> </w:t>
      </w:r>
      <w:r>
        <w:rPr>
          <w:iCs/>
          <w:i/>
        </w:rPr>
        <w:t xml:space="preserve">Political Behavior</w:t>
      </w:r>
      <w:r>
        <w:t xml:space="preserve">,</w:t>
      </w:r>
      <w:r>
        <w:t xml:space="preserve"> </w:t>
      </w:r>
      <w:r>
        <w:rPr>
          <w:iCs/>
          <w:i/>
        </w:rPr>
        <w:t xml:space="preserve">45</w:t>
      </w:r>
      <w:r>
        <w:t xml:space="preserve">(4), 1735–1758.</w:t>
      </w:r>
      <w:r>
        <w:t xml:space="preserve"> </w:t>
      </w:r>
      <w:hyperlink r:id="rId71">
        <w:r>
          <w:rPr>
            <w:rStyle w:val="Hyperlink"/>
          </w:rPr>
          <w:t xml:space="preserve">https://doi.org/10.1007/s11109-022-09798-y</w:t>
        </w:r>
      </w:hyperlink>
    </w:p>
    <w:bookmarkEnd w:id="72"/>
    <w:bookmarkStart w:id="73" w:name="ref-crespoCausespermanencecorruption2017"/>
    <w:p>
      <w:pPr>
        <w:pStyle w:val="Bibliography"/>
      </w:pPr>
      <w:r>
        <w:t xml:space="preserve">Crespo, E. (2017). Causes and permanence of corruption, the role of trust, and social dilemmas:</w:t>
      </w:r>
      <w:r>
        <w:t xml:space="preserve"> </w:t>
      </w:r>
      <w:r>
        <w:t xml:space="preserve">The</w:t>
      </w:r>
      <w:r>
        <w:t xml:space="preserve"> </w:t>
      </w:r>
      <w:r>
        <w:t xml:space="preserve">case of</w:t>
      </w:r>
      <w:r>
        <w:t xml:space="preserve"> </w:t>
      </w:r>
      <w:r>
        <w:t xml:space="preserve">Ecuador</w:t>
      </w:r>
      <w:r>
        <w:t xml:space="preserve">.</w:t>
      </w:r>
      <w:r>
        <w:t xml:space="preserve"> </w:t>
      </w:r>
      <w:r>
        <w:rPr>
          <w:iCs/>
          <w:i/>
        </w:rPr>
        <w:t xml:space="preserve">Revista de Ciencia Política y Gobierno</w:t>
      </w:r>
      <w:r>
        <w:t xml:space="preserve">,</w:t>
      </w:r>
      <w:r>
        <w:t xml:space="preserve"> </w:t>
      </w:r>
      <w:r>
        <w:rPr>
          <w:iCs/>
          <w:i/>
        </w:rPr>
        <w:t xml:space="preserve">4</w:t>
      </w:r>
      <w:r>
        <w:t xml:space="preserve">(8), 13–45.</w:t>
      </w:r>
    </w:p>
    <w:bookmarkEnd w:id="73"/>
    <w:bookmarkStart w:id="75" w:name="ref-dellereffectweathersubjective2022"/>
    <w:p>
      <w:pPr>
        <w:pStyle w:val="Bibliography"/>
      </w:pPr>
      <w:r>
        <w:t xml:space="preserve">Deller, C., &amp; Michels, J. (2022, June 20).</w:t>
      </w:r>
      <w:r>
        <w:t xml:space="preserve"> </w:t>
      </w:r>
      <w:r>
        <w:rPr>
          <w:iCs/>
          <w:i/>
        </w:rPr>
        <w:t xml:space="preserve">The effect of weather on subjective performance evaluation</w:t>
      </w:r>
      <w:r>
        <w:t xml:space="preserve"> </w:t>
      </w:r>
      <w:r>
        <w:t xml:space="preserve">(SSRN Scholarly Paper 3780405).</w:t>
      </w:r>
      <w:r>
        <w:t xml:space="preserve"> </w:t>
      </w:r>
      <w:hyperlink r:id="rId74">
        <w:r>
          <w:rPr>
            <w:rStyle w:val="Hyperlink"/>
          </w:rPr>
          <w:t xml:space="preserve">https://doi.org/10.2139/ssrn.3780405</w:t>
        </w:r>
      </w:hyperlink>
    </w:p>
    <w:bookmarkEnd w:id="75"/>
    <w:bookmarkStart w:id="77" w:name="ref-donovanMotivatedreasoningpublic2020"/>
    <w:p>
      <w:pPr>
        <w:pStyle w:val="Bibliography"/>
      </w:pPr>
      <w:r>
        <w:t xml:space="preserve">Donovan, K., Kellstedt, P. M., Key, E. M., &amp; Lebo, M. J. (2020). Motivated reasoning, public opinion, and presidential approval.</w:t>
      </w:r>
      <w:r>
        <w:t xml:space="preserve"> </w:t>
      </w:r>
      <w:r>
        <w:rPr>
          <w:iCs/>
          <w:i/>
        </w:rPr>
        <w:t xml:space="preserve">Political Behavior</w:t>
      </w:r>
      <w:r>
        <w:t xml:space="preserve">,</w:t>
      </w:r>
      <w:r>
        <w:t xml:space="preserve"> </w:t>
      </w:r>
      <w:r>
        <w:rPr>
          <w:iCs/>
          <w:i/>
        </w:rPr>
        <w:t xml:space="preserve">42</w:t>
      </w:r>
      <w:r>
        <w:t xml:space="preserve">(4), 1201–1221.</w:t>
      </w:r>
      <w:r>
        <w:t xml:space="preserve"> </w:t>
      </w:r>
      <w:hyperlink r:id="rId76">
        <w:r>
          <w:rPr>
            <w:rStyle w:val="Hyperlink"/>
          </w:rPr>
          <w:t xml:space="preserve">https://doi.org/10.1007/s11109-019-09539-8</w:t>
        </w:r>
      </w:hyperlink>
    </w:p>
    <w:bookmarkEnd w:id="77"/>
    <w:bookmarkStart w:id="78" w:name="ref-downseconomictheorydemocracy1957"/>
    <w:p>
      <w:pPr>
        <w:pStyle w:val="Bibliography"/>
      </w:pPr>
      <w:r>
        <w:t xml:space="preserve">Downs, A. (1957).</w:t>
      </w:r>
      <w:r>
        <w:t xml:space="preserve"> </w:t>
      </w:r>
      <w:r>
        <w:rPr>
          <w:iCs/>
          <w:i/>
        </w:rPr>
        <w:t xml:space="preserve">An economic theory of democracy</w:t>
      </w:r>
      <w:r>
        <w:t xml:space="preserve"> </w:t>
      </w:r>
      <w:r>
        <w:t xml:space="preserve">(First Edition).</w:t>
      </w:r>
      <w:r>
        <w:t xml:space="preserve"> </w:t>
      </w:r>
      <w:r>
        <w:t xml:space="preserve">Harper and Row</w:t>
      </w:r>
      <w:r>
        <w:t xml:space="preserve">.</w:t>
      </w:r>
    </w:p>
    <w:bookmarkEnd w:id="78"/>
    <w:bookmarkStart w:id="79" w:name="X96a8bf6df1d3e261891bf883020ff503b96fab4"/>
    <w:p>
      <w:pPr>
        <w:pStyle w:val="Bibliography"/>
      </w:pPr>
      <w:r>
        <w:t xml:space="preserve">Ferejohn, J. (1986). Incumbent performance and electoral control.</w:t>
      </w:r>
      <w:r>
        <w:t xml:space="preserve"> </w:t>
      </w:r>
      <w:r>
        <w:rPr>
          <w:iCs/>
          <w:i/>
        </w:rPr>
        <w:t xml:space="preserve">Public Choice</w:t>
      </w:r>
      <w:r>
        <w:t xml:space="preserve">, 5–25.</w:t>
      </w:r>
    </w:p>
    <w:bookmarkEnd w:id="79"/>
    <w:bookmarkStart w:id="81" w:name="ref-hartQualitycontrolexperiments2023"/>
    <w:p>
      <w:pPr>
        <w:pStyle w:val="Bibliography"/>
      </w:pPr>
      <w:r>
        <w:t xml:space="preserve">Hart, A. R., &amp; Matthews, J. S. (2023).</w:t>
      </w:r>
      <w:r>
        <w:t xml:space="preserve"> </w:t>
      </w:r>
      <w:r>
        <w:rPr>
          <w:iCs/>
          <w:i/>
        </w:rPr>
        <w:t xml:space="preserve">Quality control: Experiments on the microfoundations of retrospective voting</w:t>
      </w:r>
      <w:r>
        <w:t xml:space="preserve">. Cambridge University Press.</w:t>
      </w:r>
      <w:r>
        <w:t xml:space="preserve"> </w:t>
      </w:r>
      <w:hyperlink r:id="rId80">
        <w:r>
          <w:rPr>
            <w:rStyle w:val="Hyperlink"/>
          </w:rPr>
          <w:t xml:space="preserve">https://www.cambridge.org/core/elements/quality-control/8D48763B8D1EEC440BA728B3456F51D1</w:t>
        </w:r>
      </w:hyperlink>
    </w:p>
    <w:bookmarkEnd w:id="81"/>
    <w:bookmarkStart w:id="83" w:name="ref-healyIrrelevanteventsaffect2010"/>
    <w:p>
      <w:pPr>
        <w:pStyle w:val="Bibliography"/>
      </w:pPr>
      <w:r>
        <w:t xml:space="preserve">Healy, A. J., Malhotra, N., Mo, C. H., &amp; Laitin, D. (2010). Irrelevant events affect voters’ evaluations of government performance.</w:t>
      </w:r>
      <w:r>
        <w:t xml:space="preserve"> </w:t>
      </w:r>
      <w:r>
        <w:rPr>
          <w:iCs/>
          <w:i/>
        </w:rPr>
        <w:t xml:space="preserve">Proceedings of the National Academy of Sciences of the United States of America</w:t>
      </w:r>
      <w:r>
        <w:t xml:space="preserve">,</w:t>
      </w:r>
      <w:r>
        <w:t xml:space="preserve"> </w:t>
      </w:r>
      <w:r>
        <w:rPr>
          <w:iCs/>
          <w:i/>
        </w:rPr>
        <w:t xml:space="preserve">107</w:t>
      </w:r>
      <w:r>
        <w:t xml:space="preserve">(29), 12804–12809.</w:t>
      </w:r>
      <w:r>
        <w:t xml:space="preserve"> </w:t>
      </w:r>
      <w:hyperlink r:id="rId82">
        <w:r>
          <w:rPr>
            <w:rStyle w:val="Hyperlink"/>
          </w:rPr>
          <w:t xml:space="preserve">https://www.jstor.org/stable/25708619</w:t>
        </w:r>
      </w:hyperlink>
    </w:p>
    <w:bookmarkEnd w:id="83"/>
    <w:bookmarkStart w:id="85" w:name="ref-healySubstitutingendwhole2014"/>
    <w:p>
      <w:pPr>
        <w:pStyle w:val="Bibliography"/>
      </w:pPr>
      <w:r>
        <w:t xml:space="preserve">Healy, A., &amp; Lenz, G. S. (2014). Substituting the end for the whole: Why voters respond primarily to the election-year economy.</w:t>
      </w:r>
      <w:r>
        <w:t xml:space="preserve"> </w:t>
      </w:r>
      <w:r>
        <w:rPr>
          <w:iCs/>
          <w:i/>
        </w:rPr>
        <w:t xml:space="preserve">American Journal of Political Science</w:t>
      </w:r>
      <w:r>
        <w:t xml:space="preserve">,</w:t>
      </w:r>
      <w:r>
        <w:t xml:space="preserve"> </w:t>
      </w:r>
      <w:r>
        <w:rPr>
          <w:iCs/>
          <w:i/>
        </w:rPr>
        <w:t xml:space="preserve">58</w:t>
      </w:r>
      <w:r>
        <w:t xml:space="preserve">(1), 31–47.</w:t>
      </w:r>
      <w:r>
        <w:t xml:space="preserve"> </w:t>
      </w:r>
      <w:hyperlink r:id="rId84">
        <w:r>
          <w:rPr>
            <w:rStyle w:val="Hyperlink"/>
          </w:rPr>
          <w:t xml:space="preserve">https://doi.org/10.1111/ajps.12053</w:t>
        </w:r>
      </w:hyperlink>
    </w:p>
    <w:bookmarkEnd w:id="85"/>
    <w:bookmarkStart w:id="87" w:name="ref-healyMyopicvotersnatural2009"/>
    <w:p>
      <w:pPr>
        <w:pStyle w:val="Bibliography"/>
      </w:pPr>
      <w:r>
        <w:t xml:space="preserve">Healy, A., &amp; Malhotra, N. (2009). Myopic voters and natural disaster policy.</w:t>
      </w:r>
      <w:r>
        <w:t xml:space="preserve"> </w:t>
      </w:r>
      <w:r>
        <w:rPr>
          <w:iCs/>
          <w:i/>
        </w:rPr>
        <w:t xml:space="preserve">American Political Science Review</w:t>
      </w:r>
      <w:r>
        <w:t xml:space="preserve">,</w:t>
      </w:r>
      <w:r>
        <w:t xml:space="preserve"> </w:t>
      </w:r>
      <w:r>
        <w:rPr>
          <w:iCs/>
          <w:i/>
        </w:rPr>
        <w:t xml:space="preserve">103</w:t>
      </w:r>
      <w:r>
        <w:t xml:space="preserve">(3), 387–406.</w:t>
      </w:r>
      <w:r>
        <w:t xml:space="preserve"> </w:t>
      </w:r>
      <w:hyperlink r:id="rId86">
        <w:r>
          <w:rPr>
            <w:rStyle w:val="Hyperlink"/>
          </w:rPr>
          <w:t xml:space="preserve">https://doi.org/10.1017/S0003055409990104</w:t>
        </w:r>
      </w:hyperlink>
    </w:p>
    <w:bookmarkEnd w:id="87"/>
    <w:bookmarkStart w:id="89" w:name="ref-healyRandomeventseconomic2010"/>
    <w:p>
      <w:pPr>
        <w:pStyle w:val="Bibliography"/>
      </w:pPr>
      <w:r>
        <w:t xml:space="preserve">Healy, A., &amp; Malhotra, N. (2010). Random events, economic losses, and retrospective voting: Implications for democratic competence.</w:t>
      </w:r>
      <w:r>
        <w:t xml:space="preserve"> </w:t>
      </w:r>
      <w:r>
        <w:rPr>
          <w:iCs/>
          <w:i/>
        </w:rPr>
        <w:t xml:space="preserve">Quarterly Journal of Political Science</w:t>
      </w:r>
      <w:r>
        <w:t xml:space="preserve">,</w:t>
      </w:r>
      <w:r>
        <w:t xml:space="preserve"> </w:t>
      </w:r>
      <w:r>
        <w:rPr>
          <w:iCs/>
          <w:i/>
        </w:rPr>
        <w:t xml:space="preserve">5</w:t>
      </w:r>
      <w:r>
        <w:t xml:space="preserve">(2), 193–208.</w:t>
      </w:r>
      <w:r>
        <w:t xml:space="preserve"> </w:t>
      </w:r>
      <w:hyperlink r:id="rId88">
        <w:r>
          <w:rPr>
            <w:rStyle w:val="Hyperlink"/>
          </w:rPr>
          <w:t xml:space="preserve">https://doi.org/10.1561/100.00009057</w:t>
        </w:r>
      </w:hyperlink>
    </w:p>
    <w:bookmarkEnd w:id="89"/>
    <w:bookmarkStart w:id="91" w:name="Xfa8e123f35740651f7b1f09f14d433692505f9a"/>
    <w:p>
      <w:pPr>
        <w:pStyle w:val="Bibliography"/>
      </w:pPr>
      <w:r>
        <w:t xml:space="preserve">Healy, A., &amp; Malhotra, N. (2013). Retrospective voting reconsidered.</w:t>
      </w:r>
      <w:r>
        <w:t xml:space="preserve"> </w:t>
      </w:r>
      <w:r>
        <w:rPr>
          <w:iCs/>
          <w:i/>
        </w:rPr>
        <w:t xml:space="preserve">Annual Review of Political Science</w:t>
      </w:r>
      <w:r>
        <w:t xml:space="preserve">,</w:t>
      </w:r>
      <w:r>
        <w:t xml:space="preserve"> </w:t>
      </w:r>
      <w:r>
        <w:rPr>
          <w:iCs/>
          <w:i/>
        </w:rPr>
        <w:t xml:space="preserve">16</w:t>
      </w:r>
      <w:r>
        <w:t xml:space="preserve">(1), 285–306.</w:t>
      </w:r>
      <w:r>
        <w:t xml:space="preserve"> </w:t>
      </w:r>
      <w:hyperlink r:id="rId90">
        <w:r>
          <w:rPr>
            <w:rStyle w:val="Hyperlink"/>
          </w:rPr>
          <w:t xml:space="preserve">https://doi.org/10.1146/annurev-polisci-032211-212920</w:t>
        </w:r>
      </w:hyperlink>
    </w:p>
    <w:bookmarkEnd w:id="91"/>
    <w:bookmarkStart w:id="93" w:name="ref-INECGeoportal"/>
    <w:p>
      <w:pPr>
        <w:pStyle w:val="Bibliography"/>
      </w:pPr>
      <w:r>
        <w:t xml:space="preserve">Instituto Nacional de Estadística y Censos. (n.d.).</w:t>
      </w:r>
      <w:r>
        <w:t xml:space="preserve"> </w:t>
      </w:r>
      <w:r>
        <w:rPr>
          <w:iCs/>
          <w:i/>
        </w:rPr>
        <w:t xml:space="preserve">Clasificador</w:t>
      </w:r>
      <w:r>
        <w:rPr>
          <w:iCs/>
          <w:i/>
        </w:rPr>
        <w:t xml:space="preserve"> </w:t>
      </w:r>
      <w:r>
        <w:rPr>
          <w:iCs/>
          <w:i/>
        </w:rPr>
        <w:t xml:space="preserve">Geográfico Estadístico</w:t>
      </w:r>
      <w:r>
        <w:t xml:space="preserve"> </w:t>
      </w:r>
      <w:r>
        <w:t xml:space="preserve">[Map shapefiles with data dictionaries]. Geoportal INEC. Retrieved January 23, 2024, from</w:t>
      </w:r>
      <w:r>
        <w:t xml:space="preserve"> </w:t>
      </w:r>
      <w:hyperlink r:id="rId92">
        <w:r>
          <w:rPr>
            <w:rStyle w:val="Hyperlink"/>
          </w:rPr>
          <w:t xml:space="preserve">https://www.ecuadorencifras.gob.ec/documentos/web-inec/Geografia_Estadistica/Micrositio_geoportal/index.html#clasificador-geog-dpa</w:t>
        </w:r>
      </w:hyperlink>
    </w:p>
    <w:bookmarkEnd w:id="93"/>
    <w:bookmarkStart w:id="95" w:name="X1f1ef17d72dac693f96624461f91328943cd3ce"/>
    <w:p>
      <w:pPr>
        <w:pStyle w:val="Bibliography"/>
      </w:pPr>
      <w:r>
        <w:t xml:space="preserve">Jung, J. W., &amp; Oh, J. (2020). Determinants of presidential approval ratings: Cross-country analyses with reference to</w:t>
      </w:r>
      <w:r>
        <w:t xml:space="preserve"> </w:t>
      </w:r>
      <w:r>
        <w:t xml:space="preserve">Latin America</w:t>
      </w:r>
      <w:r>
        <w:t xml:space="preserve">.</w:t>
      </w:r>
      <w:r>
        <w:t xml:space="preserve"> </w:t>
      </w:r>
      <w:r>
        <w:rPr>
          <w:iCs/>
          <w:i/>
        </w:rPr>
        <w:t xml:space="preserve">International Area Studies Review</w:t>
      </w:r>
      <w:r>
        <w:t xml:space="preserve">,</w:t>
      </w:r>
      <w:r>
        <w:t xml:space="preserve"> </w:t>
      </w:r>
      <w:r>
        <w:rPr>
          <w:iCs/>
          <w:i/>
        </w:rPr>
        <w:t xml:space="preserve">23</w:t>
      </w:r>
      <w:r>
        <w:t xml:space="preserve">(3), 251–267.</w:t>
      </w:r>
      <w:r>
        <w:t xml:space="preserve"> </w:t>
      </w:r>
      <w:hyperlink r:id="rId94">
        <w:r>
          <w:rPr>
            <w:rStyle w:val="Hyperlink"/>
          </w:rPr>
          <w:t xml:space="preserve">https://doi.org/10.1177/2233865919888373</w:t>
        </w:r>
      </w:hyperlink>
    </w:p>
    <w:bookmarkEnd w:id="95"/>
    <w:bookmarkStart w:id="96" w:name="X281428e472abe27fd62be6b5178806c7ab6390f"/>
    <w:p>
      <w:pPr>
        <w:pStyle w:val="Bibliography"/>
      </w:pPr>
      <w:r>
        <w:t xml:space="preserve">Kahneman, D., &amp; Tversky, A. (1982). On the study of statistical intuitions.</w:t>
      </w:r>
      <w:r>
        <w:t xml:space="preserve"> </w:t>
      </w:r>
      <w:r>
        <w:rPr>
          <w:iCs/>
          <w:i/>
        </w:rPr>
        <w:t xml:space="preserve">Cognition</w:t>
      </w:r>
      <w:r>
        <w:t xml:space="preserve">,</w:t>
      </w:r>
      <w:r>
        <w:t xml:space="preserve"> </w:t>
      </w:r>
      <w:r>
        <w:rPr>
          <w:iCs/>
          <w:i/>
        </w:rPr>
        <w:t xml:space="preserve">11</w:t>
      </w:r>
      <w:r>
        <w:t xml:space="preserve">(2), 123–141.</w:t>
      </w:r>
    </w:p>
    <w:bookmarkEnd w:id="96"/>
    <w:bookmarkStart w:id="98" w:name="ref-kampfersunnysidelife2013"/>
    <w:p>
      <w:pPr>
        <w:pStyle w:val="Bibliography"/>
      </w:pPr>
      <w:r>
        <w:t xml:space="preserve">Kämpfer, S., &amp; Mutz, M. (2013). On the sunny side of life: Sunshine effects on life satisfaction.</w:t>
      </w:r>
      <w:r>
        <w:t xml:space="preserve"> </w:t>
      </w:r>
      <w:r>
        <w:rPr>
          <w:iCs/>
          <w:i/>
        </w:rPr>
        <w:t xml:space="preserve">Social Indicators Research</w:t>
      </w:r>
      <w:r>
        <w:t xml:space="preserve">,</w:t>
      </w:r>
      <w:r>
        <w:t xml:space="preserve"> </w:t>
      </w:r>
      <w:r>
        <w:rPr>
          <w:iCs/>
          <w:i/>
        </w:rPr>
        <w:t xml:space="preserve">110</w:t>
      </w:r>
      <w:r>
        <w:t xml:space="preserve">(2), 579–595.</w:t>
      </w:r>
      <w:r>
        <w:t xml:space="preserve"> </w:t>
      </w:r>
      <w:hyperlink r:id="rId97">
        <w:r>
          <w:rPr>
            <w:rStyle w:val="Hyperlink"/>
          </w:rPr>
          <w:t xml:space="preserve">https://www.jstor.org/stable/24718723</w:t>
        </w:r>
      </w:hyperlink>
    </w:p>
    <w:bookmarkEnd w:id="98"/>
    <w:bookmarkStart w:id="100" w:name="ref-kellerwarmheartclear2005"/>
    <w:p>
      <w:pPr>
        <w:pStyle w:val="Bibliography"/>
      </w:pPr>
      <w:r>
        <w:t xml:space="preserve">Keller, M. C., Fredrickson, B. L., Ybarra, O., Côté, S., Johnson, K., Mikels, J., Conway, A., &amp; Wager, T. (2005). A warm heart and a clear head: The contingent effects of weather on mood and cognition.</w:t>
      </w:r>
      <w:r>
        <w:t xml:space="preserve"> </w:t>
      </w:r>
      <w:r>
        <w:rPr>
          <w:iCs/>
          <w:i/>
        </w:rPr>
        <w:t xml:space="preserve">Psychological Science</w:t>
      </w:r>
      <w:r>
        <w:t xml:space="preserve">,</w:t>
      </w:r>
      <w:r>
        <w:t xml:space="preserve"> </w:t>
      </w:r>
      <w:r>
        <w:rPr>
          <w:iCs/>
          <w:i/>
        </w:rPr>
        <w:t xml:space="preserve">16</w:t>
      </w:r>
      <w:r>
        <w:t xml:space="preserve">(9), 724–731.</w:t>
      </w:r>
      <w:r>
        <w:t xml:space="preserve"> </w:t>
      </w:r>
      <w:hyperlink r:id="rId99">
        <w:r>
          <w:rPr>
            <w:rStyle w:val="Hyperlink"/>
          </w:rPr>
          <w:t xml:space="preserve">https://doi.org/10.1111/j.1467-9280.2005.01602.x</w:t>
        </w:r>
      </w:hyperlink>
    </w:p>
    <w:bookmarkEnd w:id="100"/>
    <w:bookmarkStart w:id="101" w:name="ref-responsibleElectorate"/>
    <w:p>
      <w:pPr>
        <w:pStyle w:val="Bibliography"/>
      </w:pPr>
      <w:r>
        <w:t xml:space="preserve">Key, V. O. (1960).</w:t>
      </w:r>
      <w:r>
        <w:t xml:space="preserve"> </w:t>
      </w:r>
      <w:r>
        <w:rPr>
          <w:iCs/>
          <w:i/>
        </w:rPr>
        <w:t xml:space="preserve">The responsible electorate: Rationality in presidential voting 1936–1960</w:t>
      </w:r>
      <w:r>
        <w:t xml:space="preserve">. Harvard University Press.</w:t>
      </w:r>
    </w:p>
    <w:bookmarkEnd w:id="101"/>
    <w:bookmarkStart w:id="103" w:name="Xa123a3e8d0881babeddc73f19f456953c1a00ea"/>
    <w:p>
      <w:pPr>
        <w:pStyle w:val="Bibliography"/>
      </w:pPr>
      <w:r>
        <w:t xml:space="preserve">Kiewiet, D. R., &amp; Rivers, D. (1984). A retrospective on retrospective voting.</w:t>
      </w:r>
      <w:r>
        <w:t xml:space="preserve"> </w:t>
      </w:r>
      <w:r>
        <w:rPr>
          <w:iCs/>
          <w:i/>
        </w:rPr>
        <w:t xml:space="preserve">Political Behavior</w:t>
      </w:r>
      <w:r>
        <w:t xml:space="preserve">,</w:t>
      </w:r>
      <w:r>
        <w:t xml:space="preserve"> </w:t>
      </w:r>
      <w:r>
        <w:rPr>
          <w:iCs/>
          <w:i/>
        </w:rPr>
        <w:t xml:space="preserve">6</w:t>
      </w:r>
      <w:r>
        <w:t xml:space="preserve">(4), 369–393.</w:t>
      </w:r>
      <w:r>
        <w:t xml:space="preserve"> </w:t>
      </w:r>
      <w:hyperlink r:id="rId102">
        <w:r>
          <w:rPr>
            <w:rStyle w:val="Hyperlink"/>
          </w:rPr>
          <w:t xml:space="preserve">https://www.jstor.org/stable/586342</w:t>
        </w:r>
      </w:hyperlink>
    </w:p>
    <w:bookmarkEnd w:id="103"/>
    <w:bookmarkStart w:id="104" w:name="ref-kramerShorttermfluctuationsUS1971"/>
    <w:p>
      <w:pPr>
        <w:pStyle w:val="Bibliography"/>
      </w:pPr>
      <w:r>
        <w:t xml:space="preserve">Kramer, G. H. (1971). Short-term fluctuations in</w:t>
      </w:r>
      <w:r>
        <w:t xml:space="preserve"> </w:t>
      </w:r>
      <w:r>
        <w:t xml:space="preserve">US</w:t>
      </w:r>
      <w:r>
        <w:t xml:space="preserve"> </w:t>
      </w:r>
      <w:r>
        <w:t xml:space="preserve">voting behavior, 1896–1964.</w:t>
      </w:r>
      <w:r>
        <w:t xml:space="preserve"> </w:t>
      </w:r>
      <w:r>
        <w:rPr>
          <w:iCs/>
          <w:i/>
        </w:rPr>
        <w:t xml:space="preserve">American Political Science Review</w:t>
      </w:r>
      <w:r>
        <w:t xml:space="preserve">,</w:t>
      </w:r>
      <w:r>
        <w:t xml:space="preserve"> </w:t>
      </w:r>
      <w:r>
        <w:rPr>
          <w:iCs/>
          <w:i/>
        </w:rPr>
        <w:t xml:space="preserve">65</w:t>
      </w:r>
      <w:r>
        <w:t xml:space="preserve">(1), 131–143.</w:t>
      </w:r>
    </w:p>
    <w:bookmarkEnd w:id="104"/>
    <w:bookmarkStart w:id="106" w:name="ref-ABEcuadorMerged"/>
    <w:p>
      <w:pPr>
        <w:pStyle w:val="Bibliography"/>
      </w:pPr>
      <w:r>
        <w:t xml:space="preserve">LAPOP. (n.d.-a).</w:t>
      </w:r>
      <w:r>
        <w:t xml:space="preserve"> </w:t>
      </w:r>
      <w:r>
        <w:rPr>
          <w:iCs/>
          <w:i/>
        </w:rPr>
        <w:t xml:space="preserve">The</w:t>
      </w:r>
      <w:r>
        <w:rPr>
          <w:iCs/>
          <w:i/>
        </w:rPr>
        <w:t xml:space="preserve"> </w:t>
      </w:r>
      <w:r>
        <w:rPr>
          <w:iCs/>
          <w:i/>
        </w:rPr>
        <w:t xml:space="preserve">AmericasBarometer</w:t>
      </w:r>
      <w:r>
        <w:rPr>
          <w:iCs/>
          <w:i/>
        </w:rPr>
        <w:t xml:space="preserve"> </w:t>
      </w:r>
      <w:r>
        <w:rPr>
          <w:iCs/>
          <w:i/>
        </w:rPr>
        <w:t xml:space="preserve">by the</w:t>
      </w:r>
      <w:r>
        <w:rPr>
          <w:iCs/>
          <w:i/>
        </w:rPr>
        <w:t xml:space="preserve"> </w:t>
      </w:r>
      <w:r>
        <w:rPr>
          <w:iCs/>
          <w:i/>
        </w:rPr>
        <w:t xml:space="preserve">Latin American Public Opinion Project</w:t>
      </w:r>
      <w:r>
        <w:rPr>
          <w:iCs/>
          <w:i/>
        </w:rPr>
        <w:t xml:space="preserve"> </w:t>
      </w:r>
      <w:r>
        <w:rPr>
          <w:iCs/>
          <w:i/>
        </w:rPr>
        <w:t xml:space="preserve">(</w:t>
      </w:r>
      <w:r>
        <w:rPr>
          <w:iCs/>
          <w:i/>
        </w:rPr>
        <w:t xml:space="preserve">LAPOP</w:t>
      </w:r>
      <w:r>
        <w:rPr>
          <w:iCs/>
          <w:i/>
        </w:rPr>
        <w:t xml:space="preserve">)</w:t>
      </w:r>
      <w:r>
        <w:rPr>
          <w:iCs/>
          <w:i/>
        </w:rPr>
        <w:t xml:space="preserve"> </w:t>
      </w:r>
      <w:r>
        <w:rPr>
          <w:iCs/>
          <w:i/>
        </w:rPr>
        <w:t xml:space="preserve">Ecuador</w:t>
      </w:r>
      <w:r>
        <w:rPr>
          <w:iCs/>
          <w:i/>
        </w:rPr>
        <w:t xml:space="preserve"> </w:t>
      </w:r>
      <w:r>
        <w:rPr>
          <w:iCs/>
          <w:i/>
        </w:rPr>
        <w:t xml:space="preserve">2004 - 2023</w:t>
      </w:r>
      <w:r>
        <w:rPr>
          <w:iCs/>
          <w:i/>
        </w:rPr>
        <w:t xml:space="preserve"> </w:t>
      </w:r>
      <w:r>
        <w:rPr>
          <w:iCs/>
          <w:i/>
        </w:rPr>
        <w:t xml:space="preserve">Merged File</w:t>
      </w:r>
      <w:r>
        <w:t xml:space="preserve"> </w:t>
      </w:r>
      <w:r>
        <w:t xml:space="preserve">(Version v1.0) [Dataset with codebook]. Retrieved February 11, 2024, from</w:t>
      </w:r>
      <w:r>
        <w:t xml:space="preserve"> </w:t>
      </w:r>
      <w:hyperlink r:id="rId105">
        <w:r>
          <w:rPr>
            <w:rStyle w:val="Hyperlink"/>
          </w:rPr>
          <w:t xml:space="preserve">https://www.vanderbilt.edu/lapop/raw-data.php</w:t>
        </w:r>
      </w:hyperlink>
    </w:p>
    <w:bookmarkEnd w:id="106"/>
    <w:bookmarkStart w:id="107" w:name="ref-ABEcuador2010"/>
    <w:p>
      <w:pPr>
        <w:pStyle w:val="Bibliography"/>
      </w:pPr>
      <w:r>
        <w:t xml:space="preserve">LAPOP. (n.d.-b).</w:t>
      </w:r>
      <w:r>
        <w:t xml:space="preserve"> </w:t>
      </w:r>
      <w:r>
        <w:rPr>
          <w:iCs/>
          <w:i/>
        </w:rPr>
        <w:t xml:space="preserve">The</w:t>
      </w:r>
      <w:r>
        <w:rPr>
          <w:iCs/>
          <w:i/>
        </w:rPr>
        <w:t xml:space="preserve"> </w:t>
      </w:r>
      <w:r>
        <w:rPr>
          <w:iCs/>
          <w:i/>
        </w:rPr>
        <w:t xml:space="preserve">AmericasBarometer</w:t>
      </w:r>
      <w:r>
        <w:rPr>
          <w:iCs/>
          <w:i/>
        </w:rPr>
        <w:t xml:space="preserve"> </w:t>
      </w:r>
      <w:r>
        <w:rPr>
          <w:iCs/>
          <w:i/>
        </w:rPr>
        <w:t xml:space="preserve">by the</w:t>
      </w:r>
      <w:r>
        <w:rPr>
          <w:iCs/>
          <w:i/>
        </w:rPr>
        <w:t xml:space="preserve"> </w:t>
      </w:r>
      <w:r>
        <w:rPr>
          <w:iCs/>
          <w:i/>
        </w:rPr>
        <w:t xml:space="preserve">Latin American Public Opinion Project</w:t>
      </w:r>
      <w:r>
        <w:rPr>
          <w:iCs/>
          <w:i/>
        </w:rPr>
        <w:t xml:space="preserve"> </w:t>
      </w:r>
      <w:r>
        <w:rPr>
          <w:iCs/>
          <w:i/>
        </w:rPr>
        <w:t xml:space="preserve">(</w:t>
      </w:r>
      <w:r>
        <w:rPr>
          <w:iCs/>
          <w:i/>
        </w:rPr>
        <w:t xml:space="preserve">LAPOP</w:t>
      </w:r>
      <w:r>
        <w:rPr>
          <w:iCs/>
          <w:i/>
        </w:rPr>
        <w:t xml:space="preserve">)</w:t>
      </w:r>
      <w:r>
        <w:rPr>
          <w:iCs/>
          <w:i/>
        </w:rPr>
        <w:t xml:space="preserve"> </w:t>
      </w:r>
      <w:r>
        <w:rPr>
          <w:iCs/>
          <w:i/>
        </w:rPr>
        <w:t xml:space="preserve">Ecuador</w:t>
      </w:r>
      <w:r>
        <w:rPr>
          <w:iCs/>
          <w:i/>
        </w:rPr>
        <w:t xml:space="preserve"> </w:t>
      </w:r>
      <w:r>
        <w:rPr>
          <w:iCs/>
          <w:i/>
        </w:rPr>
        <w:t xml:space="preserve">2010 individual country file</w:t>
      </w:r>
      <w:r>
        <w:t xml:space="preserve"> </w:t>
      </w:r>
      <w:r>
        <w:t xml:space="preserve">(Version v3.0) [Dataset with codebook]. Retrieved February 11, 2024, from</w:t>
      </w:r>
      <w:r>
        <w:t xml:space="preserve"> </w:t>
      </w:r>
      <w:hyperlink r:id="rId105">
        <w:r>
          <w:rPr>
            <w:rStyle w:val="Hyperlink"/>
          </w:rPr>
          <w:t xml:space="preserve">https://www.vanderbilt.edu/lapop/raw-data.php</w:t>
        </w:r>
      </w:hyperlink>
    </w:p>
    <w:bookmarkEnd w:id="107"/>
    <w:bookmarkStart w:id="108" w:name="ref-ABEcuador2021"/>
    <w:p>
      <w:pPr>
        <w:pStyle w:val="Bibliography"/>
      </w:pPr>
      <w:r>
        <w:t xml:space="preserve">LAPOP. (n.d.-c).</w:t>
      </w:r>
      <w:r>
        <w:t xml:space="preserve"> </w:t>
      </w:r>
      <w:r>
        <w:rPr>
          <w:iCs/>
          <w:i/>
        </w:rPr>
        <w:t xml:space="preserve">The</w:t>
      </w:r>
      <w:r>
        <w:rPr>
          <w:iCs/>
          <w:i/>
        </w:rPr>
        <w:t xml:space="preserve"> </w:t>
      </w:r>
      <w:r>
        <w:rPr>
          <w:iCs/>
          <w:i/>
        </w:rPr>
        <w:t xml:space="preserve">AmericasBarometer</w:t>
      </w:r>
      <w:r>
        <w:rPr>
          <w:iCs/>
          <w:i/>
        </w:rPr>
        <w:t xml:space="preserve"> </w:t>
      </w:r>
      <w:r>
        <w:rPr>
          <w:iCs/>
          <w:i/>
        </w:rPr>
        <w:t xml:space="preserve">by the</w:t>
      </w:r>
      <w:r>
        <w:rPr>
          <w:iCs/>
          <w:i/>
        </w:rPr>
        <w:t xml:space="preserve"> </w:t>
      </w:r>
      <w:r>
        <w:rPr>
          <w:iCs/>
          <w:i/>
        </w:rPr>
        <w:t xml:space="preserve">Latin American Public Opinion Project</w:t>
      </w:r>
      <w:r>
        <w:rPr>
          <w:iCs/>
          <w:i/>
        </w:rPr>
        <w:t xml:space="preserve"> </w:t>
      </w:r>
      <w:r>
        <w:rPr>
          <w:iCs/>
          <w:i/>
        </w:rPr>
        <w:t xml:space="preserve">(</w:t>
      </w:r>
      <w:r>
        <w:rPr>
          <w:iCs/>
          <w:i/>
        </w:rPr>
        <w:t xml:space="preserve">LAPOP</w:t>
      </w:r>
      <w:r>
        <w:rPr>
          <w:iCs/>
          <w:i/>
        </w:rPr>
        <w:t xml:space="preserve">)</w:t>
      </w:r>
      <w:r>
        <w:rPr>
          <w:iCs/>
          <w:i/>
        </w:rPr>
        <w:t xml:space="preserve"> </w:t>
      </w:r>
      <w:r>
        <w:rPr>
          <w:iCs/>
          <w:i/>
        </w:rPr>
        <w:t xml:space="preserve">Ecuador</w:t>
      </w:r>
      <w:r>
        <w:rPr>
          <w:iCs/>
          <w:i/>
        </w:rPr>
        <w:t xml:space="preserve"> </w:t>
      </w:r>
      <w:r>
        <w:rPr>
          <w:iCs/>
          <w:i/>
        </w:rPr>
        <w:t xml:space="preserve">2021 individual country file</w:t>
      </w:r>
      <w:r>
        <w:t xml:space="preserve"> </w:t>
      </w:r>
      <w:r>
        <w:t xml:space="preserve">(Version v1.2) [Dataset with codebook]. Retrieved February 11, 2024, from</w:t>
      </w:r>
      <w:r>
        <w:t xml:space="preserve"> </w:t>
      </w:r>
      <w:hyperlink r:id="rId105">
        <w:r>
          <w:rPr>
            <w:rStyle w:val="Hyperlink"/>
          </w:rPr>
          <w:t xml:space="preserve">https://www.vanderbilt.edu/lapop/raw-data.php</w:t>
        </w:r>
      </w:hyperlink>
    </w:p>
    <w:bookmarkEnd w:id="108"/>
    <w:bookmarkStart w:id="110" w:name="ref-Latinamericawrestles2023"/>
    <w:p>
      <w:pPr>
        <w:pStyle w:val="Bibliography"/>
      </w:pPr>
      <w:r>
        <w:rPr>
          <w:iCs/>
          <w:i/>
        </w:rPr>
        <w:t xml:space="preserve">Latin america wrestles with a new crime wave</w:t>
      </w:r>
      <w:r>
        <w:t xml:space="preserve">. (2023, May 12).</w:t>
      </w:r>
      <w:r>
        <w:t xml:space="preserve"> </w:t>
      </w:r>
      <w:hyperlink r:id="rId109">
        <w:r>
          <w:rPr>
            <w:rStyle w:val="Hyperlink"/>
          </w:rPr>
          <w:t xml:space="preserve">https://www.crisisgroup.org/latin-america-caribbean/latin-america-wrestles-new-crime-wave</w:t>
        </w:r>
      </w:hyperlink>
    </w:p>
    <w:bookmarkEnd w:id="110"/>
    <w:bookmarkStart w:id="112" w:name="ref-laytonChapterCitizensecurity2016"/>
    <w:p>
      <w:pPr>
        <w:pStyle w:val="Bibliography"/>
      </w:pPr>
      <w:r>
        <w:t xml:space="preserve">Layton, M., Rodríguez, M., Moseley, M., &amp; Zizumbo-Colunga, D. (2016). Chapter 3.</w:t>
      </w:r>
      <w:r>
        <w:t xml:space="preserve"> </w:t>
      </w:r>
      <w:r>
        <w:t xml:space="preserve">Citizen</w:t>
      </w:r>
      <w:r>
        <w:t xml:space="preserve"> </w:t>
      </w:r>
      <w:r>
        <w:t xml:space="preserve">security, evaluations of the state, and policy preferences. In E. J. Zechmeister (Ed.),</w:t>
      </w:r>
      <w:r>
        <w:t xml:space="preserve"> </w:t>
      </w:r>
      <w:r>
        <w:rPr>
          <w:iCs/>
          <w:i/>
        </w:rPr>
        <w:t xml:space="preserve">The</w:t>
      </w:r>
      <w:r>
        <w:rPr>
          <w:iCs/>
          <w:i/>
        </w:rPr>
        <w:t xml:space="preserve"> </w:t>
      </w:r>
      <w:r>
        <w:rPr>
          <w:iCs/>
          <w:i/>
        </w:rPr>
        <w:t xml:space="preserve">Political Culture</w:t>
      </w:r>
      <w:r>
        <w:rPr>
          <w:iCs/>
          <w:i/>
        </w:rPr>
        <w:t xml:space="preserve"> </w:t>
      </w:r>
      <w:r>
        <w:rPr>
          <w:iCs/>
          <w:i/>
        </w:rPr>
        <w:t xml:space="preserve">of</w:t>
      </w:r>
      <w:r>
        <w:rPr>
          <w:iCs/>
          <w:i/>
        </w:rPr>
        <w:t xml:space="preserve"> </w:t>
      </w:r>
      <w:r>
        <w:rPr>
          <w:iCs/>
          <w:i/>
        </w:rPr>
        <w:t xml:space="preserve">Democracy</w:t>
      </w:r>
      <w:r>
        <w:rPr>
          <w:iCs/>
          <w:i/>
        </w:rPr>
        <w:t xml:space="preserve"> </w:t>
      </w:r>
      <w:r>
        <w:rPr>
          <w:iCs/>
          <w:i/>
        </w:rPr>
        <w:t xml:space="preserve">in the</w:t>
      </w:r>
      <w:r>
        <w:rPr>
          <w:iCs/>
          <w:i/>
        </w:rPr>
        <w:t xml:space="preserve"> </w:t>
      </w:r>
      <w:r>
        <w:rPr>
          <w:iCs/>
          <w:i/>
        </w:rPr>
        <w:t xml:space="preserve">Americas</w:t>
      </w:r>
      <w:r>
        <w:rPr>
          <w:iCs/>
          <w:i/>
        </w:rPr>
        <w:t xml:space="preserve">, 2014:</w:t>
      </w:r>
      <w:r>
        <w:rPr>
          <w:iCs/>
          <w:i/>
        </w:rPr>
        <w:t xml:space="preserve"> </w:t>
      </w:r>
      <w:r>
        <w:rPr>
          <w:iCs/>
          <w:i/>
        </w:rPr>
        <w:t xml:space="preserve">Democractic Governance</w:t>
      </w:r>
      <w:r>
        <w:rPr>
          <w:iCs/>
          <w:i/>
        </w:rPr>
        <w:t xml:space="preserve"> </w:t>
      </w:r>
      <w:r>
        <w:rPr>
          <w:iCs/>
          <w:i/>
        </w:rPr>
        <w:t xml:space="preserve">across 10</w:t>
      </w:r>
      <w:r>
        <w:rPr>
          <w:iCs/>
          <w:i/>
        </w:rPr>
        <w:t xml:space="preserve"> </w:t>
      </w:r>
      <w:r>
        <w:rPr>
          <w:iCs/>
          <w:i/>
        </w:rPr>
        <w:t xml:space="preserve">Years</w:t>
      </w:r>
      <w:r>
        <w:rPr>
          <w:iCs/>
          <w:i/>
        </w:rPr>
        <w:t xml:space="preserve"> </w:t>
      </w:r>
      <w:r>
        <w:rPr>
          <w:iCs/>
          <w:i/>
        </w:rPr>
        <w:t xml:space="preserve">of the</w:t>
      </w:r>
      <w:r>
        <w:rPr>
          <w:iCs/>
          <w:i/>
        </w:rPr>
        <w:t xml:space="preserve"> </w:t>
      </w:r>
      <w:r>
        <w:rPr>
          <w:iCs/>
          <w:i/>
        </w:rPr>
        <w:t xml:space="preserve">AmericasBarometer</w:t>
      </w:r>
      <w:r>
        <w:t xml:space="preserve"> </w:t>
      </w:r>
      <w:r>
        <w:t xml:space="preserve">(3rd ed., Vol. 1, pp. 73–117). Latin American Public Opinion Project.</w:t>
      </w:r>
      <w:r>
        <w:t xml:space="preserve"> </w:t>
      </w:r>
      <w:hyperlink r:id="rId111">
        <w:r>
          <w:rPr>
            <w:rStyle w:val="Hyperlink"/>
          </w:rPr>
          <w:t xml:space="preserve">https://www.vanderbilt.edu/lapop/ab2014/AB2014_Comparative_Report_English_V3_Updated_040517_W.pdf</w:t>
        </w:r>
      </w:hyperlink>
    </w:p>
    <w:bookmarkEnd w:id="112"/>
    <w:bookmarkStart w:id="114" w:name="ref-leePartyResponsivenessCollective2014"/>
    <w:p>
      <w:pPr>
        <w:pStyle w:val="Bibliography"/>
      </w:pPr>
      <w:r>
        <w:t xml:space="preserve">Lee, S. (2014). Party</w:t>
      </w:r>
      <w:r>
        <w:t xml:space="preserve"> </w:t>
      </w:r>
      <w:r>
        <w:t xml:space="preserve">Responsiveness</w:t>
      </w:r>
      <w:r>
        <w:t xml:space="preserve"> </w:t>
      </w:r>
      <w:r>
        <w:t xml:space="preserve">to the</w:t>
      </w:r>
      <w:r>
        <w:t xml:space="preserve"> </w:t>
      </w:r>
      <w:r>
        <w:t xml:space="preserve">Collective Judgment</w:t>
      </w:r>
      <w:r>
        <w:t xml:space="preserve"> </w:t>
      </w:r>
      <w:r>
        <w:t xml:space="preserve">of the</w:t>
      </w:r>
      <w:r>
        <w:t xml:space="preserve"> </w:t>
      </w:r>
      <w:r>
        <w:t xml:space="preserve">Electorate</w:t>
      </w:r>
      <w:r>
        <w:t xml:space="preserve">:</w:t>
      </w:r>
      <w:r>
        <w:t xml:space="preserve"> </w:t>
      </w:r>
      <w:r>
        <w:t xml:space="preserve">The Case</w:t>
      </w:r>
      <w:r>
        <w:t xml:space="preserve"> </w:t>
      </w:r>
      <w:r>
        <w:t xml:space="preserve">of</w:t>
      </w:r>
      <w:r>
        <w:t xml:space="preserve"> </w:t>
      </w:r>
      <w:r>
        <w:t xml:space="preserve">Presidential Popularity</w:t>
      </w:r>
      <w:r>
        <w:t xml:space="preserve"> </w:t>
      </w:r>
      <w:r>
        <w:t xml:space="preserve">in</w:t>
      </w:r>
      <w:r>
        <w:t xml:space="preserve"> </w:t>
      </w:r>
      <w:r>
        <w:t xml:space="preserve">Latin America</w:t>
      </w:r>
      <w:r>
        <w:t xml:space="preserve">.</w:t>
      </w:r>
      <w:r>
        <w:t xml:space="preserve"> </w:t>
      </w:r>
      <w:r>
        <w:rPr>
          <w:iCs/>
          <w:i/>
        </w:rPr>
        <w:t xml:space="preserve">Comparative Political Studies</w:t>
      </w:r>
      <w:r>
        <w:t xml:space="preserve">,</w:t>
      </w:r>
      <w:r>
        <w:t xml:space="preserve"> </w:t>
      </w:r>
      <w:r>
        <w:rPr>
          <w:iCs/>
          <w:i/>
        </w:rPr>
        <w:t xml:space="preserve">47</w:t>
      </w:r>
      <w:r>
        <w:t xml:space="preserve">(14), 1973–1999.</w:t>
      </w:r>
      <w:r>
        <w:t xml:space="preserve"> </w:t>
      </w:r>
      <w:hyperlink r:id="rId113">
        <w:r>
          <w:rPr>
            <w:rStyle w:val="Hyperlink"/>
          </w:rPr>
          <w:t xml:space="preserve">https://doi.org/10.1177/0010414013520523</w:t>
        </w:r>
      </w:hyperlink>
    </w:p>
    <w:bookmarkEnd w:id="114"/>
    <w:bookmarkStart w:id="116" w:name="ref-lewis-beckDoeseconomicsstill2006"/>
    <w:p>
      <w:pPr>
        <w:pStyle w:val="Bibliography"/>
      </w:pPr>
      <w:r>
        <w:t xml:space="preserve">Lewis-Beck, M. S. (2006). Does economics still matter?</w:t>
      </w:r>
      <w:r>
        <w:t xml:space="preserve"> </w:t>
      </w:r>
      <w:r>
        <w:t xml:space="preserve">Econometrics</w:t>
      </w:r>
      <w:r>
        <w:t xml:space="preserve"> </w:t>
      </w:r>
      <w:r>
        <w:t xml:space="preserve">and the vote.</w:t>
      </w:r>
      <w:r>
        <w:t xml:space="preserve"> </w:t>
      </w:r>
      <w:r>
        <w:rPr>
          <w:iCs/>
          <w:i/>
        </w:rPr>
        <w:t xml:space="preserve">The Journal of Politics</w:t>
      </w:r>
      <w:r>
        <w:t xml:space="preserve">,</w:t>
      </w:r>
      <w:r>
        <w:t xml:space="preserve"> </w:t>
      </w:r>
      <w:r>
        <w:rPr>
          <w:iCs/>
          <w:i/>
        </w:rPr>
        <w:t xml:space="preserve">68</w:t>
      </w:r>
      <w:r>
        <w:t xml:space="preserve">(1), 208–212.</w:t>
      </w:r>
      <w:r>
        <w:t xml:space="preserve"> </w:t>
      </w:r>
      <w:hyperlink r:id="rId115">
        <w:r>
          <w:rPr>
            <w:rStyle w:val="Hyperlink"/>
          </w:rPr>
          <w:t xml:space="preserve">https://doi.org/10.1111/j.1468-2508.2006.00381.x</w:t>
        </w:r>
      </w:hyperlink>
    </w:p>
    <w:bookmarkEnd w:id="116"/>
    <w:bookmarkStart w:id="118" w:name="ref-lewis-beckEconomicspartyvote2008"/>
    <w:p>
      <w:pPr>
        <w:pStyle w:val="Bibliography"/>
      </w:pPr>
      <w:r>
        <w:t xml:space="preserve">Lewis-Beck, M. S., Nadeau, R., &amp; Elias, A. (2008). Economics, party, and the vote: Causality issues and panel data.</w:t>
      </w:r>
      <w:r>
        <w:t xml:space="preserve"> </w:t>
      </w:r>
      <w:r>
        <w:rPr>
          <w:iCs/>
          <w:i/>
        </w:rPr>
        <w:t xml:space="preserve">American Journal of Political Science</w:t>
      </w:r>
      <w:r>
        <w:t xml:space="preserve">,</w:t>
      </w:r>
      <w:r>
        <w:t xml:space="preserve"> </w:t>
      </w:r>
      <w:r>
        <w:rPr>
          <w:iCs/>
          <w:i/>
        </w:rPr>
        <w:t xml:space="preserve">52</w:t>
      </w:r>
      <w:r>
        <w:t xml:space="preserve">(1), 84–95.</w:t>
      </w:r>
      <w:r>
        <w:t xml:space="preserve"> </w:t>
      </w:r>
      <w:hyperlink r:id="rId117">
        <w:r>
          <w:rPr>
            <w:rStyle w:val="Hyperlink"/>
          </w:rPr>
          <w:t xml:space="preserve">https://www.jstor.org/stable/25193798</w:t>
        </w:r>
      </w:hyperlink>
    </w:p>
    <w:bookmarkEnd w:id="118"/>
    <w:bookmarkStart w:id="120" w:name="ref-liaoExtremeweatherpolitics2022"/>
    <w:p>
      <w:pPr>
        <w:pStyle w:val="Bibliography"/>
      </w:pPr>
      <w:r>
        <w:t xml:space="preserve">Liao, Y., &amp; Ruiz Junco, P. (2022). Extreme weather and the politics of climate change: A study of campaign finance and elections.</w:t>
      </w:r>
      <w:r>
        <w:t xml:space="preserve"> </w:t>
      </w:r>
      <w:r>
        <w:rPr>
          <w:iCs/>
          <w:i/>
        </w:rPr>
        <w:t xml:space="preserve">Journal of Environmental Economics and Management</w:t>
      </w:r>
      <w:r>
        <w:t xml:space="preserve">,</w:t>
      </w:r>
      <w:r>
        <w:t xml:space="preserve"> </w:t>
      </w:r>
      <w:r>
        <w:rPr>
          <w:iCs/>
          <w:i/>
        </w:rPr>
        <w:t xml:space="preserve">111</w:t>
      </w:r>
      <w:r>
        <w:t xml:space="preserve">, 102550.</w:t>
      </w:r>
      <w:r>
        <w:t xml:space="preserve"> </w:t>
      </w:r>
      <w:hyperlink r:id="rId119">
        <w:r>
          <w:rPr>
            <w:rStyle w:val="Hyperlink"/>
          </w:rPr>
          <w:t xml:space="preserve">https://doi.org/10.1016/j.jeem.2021.102550</w:t>
        </w:r>
      </w:hyperlink>
    </w:p>
    <w:bookmarkEnd w:id="120"/>
    <w:bookmarkStart w:id="122" w:name="ref-lignierDoesclimateimpact2023"/>
    <w:p>
      <w:pPr>
        <w:pStyle w:val="Bibliography"/>
      </w:pPr>
      <w:r>
        <w:t xml:space="preserve">Lignier, P., Jarvis, D., Grainger, D., &amp; Chaiechi, T. (2023). Does the climate impact satisfaction with life?</w:t>
      </w:r>
      <w:r>
        <w:t xml:space="preserve"> </w:t>
      </w:r>
      <w:r>
        <w:t xml:space="preserve">An</w:t>
      </w:r>
      <w:r>
        <w:t xml:space="preserve"> </w:t>
      </w:r>
      <w:r>
        <w:t xml:space="preserve">australian spatial study.</w:t>
      </w:r>
      <w:r>
        <w:t xml:space="preserve"> </w:t>
      </w:r>
      <w:r>
        <w:rPr>
          <w:iCs/>
          <w:i/>
        </w:rPr>
        <w:t xml:space="preserve">Weather, Climate, and Society</w:t>
      </w:r>
      <w:r>
        <w:t xml:space="preserve">,</w:t>
      </w:r>
      <w:r>
        <w:t xml:space="preserve"> </w:t>
      </w:r>
      <w:r>
        <w:rPr>
          <w:iCs/>
          <w:i/>
        </w:rPr>
        <w:t xml:space="preserve">15</w:t>
      </w:r>
      <w:r>
        <w:t xml:space="preserve">(1), 159–175.</w:t>
      </w:r>
      <w:r>
        <w:t xml:space="preserve"> </w:t>
      </w:r>
      <w:hyperlink r:id="rId121">
        <w:r>
          <w:rPr>
            <w:rStyle w:val="Hyperlink"/>
          </w:rPr>
          <w:t xml:space="preserve">https://doi.org/10.1175/WCAS-D-22-0063.1</w:t>
        </w:r>
      </w:hyperlink>
    </w:p>
    <w:bookmarkEnd w:id="122"/>
    <w:bookmarkStart w:id="124" w:name="ref-lucasDoeslifeseem2013"/>
    <w:p>
      <w:pPr>
        <w:pStyle w:val="Bibliography"/>
      </w:pPr>
      <w:r>
        <w:t xml:space="preserve">Lucas, R. E., &amp; Lawless, N. M. (2013). Does life seem better on a sunny day?</w:t>
      </w:r>
      <w:r>
        <w:t xml:space="preserve"> </w:t>
      </w:r>
      <w:r>
        <w:t xml:space="preserve">Examining</w:t>
      </w:r>
      <w:r>
        <w:t xml:space="preserve"> </w:t>
      </w:r>
      <w:r>
        <w:t xml:space="preserve">the association between daily weather conditions and life satisfaction judgments.</w:t>
      </w:r>
      <w:r>
        <w:t xml:space="preserve"> </w:t>
      </w:r>
      <w:r>
        <w:rPr>
          <w:iCs/>
          <w:i/>
        </w:rPr>
        <w:t xml:space="preserve">Journal of Personality and Social Psychology</w:t>
      </w:r>
      <w:r>
        <w:t xml:space="preserve">,</w:t>
      </w:r>
      <w:r>
        <w:t xml:space="preserve"> </w:t>
      </w:r>
      <w:r>
        <w:rPr>
          <w:iCs/>
          <w:i/>
        </w:rPr>
        <w:t xml:space="preserve">104</w:t>
      </w:r>
      <w:r>
        <w:t xml:space="preserve">(5), 872–884.</w:t>
      </w:r>
      <w:r>
        <w:t xml:space="preserve"> </w:t>
      </w:r>
      <w:hyperlink r:id="rId123">
        <w:r>
          <w:rPr>
            <w:rStyle w:val="Hyperlink"/>
          </w:rPr>
          <w:t xml:space="preserve">https://doi.org/10.1037/a0032124</w:t>
        </w:r>
      </w:hyperlink>
    </w:p>
    <w:bookmarkEnd w:id="124"/>
    <w:bookmarkStart w:id="126" w:name="Xa053ceac1d33949aa080ee51c13b1baf58fb5f3"/>
    <w:p>
      <w:pPr>
        <w:pStyle w:val="Bibliography"/>
      </w:pPr>
      <w:r>
        <w:t xml:space="preserve">Moncagatta, P., &amp; Poveda, A. E. (2020). The politicization of citizens and ideological polarization in</w:t>
      </w:r>
      <w:r>
        <w:t xml:space="preserve"> </w:t>
      </w:r>
      <w:r>
        <w:t xml:space="preserve">Ecuador</w:t>
      </w:r>
      <w:r>
        <w:t xml:space="preserve">. In J. C. Donoso, P. Moncagatta, A. Moscoso, S. Pachano, J. D. Montalvo, &amp; E. J. Zechmeister (Eds.),</w:t>
      </w:r>
      <w:r>
        <w:t xml:space="preserve"> </w:t>
      </w:r>
      <w:r>
        <w:rPr>
          <w:iCs/>
          <w:i/>
        </w:rPr>
        <w:t xml:space="preserve">The</w:t>
      </w:r>
      <w:r>
        <w:rPr>
          <w:iCs/>
          <w:i/>
        </w:rPr>
        <w:t xml:space="preserve"> </w:t>
      </w:r>
      <w:r>
        <w:rPr>
          <w:iCs/>
          <w:i/>
        </w:rPr>
        <w:t xml:space="preserve">Political Culture</w:t>
      </w:r>
      <w:r>
        <w:rPr>
          <w:iCs/>
          <w:i/>
        </w:rPr>
        <w:t xml:space="preserve"> </w:t>
      </w:r>
      <w:r>
        <w:rPr>
          <w:iCs/>
          <w:i/>
        </w:rPr>
        <w:t xml:space="preserve">of</w:t>
      </w:r>
      <w:r>
        <w:rPr>
          <w:iCs/>
          <w:i/>
        </w:rPr>
        <w:t xml:space="preserve"> </w:t>
      </w:r>
      <w:r>
        <w:rPr>
          <w:iCs/>
          <w:i/>
        </w:rPr>
        <w:t xml:space="preserve">Democracy</w:t>
      </w:r>
      <w:r>
        <w:rPr>
          <w:iCs/>
          <w:i/>
        </w:rPr>
        <w:t xml:space="preserve"> </w:t>
      </w:r>
      <w:r>
        <w:rPr>
          <w:iCs/>
          <w:i/>
        </w:rPr>
        <w:t xml:space="preserve">in</w:t>
      </w:r>
      <w:r>
        <w:rPr>
          <w:iCs/>
          <w:i/>
        </w:rPr>
        <w:t xml:space="preserve"> </w:t>
      </w:r>
      <w:r>
        <w:rPr>
          <w:iCs/>
          <w:i/>
        </w:rPr>
        <w:t xml:space="preserve">Ecuador</w:t>
      </w:r>
      <w:r>
        <w:rPr>
          <w:iCs/>
          <w:i/>
        </w:rPr>
        <w:t xml:space="preserve"> </w:t>
      </w:r>
      <w:r>
        <w:rPr>
          <w:iCs/>
          <w:i/>
        </w:rPr>
        <w:t xml:space="preserve">and in the</w:t>
      </w:r>
      <w:r>
        <w:rPr>
          <w:iCs/>
          <w:i/>
        </w:rPr>
        <w:t xml:space="preserve"> </w:t>
      </w:r>
      <w:r>
        <w:rPr>
          <w:iCs/>
          <w:i/>
        </w:rPr>
        <w:t xml:space="preserve">Americas</w:t>
      </w:r>
      <w:r>
        <w:rPr>
          <w:iCs/>
          <w:i/>
        </w:rPr>
        <w:t xml:space="preserve">, 2018/19:</w:t>
      </w:r>
      <w:r>
        <w:rPr>
          <w:iCs/>
          <w:i/>
        </w:rPr>
        <w:t xml:space="preserve"> </w:t>
      </w:r>
      <w:r>
        <w:rPr>
          <w:iCs/>
          <w:i/>
        </w:rPr>
        <w:t xml:space="preserve">Taking</w:t>
      </w:r>
      <w:r>
        <w:rPr>
          <w:iCs/>
          <w:i/>
        </w:rPr>
        <w:t xml:space="preserve"> </w:t>
      </w:r>
      <w:r>
        <w:rPr>
          <w:iCs/>
          <w:i/>
        </w:rPr>
        <w:t xml:space="preserve">the</w:t>
      </w:r>
      <w:r>
        <w:rPr>
          <w:iCs/>
          <w:i/>
        </w:rPr>
        <w:t xml:space="preserve"> </w:t>
      </w:r>
      <w:r>
        <w:rPr>
          <w:iCs/>
          <w:i/>
        </w:rPr>
        <w:t xml:space="preserve">Pulse</w:t>
      </w:r>
      <w:r>
        <w:rPr>
          <w:iCs/>
          <w:i/>
        </w:rPr>
        <w:t xml:space="preserve"> </w:t>
      </w:r>
      <w:r>
        <w:rPr>
          <w:iCs/>
          <w:i/>
        </w:rPr>
        <w:t xml:space="preserve">of</w:t>
      </w:r>
      <w:r>
        <w:rPr>
          <w:iCs/>
          <w:i/>
        </w:rPr>
        <w:t xml:space="preserve"> </w:t>
      </w:r>
      <w:r>
        <w:rPr>
          <w:iCs/>
          <w:i/>
        </w:rPr>
        <w:t xml:space="preserve">Democracy</w:t>
      </w:r>
      <w:r>
        <w:t xml:space="preserve"> </w:t>
      </w:r>
      <w:r>
        <w:t xml:space="preserve">(1st ed., Vol. 1, pp. 73–88). Latin American Public Opinion Project.</w:t>
      </w:r>
      <w:r>
        <w:t xml:space="preserve"> </w:t>
      </w:r>
      <w:hyperlink r:id="rId125">
        <w:r>
          <w:rPr>
            <w:rStyle w:val="Hyperlink"/>
          </w:rPr>
          <w:t xml:space="preserve">https://www.vanderbilt.edu/lapop/ecuador/AB2018-19-Ecuador-Country-Report-Eng-V2-W-200903.pdf</w:t>
        </w:r>
      </w:hyperlink>
    </w:p>
    <w:bookmarkEnd w:id="126"/>
    <w:bookmarkStart w:id="127" w:name="X1f7f7aa37ded3fd433d48084490af111d679091"/>
    <w:p>
      <w:pPr>
        <w:pStyle w:val="Bibliography"/>
      </w:pPr>
      <w:r>
        <w:t xml:space="preserve">Murillo, M. V., Oliveros, V., &amp; Vaishnav, M. (2010). Electoral revolution or democratic alternation?</w:t>
      </w:r>
      <w:r>
        <w:t xml:space="preserve"> </w:t>
      </w:r>
      <w:r>
        <w:rPr>
          <w:iCs/>
          <w:i/>
        </w:rPr>
        <w:t xml:space="preserve">Latin American Research Review</w:t>
      </w:r>
      <w:r>
        <w:t xml:space="preserve">,</w:t>
      </w:r>
      <w:r>
        <w:t xml:space="preserve"> </w:t>
      </w:r>
      <w:r>
        <w:rPr>
          <w:iCs/>
          <w:i/>
        </w:rPr>
        <w:t xml:space="preserve">45</w:t>
      </w:r>
      <w:r>
        <w:t xml:space="preserve">(3), 87–114.</w:t>
      </w:r>
    </w:p>
    <w:bookmarkEnd w:id="127"/>
    <w:bookmarkStart w:id="129" w:name="ref-NOAADatasets"/>
    <w:p>
      <w:pPr>
        <w:pStyle w:val="Bibliography"/>
      </w:pPr>
      <w:r>
        <w:t xml:space="preserve">National Oceanic and Atmospheric Administration (NOAA) Physical Sciences Laboratory (PSL). (2024).</w:t>
      </w:r>
      <w:r>
        <w:t xml:space="preserve"> </w:t>
      </w:r>
      <w:r>
        <w:rPr>
          <w:iCs/>
          <w:i/>
        </w:rPr>
        <w:t xml:space="preserve">CPC Global Unified Temperature</w:t>
      </w:r>
      <w:r>
        <w:t xml:space="preserve"> </w:t>
      </w:r>
      <w:r>
        <w:t xml:space="preserve">[Datasets].</w:t>
      </w:r>
      <w:r>
        <w:t xml:space="preserve"> </w:t>
      </w:r>
      <w:hyperlink r:id="rId128">
        <w:r>
          <w:rPr>
            <w:rStyle w:val="Hyperlink"/>
          </w:rPr>
          <w:t xml:space="preserve">https://psl.noaa.gov/data/gridded/data.cpc.globaltemp.html</w:t>
        </w:r>
      </w:hyperlink>
    </w:p>
    <w:bookmarkEnd w:id="129"/>
    <w:bookmarkStart w:id="130" w:name="X1ca5037ec0866b19fd173e24c7a4cc0b70b859a"/>
    <w:p>
      <w:pPr>
        <w:pStyle w:val="Bibliography"/>
      </w:pPr>
      <w:r>
        <w:t xml:space="preserve">Persson, T., &amp; Tabellini, G. (2002).</w:t>
      </w:r>
      <w:r>
        <w:t xml:space="preserve"> </w:t>
      </w:r>
      <w:r>
        <w:rPr>
          <w:iCs/>
          <w:i/>
        </w:rPr>
        <w:t xml:space="preserve">Political economics: Explaining economic policy</w:t>
      </w:r>
      <w:r>
        <w:t xml:space="preserve">. MIT press.</w:t>
      </w:r>
    </w:p>
    <w:bookmarkEnd w:id="130"/>
    <w:bookmarkStart w:id="131" w:name="Xbadf66efcbf246ac325c8835859148bb32d77dd"/>
    <w:p>
      <w:pPr>
        <w:pStyle w:val="Bibliography"/>
      </w:pPr>
      <w:r>
        <w:t xml:space="preserve">Quijano-Ruiz, A. (2023).</w:t>
      </w:r>
      <w:r>
        <w:t xml:space="preserve"> </w:t>
      </w:r>
      <w:r>
        <w:rPr>
          <w:iCs/>
          <w:i/>
        </w:rPr>
        <w:t xml:space="preserve">Assessing the reliability of self-rated health: the effects of transient weather fluctuations on perceived health</w:t>
      </w:r>
      <w:r>
        <w:t xml:space="preserve">. Working Paper.</w:t>
      </w:r>
    </w:p>
    <w:bookmarkEnd w:id="131"/>
    <w:bookmarkStart w:id="133" w:name="ref-schmiedebergDoesweatherreally2014"/>
    <w:p>
      <w:pPr>
        <w:pStyle w:val="Bibliography"/>
      </w:pPr>
      <w:r>
        <w:t xml:space="preserve">Schmiedeberg, C., &amp; Schröder, J. (2014). Does weather really influence the measurement of life satisfaction?</w:t>
      </w:r>
      <w:r>
        <w:t xml:space="preserve"> </w:t>
      </w:r>
      <w:r>
        <w:rPr>
          <w:iCs/>
          <w:i/>
        </w:rPr>
        <w:t xml:space="preserve">Social Indicators Research</w:t>
      </w:r>
      <w:r>
        <w:t xml:space="preserve">,</w:t>
      </w:r>
      <w:r>
        <w:t xml:space="preserve"> </w:t>
      </w:r>
      <w:r>
        <w:rPr>
          <w:iCs/>
          <w:i/>
        </w:rPr>
        <w:t xml:space="preserve">117</w:t>
      </w:r>
      <w:r>
        <w:t xml:space="preserve">(2), 387–399.</w:t>
      </w:r>
      <w:r>
        <w:t xml:space="preserve"> </w:t>
      </w:r>
      <w:hyperlink r:id="rId132">
        <w:r>
          <w:rPr>
            <w:rStyle w:val="Hyperlink"/>
          </w:rPr>
          <w:t xml:space="preserve">https://www.jstor.org/stable/24720831</w:t>
        </w:r>
      </w:hyperlink>
    </w:p>
    <w:bookmarkEnd w:id="133"/>
    <w:bookmarkStart w:id="134" w:name="Xd84bcfe834598a84ebe3216182d58d59906d2f7"/>
    <w:p>
      <w:pPr>
        <w:pStyle w:val="Bibliography"/>
      </w:pPr>
      <w:r>
        <w:t xml:space="preserve">Schwarz, N., &amp; Clore, G. L. (1983). Mood, misattribution, and judgments of well-being: Informative and directive-effects of affective states.</w:t>
      </w:r>
      <w:r>
        <w:t xml:space="preserve"> </w:t>
      </w:r>
      <w:r>
        <w:rPr>
          <w:iCs/>
          <w:i/>
        </w:rPr>
        <w:t xml:space="preserve">Journal of Personality and Social Psychology</w:t>
      </w:r>
      <w:r>
        <w:t xml:space="preserve">,</w:t>
      </w:r>
      <w:r>
        <w:t xml:space="preserve"> </w:t>
      </w:r>
      <w:r>
        <w:rPr>
          <w:iCs/>
          <w:i/>
        </w:rPr>
        <w:t xml:space="preserve">45</w:t>
      </w:r>
      <w:r>
        <w:t xml:space="preserve">(3), 513–523.</w:t>
      </w:r>
    </w:p>
    <w:bookmarkEnd w:id="134"/>
    <w:bookmarkStart w:id="136" w:name="ref-singerArelatinamerican2011"/>
    <w:p>
      <w:pPr>
        <w:pStyle w:val="Bibliography"/>
      </w:pPr>
      <w:r>
        <w:t xml:space="preserve">Singer, M., &amp; Carlin, R. E. (2011).</w:t>
      </w:r>
      <w:r>
        <w:t xml:space="preserve"> </w:t>
      </w:r>
      <w:r>
        <w:rPr>
          <w:iCs/>
          <w:i/>
        </w:rPr>
        <w:t xml:space="preserve">Are latin american voters campesinos o empresarios?</w:t>
      </w:r>
      <w:r>
        <w:rPr>
          <w:iCs/>
          <w:i/>
        </w:rPr>
        <w:t xml:space="preserve"> </w:t>
      </w:r>
      <w:r>
        <w:rPr>
          <w:iCs/>
          <w:i/>
        </w:rPr>
        <w:t xml:space="preserve">Economic</w:t>
      </w:r>
      <w:r>
        <w:rPr>
          <w:iCs/>
          <w:i/>
        </w:rPr>
        <w:t xml:space="preserve"> </w:t>
      </w:r>
      <w:r>
        <w:rPr>
          <w:iCs/>
          <w:i/>
        </w:rPr>
        <w:t xml:space="preserve">perceptions and government support 1995-2008</w:t>
      </w:r>
      <w:r>
        <w:t xml:space="preserve"> </w:t>
      </w:r>
      <w:r>
        <w:t xml:space="preserve">(SSRN Scholarly Paper 1901673).</w:t>
      </w:r>
      <w:r>
        <w:t xml:space="preserve"> </w:t>
      </w:r>
      <w:hyperlink r:id="rId135">
        <w:r>
          <w:rPr>
            <w:rStyle w:val="Hyperlink"/>
          </w:rPr>
          <w:t xml:space="preserve">https://papers.ssrn.com/abstract=1901673</w:t>
        </w:r>
      </w:hyperlink>
    </w:p>
    <w:bookmarkEnd w:id="136"/>
    <w:bookmarkStart w:id="137" w:name="X09f573c98fdda8f6ad3c1825632fba3fe30214d"/>
    <w:p>
      <w:pPr>
        <w:pStyle w:val="Bibliography"/>
      </w:pPr>
      <w:r>
        <w:t xml:space="preserve">Tilley, J., &amp; Hobolt, S. B. (2011). Is the government to blame?</w:t>
      </w:r>
      <w:r>
        <w:t xml:space="preserve"> </w:t>
      </w:r>
      <w:r>
        <w:t xml:space="preserve">An</w:t>
      </w:r>
      <w:r>
        <w:t xml:space="preserve"> </w:t>
      </w:r>
      <w:r>
        <w:t xml:space="preserve">experimental test of how partisanship shapes perceptions of performance and responsibility.</w:t>
      </w:r>
      <w:r>
        <w:t xml:space="preserve"> </w:t>
      </w:r>
      <w:r>
        <w:rPr>
          <w:iCs/>
          <w:i/>
        </w:rPr>
        <w:t xml:space="preserve">The Journal of Politics</w:t>
      </w:r>
      <w:r>
        <w:t xml:space="preserve">,</w:t>
      </w:r>
      <w:r>
        <w:t xml:space="preserve"> </w:t>
      </w:r>
      <w:r>
        <w:rPr>
          <w:iCs/>
          <w:i/>
        </w:rPr>
        <w:t xml:space="preserve">73</w:t>
      </w:r>
      <w:r>
        <w:t xml:space="preserve">(2), 316–330.</w:t>
      </w:r>
    </w:p>
    <w:bookmarkEnd w:id="137"/>
    <w:bookmarkStart w:id="139" w:name="ref-valdiniEconomicvotingLatin2018"/>
    <w:p>
      <w:pPr>
        <w:pStyle w:val="Bibliography"/>
      </w:pPr>
      <w:r>
        <w:t xml:space="preserve">Valdini, M. E., &amp; Lewis-Beck, M. S. (2018). Economic voting in</w:t>
      </w:r>
      <w:r>
        <w:t xml:space="preserve"> </w:t>
      </w:r>
      <w:r>
        <w:t xml:space="preserve">Latin America</w:t>
      </w:r>
      <w:r>
        <w:t xml:space="preserve">: Rules and responsibility.</w:t>
      </w:r>
      <w:r>
        <w:t xml:space="preserve"> </w:t>
      </w:r>
      <w:r>
        <w:rPr>
          <w:iCs/>
          <w:i/>
        </w:rPr>
        <w:t xml:space="preserve">American Journal of Political Science</w:t>
      </w:r>
      <w:r>
        <w:t xml:space="preserve">,</w:t>
      </w:r>
      <w:r>
        <w:t xml:space="preserve"> </w:t>
      </w:r>
      <w:r>
        <w:rPr>
          <w:iCs/>
          <w:i/>
        </w:rPr>
        <w:t xml:space="preserve">62</w:t>
      </w:r>
      <w:r>
        <w:t xml:space="preserve">(2), 410–423.</w:t>
      </w:r>
      <w:r>
        <w:t xml:space="preserve"> </w:t>
      </w:r>
      <w:hyperlink r:id="rId138">
        <w:r>
          <w:rPr>
            <w:rStyle w:val="Hyperlink"/>
          </w:rPr>
          <w:t xml:space="preserve">https://doi.org/10.1111/ajps.12339</w:t>
        </w:r>
      </w:hyperlink>
    </w:p>
    <w:bookmarkEnd w:id="139"/>
    <w:bookmarkStart w:id="141" w:name="ref-veigaEconomicvotingage2013"/>
    <w:p>
      <w:pPr>
        <w:pStyle w:val="Bibliography"/>
      </w:pPr>
      <w:r>
        <w:t xml:space="preserve">Veiga, L. (2013).</w:t>
      </w:r>
      <w:r>
        <w:t xml:space="preserve"> </w:t>
      </w:r>
      <w:r>
        <w:rPr>
          <w:iCs/>
          <w:i/>
        </w:rPr>
        <w:t xml:space="preserve">Economic voting in an age of growth and poverty reduction: Electoral response in</w:t>
      </w:r>
      <w:r>
        <w:rPr>
          <w:iCs/>
          <w:i/>
        </w:rPr>
        <w:t xml:space="preserve"> </w:t>
      </w:r>
      <w:r>
        <w:rPr>
          <w:iCs/>
          <w:i/>
        </w:rPr>
        <w:t xml:space="preserve">Latin America</w:t>
      </w:r>
      <w:r>
        <w:rPr>
          <w:iCs/>
          <w:i/>
        </w:rPr>
        <w:t xml:space="preserve"> </w:t>
      </w:r>
      <w:r>
        <w:rPr>
          <w:iCs/>
          <w:i/>
        </w:rPr>
        <w:t xml:space="preserve">(1995-2010)</w:t>
      </w:r>
      <w:r>
        <w:t xml:space="preserve">.</w:t>
      </w:r>
      <w:r>
        <w:t xml:space="preserve"> </w:t>
      </w:r>
      <w:hyperlink r:id="rId140">
        <w:r>
          <w:rPr>
            <w:rStyle w:val="Hyperlink"/>
          </w:rPr>
          <w:t xml:space="preserve">https://escholarship.org/uc/item/8r683983</w:t>
        </w:r>
      </w:hyperlink>
    </w:p>
    <w:bookmarkEnd w:id="141"/>
    <w:bookmarkStart w:id="143" w:name="ref-velezSandyRainmakerelectoral2013"/>
    <w:p>
      <w:pPr>
        <w:pStyle w:val="Bibliography"/>
      </w:pPr>
      <w:r>
        <w:t xml:space="preserve">Velez, Y., &amp; Martin, D. (2013). Sandy the</w:t>
      </w:r>
      <w:r>
        <w:t xml:space="preserve"> </w:t>
      </w:r>
      <w:r>
        <w:t xml:space="preserve">Rainmaker</w:t>
      </w:r>
      <w:r>
        <w:t xml:space="preserve">: The electoral impact of a super storm.</w:t>
      </w:r>
      <w:r>
        <w:t xml:space="preserve"> </w:t>
      </w:r>
      <w:r>
        <w:rPr>
          <w:iCs/>
          <w:i/>
        </w:rPr>
        <w:t xml:space="preserve">PS: Political Science &amp; Politics</w:t>
      </w:r>
      <w:r>
        <w:t xml:space="preserve">,</w:t>
      </w:r>
      <w:r>
        <w:t xml:space="preserve"> </w:t>
      </w:r>
      <w:r>
        <w:rPr>
          <w:iCs/>
          <w:i/>
        </w:rPr>
        <w:t xml:space="preserve">46</w:t>
      </w:r>
      <w:r>
        <w:t xml:space="preserve">(2), 313–323.</w:t>
      </w:r>
      <w:r>
        <w:t xml:space="preserve"> </w:t>
      </w:r>
      <w:hyperlink r:id="rId142">
        <w:r>
          <w:rPr>
            <w:rStyle w:val="Hyperlink"/>
          </w:rPr>
          <w:t xml:space="preserve">https://doi.org/10.1017/S1049096513000139</w:t>
        </w:r>
      </w:hyperlink>
    </w:p>
    <w:bookmarkEnd w:id="143"/>
    <w:bookmarkStart w:id="145" w:name="Xf3ec808c1a686a6b72e01163d9ceda1d111eeaa"/>
    <w:p>
      <w:pPr>
        <w:pStyle w:val="Bibliography"/>
      </w:pPr>
      <w:r>
        <w:t xml:space="preserve">Visconti, G. (2022). After the flood: Disasters, ideological voting and electoral choices in</w:t>
      </w:r>
      <w:r>
        <w:t xml:space="preserve"> </w:t>
      </w:r>
      <w:r>
        <w:t xml:space="preserve">Chile</w:t>
      </w:r>
      <w:r>
        <w:t xml:space="preserve">.</w:t>
      </w:r>
      <w:r>
        <w:t xml:space="preserve"> </w:t>
      </w:r>
      <w:r>
        <w:rPr>
          <w:iCs/>
          <w:i/>
        </w:rPr>
        <w:t xml:space="preserve">Political Behavior</w:t>
      </w:r>
      <w:r>
        <w:t xml:space="preserve">,</w:t>
      </w:r>
      <w:r>
        <w:t xml:space="preserve"> </w:t>
      </w:r>
      <w:r>
        <w:rPr>
          <w:iCs/>
          <w:i/>
        </w:rPr>
        <w:t xml:space="preserve">44</w:t>
      </w:r>
      <w:r>
        <w:t xml:space="preserve">(4), 1985–2004.</w:t>
      </w:r>
      <w:r>
        <w:t xml:space="preserve"> </w:t>
      </w:r>
      <w:hyperlink r:id="rId144">
        <w:r>
          <w:rPr>
            <w:rStyle w:val="Hyperlink"/>
          </w:rPr>
          <w:t xml:space="preserve">https://doi.org/10.1007/s11109-022-09814-1</w:t>
        </w:r>
      </w:hyperlink>
    </w:p>
    <w:bookmarkEnd w:id="145"/>
    <w:bookmarkStart w:id="146" w:name="ref-wiesehomeierDiscontentleftturn2013a"/>
    <w:p>
      <w:pPr>
        <w:pStyle w:val="Bibliography"/>
      </w:pPr>
      <w:r>
        <w:t xml:space="preserve">Wiesehomeier, N., &amp; Doyle, D. (2013). Discontent and the left turn in</w:t>
      </w:r>
      <w:r>
        <w:t xml:space="preserve"> </w:t>
      </w:r>
      <w:r>
        <w:t xml:space="preserve">Latin America</w:t>
      </w:r>
      <w:r>
        <w:t xml:space="preserve">.</w:t>
      </w:r>
      <w:r>
        <w:t xml:space="preserve"> </w:t>
      </w:r>
      <w:r>
        <w:rPr>
          <w:iCs/>
          <w:i/>
        </w:rPr>
        <w:t xml:space="preserve">Political Science Research and Methods</w:t>
      </w:r>
      <w:r>
        <w:t xml:space="preserve">,</w:t>
      </w:r>
      <w:r>
        <w:t xml:space="preserve"> </w:t>
      </w:r>
      <w:r>
        <w:rPr>
          <w:iCs/>
          <w:i/>
        </w:rPr>
        <w:t xml:space="preserve">1</w:t>
      </w:r>
      <w:r>
        <w:t xml:space="preserve">(2), 201–221.</w:t>
      </w:r>
    </w:p>
    <w:bookmarkEnd w:id="146"/>
    <w:bookmarkStart w:id="148" w:name="ref-wlezienEconomicperceptionsvote1997"/>
    <w:p>
      <w:pPr>
        <w:pStyle w:val="Bibliography"/>
      </w:pPr>
      <w:r>
        <w:t xml:space="preserve">Wlezien, C., Franklin, M., &amp; Twiggs, D. (1997). Economic perceptions and vote choice: Disentangling the endogeneity.</w:t>
      </w:r>
      <w:r>
        <w:t xml:space="preserve"> </w:t>
      </w:r>
      <w:r>
        <w:rPr>
          <w:iCs/>
          <w:i/>
        </w:rPr>
        <w:t xml:space="preserve">Political Behavior</w:t>
      </w:r>
      <w:r>
        <w:t xml:space="preserve">,</w:t>
      </w:r>
      <w:r>
        <w:t xml:space="preserve"> </w:t>
      </w:r>
      <w:r>
        <w:rPr>
          <w:iCs/>
          <w:i/>
        </w:rPr>
        <w:t xml:space="preserve">19</w:t>
      </w:r>
      <w:r>
        <w:t xml:space="preserve">(1), 7–17.</w:t>
      </w:r>
      <w:r>
        <w:t xml:space="preserve"> </w:t>
      </w:r>
      <w:hyperlink r:id="rId147">
        <w:r>
          <w:rPr>
            <w:rStyle w:val="Hyperlink"/>
          </w:rPr>
          <w:t xml:space="preserve">https://www.jstor.org/stable/586547</w:t>
        </w:r>
      </w:hyperlink>
    </w:p>
    <w:bookmarkEnd w:id="148"/>
    <w:bookmarkEnd w:id="149"/>
    <w:bookmarkEnd w:id="150"/>
    <w:bookmarkStart w:id="151" w:name="appendix-average-marginal-effects"/>
    <w:p>
      <w:pPr>
        <w:pStyle w:val="Heading1"/>
      </w:pPr>
      <w:r>
        <w:t xml:space="preserve">Appendix: Average marginal effects</w:t>
      </w:r>
    </w:p>
    <w:bookmarkEnd w:id="151"/>
    <w:sectPr w:rsidR="00F43B9E">
      <w:pgSz w:h="16838" w:w="11906"/>
      <w:pgMar w:bottom="1134" w:footer="709" w:gutter="0" w:header="709" w:left="1701" w:right="850" w:top="1134"/>
      <w:cols w:space="1701"/>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The 2004 and 2006 waves did not record interview dates. The eight waves took place every two years between 2008 and 2016. The 2018/19 wave took place between late 2018 and 2019. The two most recent two survey waves were carried out in 2021 and 2023.</w:t>
      </w:r>
    </w:p>
  </w:footnote>
  <w:footnote w:id="24">
    <w:p>
      <w:pPr>
        <w:pStyle w:val="FootnoteText"/>
      </w:pPr>
      <w:r>
        <w:rPr>
          <w:rStyle w:val="FootnoteReference"/>
        </w:rPr>
        <w:footnoteRef/>
      </w:r>
      <w:r>
        <w:t xml:space="preserve"> </w:t>
      </w:r>
      <w:r>
        <w:t xml:space="preserve">In Ecuador, the relevant institution is the Instituto Nacional de Meteorología e Hidrología.</w:t>
      </w:r>
    </w:p>
  </w:footnote>
  <w:footnote w:id="25">
    <w:p>
      <w:pPr>
        <w:pStyle w:val="FootnoteText"/>
      </w:pPr>
      <w:r>
        <w:rPr>
          <w:rStyle w:val="FootnoteReference"/>
        </w:rPr>
        <w:footnoteRef/>
      </w:r>
      <w:r>
        <w:t xml:space="preserve"> </w:t>
      </w:r>
      <w:r>
        <w:t xml:space="preserve">Cantons in Ecuador are the second highest level of the political-administrative division of the country, after to provinces. They are similar to municipalities.</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2E076C3C"/>
    <w:multiLevelType w:val="hybridMultilevel"/>
    <w:tmpl w:val="14EAAB5C"/>
    <w:lvl w:ilvl="0" w:tplc="7AC8B0FE">
      <w:start w:val="1"/>
      <w:numFmt w:val="bullet"/>
      <w:lvlText w:val=" "/>
      <w:lvlJc w:val="left"/>
      <w:pPr>
        <w:tabs>
          <w:tab w:pos="0" w:val="num"/>
        </w:tabs>
        <w:ind w:hanging="480" w:left="480"/>
      </w:pPr>
    </w:lvl>
    <w:lvl w:ilvl="1" w:tplc="796ED1F6">
      <w:start w:val="1"/>
      <w:numFmt w:val="bullet"/>
      <w:lvlText w:val=" "/>
      <w:lvlJc w:val="left"/>
      <w:pPr>
        <w:tabs>
          <w:tab w:pos="720" w:val="num"/>
        </w:tabs>
        <w:ind w:hanging="480" w:left="1200"/>
      </w:pPr>
    </w:lvl>
    <w:lvl w:ilvl="2" w:tplc="8AF07A10">
      <w:start w:val="1"/>
      <w:numFmt w:val="bullet"/>
      <w:lvlText w:val=" "/>
      <w:lvlJc w:val="left"/>
      <w:pPr>
        <w:tabs>
          <w:tab w:pos="1440" w:val="num"/>
        </w:tabs>
        <w:ind w:hanging="480" w:left="1920"/>
      </w:pPr>
    </w:lvl>
    <w:lvl w:ilvl="3" w:tplc="4CA011E0">
      <w:start w:val="1"/>
      <w:numFmt w:val="bullet"/>
      <w:lvlText w:val=" "/>
      <w:lvlJc w:val="left"/>
      <w:pPr>
        <w:tabs>
          <w:tab w:pos="2160" w:val="num"/>
        </w:tabs>
        <w:ind w:hanging="480" w:left="2640"/>
      </w:pPr>
    </w:lvl>
    <w:lvl w:ilvl="4" w:tplc="28A213A2">
      <w:start w:val="1"/>
      <w:numFmt w:val="bullet"/>
      <w:lvlText w:val=" "/>
      <w:lvlJc w:val="left"/>
      <w:pPr>
        <w:tabs>
          <w:tab w:pos="2880" w:val="num"/>
        </w:tabs>
        <w:ind w:hanging="480" w:left="3360"/>
      </w:pPr>
    </w:lvl>
    <w:lvl w:ilvl="5" w:tplc="7072435E">
      <w:start w:val="1"/>
      <w:numFmt w:val="bullet"/>
      <w:lvlText w:val=" "/>
      <w:lvlJc w:val="left"/>
      <w:pPr>
        <w:tabs>
          <w:tab w:pos="3600" w:val="num"/>
        </w:tabs>
        <w:ind w:hanging="480" w:left="4080"/>
      </w:pPr>
    </w:lvl>
    <w:lvl w:ilvl="6" w:tplc="C9FC5F80">
      <w:start w:val="1"/>
      <w:numFmt w:val="bullet"/>
      <w:lvlText w:val=" "/>
      <w:lvlJc w:val="left"/>
      <w:pPr>
        <w:tabs>
          <w:tab w:pos="4320" w:val="num"/>
        </w:tabs>
        <w:ind w:hanging="480" w:left="4800"/>
      </w:pPr>
    </w:lvl>
    <w:lvl w:ilvl="7" w:tplc="3A042260">
      <w:start w:val="1"/>
      <w:numFmt w:val="bullet"/>
      <w:lvlText w:val=" "/>
      <w:lvlJc w:val="left"/>
      <w:pPr>
        <w:tabs>
          <w:tab w:pos="5040" w:val="num"/>
        </w:tabs>
        <w:ind w:hanging="480" w:left="5520"/>
      </w:pPr>
    </w:lvl>
    <w:lvl w:ilvl="8" w:tplc="19BA36CA">
      <w:start w:val="1"/>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37579606"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76F1E"/>
    <w:rPr>
      <w:rFonts w:ascii="Times New Roman" w:hAnsi="Times New Roman"/>
    </w:rPr>
  </w:style>
  <w:style w:styleId="Heading1" w:type="paragraph">
    <w:name w:val="heading 1"/>
    <w:basedOn w:val="Normal"/>
    <w:next w:val="BodyText"/>
    <w:link w:val="Heading1Char"/>
    <w:uiPriority w:val="9"/>
    <w:qFormat/>
    <w:pPr>
      <w:keepNext/>
      <w:keepLines/>
      <w:spacing w:after="0" w:before="480"/>
      <w:jc w:val="center"/>
      <w:outlineLvl w:val="0"/>
    </w:pPr>
    <w:rPr>
      <w:rFonts w:cs="Times New Roman" w:eastAsiaTheme="majorEastAsia"/>
      <w:b/>
      <w:bCs/>
    </w:rPr>
  </w:style>
  <w:style w:styleId="Heading2" w:type="paragraph">
    <w:name w:val="heading 2"/>
    <w:basedOn w:val="Normal"/>
    <w:next w:val="BodyText"/>
    <w:link w:val="Heading2Char"/>
    <w:uiPriority w:val="9"/>
    <w:unhideWhenUsed/>
    <w:qFormat/>
    <w:pPr>
      <w:keepNext/>
      <w:keepLines/>
      <w:spacing w:after="0" w:before="200"/>
      <w:outlineLvl w:val="1"/>
    </w:pPr>
    <w:rPr>
      <w:rFonts w:cs="Times New Roman" w:eastAsiaTheme="majorEastAsia"/>
      <w:b/>
      <w:bCs/>
    </w:rPr>
  </w:style>
  <w:style w:styleId="Heading3" w:type="paragraph">
    <w:name w:val="heading 3"/>
    <w:basedOn w:val="Normal"/>
    <w:next w:val="BodyText"/>
    <w:link w:val="Heading3Char"/>
    <w:uiPriority w:val="9"/>
    <w:unhideWhenUsed/>
    <w:qFormat/>
    <w:pPr>
      <w:keepNext/>
      <w:keepLines/>
      <w:spacing w:after="0" w:before="200"/>
      <w:outlineLvl w:val="2"/>
    </w:pPr>
    <w:rPr>
      <w:rFonts w:cs="Times New Roman" w:eastAsiaTheme="majorEastAsia"/>
      <w:b/>
      <w:bCs/>
      <w:i/>
      <w:iCs/>
    </w:rPr>
  </w:style>
  <w:style w:styleId="Heading4" w:type="paragraph">
    <w:name w:val="heading 4"/>
    <w:basedOn w:val="Normal"/>
    <w:next w:val="BodyText"/>
    <w:link w:val="Heading4Char"/>
    <w:uiPriority w:val="9"/>
    <w:unhideWhenUsed/>
    <w:qFormat/>
    <w:pPr>
      <w:keepNext/>
      <w:keepLines/>
      <w:spacing w:after="0" w:before="200"/>
      <w:ind w:firstLine="709"/>
      <w:outlineLvl w:val="3"/>
    </w:pPr>
    <w:rPr>
      <w:rFonts w:cs="Times New Roman" w:eastAsiaTheme="majorEastAsia"/>
      <w:b/>
      <w:bCs/>
    </w:rPr>
  </w:style>
  <w:style w:styleId="Heading5" w:type="paragraph">
    <w:name w:val="heading 5"/>
    <w:basedOn w:val="Normal"/>
    <w:next w:val="BodyText"/>
    <w:link w:val="Heading5Char"/>
    <w:uiPriority w:val="9"/>
    <w:unhideWhenUsed/>
    <w:qFormat/>
    <w:pPr>
      <w:keepNext/>
      <w:keepLines/>
      <w:spacing w:after="0" w:before="200"/>
      <w:ind w:firstLine="709"/>
      <w:outlineLvl w:val="4"/>
    </w:pPr>
    <w:rPr>
      <w:rFonts w:cs="Times New Roman" w:eastAsiaTheme="majorEastAsia"/>
      <w:b/>
      <w:bCs/>
      <w:i/>
      <w:iCs/>
    </w:rPr>
  </w:style>
  <w:style w:styleId="Heading6" w:type="paragraph">
    <w:name w:val="heading 6"/>
    <w:basedOn w:val="Normal"/>
    <w:next w:val="BodyText"/>
    <w:link w:val="Heading6Cha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Pr>
      <w:rFonts w:ascii="Arial" w:cs="Arial" w:eastAsia="Arial" w:hAnsi="Arial"/>
      <w:sz w:val="40"/>
      <w:szCs w:val="40"/>
    </w:rPr>
  </w:style>
  <w:style w:customStyle="1" w:styleId="Heading2Char" w:type="character">
    <w:name w:val="Heading 2 Char"/>
    <w:basedOn w:val="DefaultParagraphFont"/>
    <w:link w:val="Heading2"/>
    <w:uiPriority w:val="9"/>
    <w:rPr>
      <w:rFonts w:ascii="Arial" w:cs="Arial" w:eastAsia="Arial" w:hAnsi="Arial"/>
      <w:sz w:val="34"/>
    </w:rPr>
  </w:style>
  <w:style w:customStyle="1" w:styleId="Heading3Char" w:type="character">
    <w:name w:val="Heading 3 Char"/>
    <w:basedOn w:val="DefaultParagraphFont"/>
    <w:link w:val="Heading3"/>
    <w:uiPriority w:val="9"/>
    <w:rPr>
      <w:rFonts w:ascii="Arial" w:cs="Arial" w:eastAsia="Arial" w:hAnsi="Arial"/>
      <w:sz w:val="30"/>
      <w:szCs w:val="30"/>
    </w:rPr>
  </w:style>
  <w:style w:customStyle="1" w:styleId="Heading4Char" w:type="character">
    <w:name w:val="Heading 4 Char"/>
    <w:basedOn w:val="DefaultParagraphFont"/>
    <w:link w:val="Heading4"/>
    <w:uiPriority w:val="9"/>
    <w:rPr>
      <w:rFonts w:ascii="Arial" w:cs="Arial" w:eastAsia="Arial" w:hAnsi="Arial"/>
      <w:b/>
      <w:bCs/>
      <w:sz w:val="26"/>
      <w:szCs w:val="26"/>
    </w:rPr>
  </w:style>
  <w:style w:customStyle="1" w:styleId="Heading5Char" w:type="character">
    <w:name w:val="Heading 5 Char"/>
    <w:basedOn w:val="DefaultParagraphFont"/>
    <w:link w:val="Heading5"/>
    <w:uiPriority w:val="9"/>
    <w:rPr>
      <w:rFonts w:ascii="Arial" w:cs="Arial" w:eastAsia="Arial" w:hAnsi="Arial"/>
      <w:b/>
      <w:bCs/>
      <w:sz w:val="24"/>
      <w:szCs w:val="24"/>
    </w:rPr>
  </w:style>
  <w:style w:customStyle="1" w:styleId="Heading6Char" w:type="character">
    <w:name w:val="Heading 6 Char"/>
    <w:basedOn w:val="DefaultParagraphFont"/>
    <w:link w:val="Heading6"/>
    <w:uiPriority w:val="9"/>
    <w:rPr>
      <w:rFonts w:ascii="Arial" w:cs="Arial" w:eastAsia="Arial" w:hAnsi="Arial"/>
      <w:b/>
      <w:bCs/>
      <w:sz w:val="22"/>
      <w:szCs w:val="22"/>
    </w:rPr>
  </w:style>
  <w:style w:customStyle="1" w:styleId="Heading7Char" w:type="character">
    <w:name w:val="Heading 7 Char"/>
    <w:basedOn w:val="DefaultParagraphFont"/>
    <w:link w:val="Heading7"/>
    <w:uiPriority w:val="9"/>
    <w:rPr>
      <w:rFonts w:ascii="Arial" w:cs="Arial" w:eastAsia="Arial" w:hAnsi="Arial"/>
      <w:b/>
      <w:bCs/>
      <w:i/>
      <w:iCs/>
      <w:sz w:val="22"/>
      <w:szCs w:val="22"/>
    </w:rPr>
  </w:style>
  <w:style w:customStyle="1" w:styleId="Heading8Char" w:type="character">
    <w:name w:val="Heading 8 Char"/>
    <w:basedOn w:val="DefaultParagraphFont"/>
    <w:link w:val="Heading8"/>
    <w:uiPriority w:val="9"/>
    <w:rPr>
      <w:rFonts w:ascii="Arial" w:cs="Arial" w:eastAsia="Arial" w:hAnsi="Arial"/>
      <w:i/>
      <w:iCs/>
      <w:sz w:val="22"/>
      <w:szCs w:val="22"/>
    </w:rPr>
  </w:style>
  <w:style w:customStyle="1" w:styleId="Heading9Char" w:type="character">
    <w:name w:val="Heading 9 Char"/>
    <w:basedOn w:val="DefaultParagraphFont"/>
    <w:link w:val="Heading9"/>
    <w:uiPriority w:val="9"/>
    <w:rPr>
      <w:rFonts w:ascii="Arial" w:cs="Arial" w:eastAsia="Arial" w:hAnsi="Arial"/>
      <w:i/>
      <w:iCs/>
      <w:sz w:val="21"/>
      <w:szCs w:val="21"/>
    </w:rPr>
  </w:style>
  <w:style w:styleId="ListParagraph" w:type="paragraph">
    <w:name w:val="List Paragraph"/>
    <w:basedOn w:val="Normal"/>
    <w:uiPriority w:val="34"/>
    <w:qFormat/>
    <w:pPr>
      <w:ind w:left="720"/>
      <w:contextualSpacing/>
    </w:pPr>
  </w:style>
  <w:style w:styleId="NoSpacing" w:type="paragraph">
    <w:name w:val="No Spacing"/>
    <w:uiPriority w:val="1"/>
    <w:qFormat/>
    <w:pPr>
      <w:spacing w:after="0"/>
    </w:pPr>
  </w:style>
  <w:style w:customStyle="1" w:styleId="TitleChar" w:type="character">
    <w:name w:val="Title Char"/>
    <w:basedOn w:val="DefaultParagraphFont"/>
    <w:link w:val="Title"/>
    <w:uiPriority w:val="10"/>
    <w:rPr>
      <w:sz w:val="48"/>
      <w:szCs w:val="48"/>
    </w:rPr>
  </w:style>
  <w:style w:customStyle="1" w:styleId="SubtitleChar" w:type="character">
    <w:name w:val="Subtitle Char"/>
    <w:basedOn w:val="DefaultParagraphFont"/>
    <w:link w:val="Subtitle"/>
    <w:uiPriority w:val="11"/>
    <w:rPr>
      <w:sz w:val="24"/>
      <w:szCs w:val="24"/>
    </w:rPr>
  </w:style>
  <w:style w:styleId="Quote" w:type="paragraph">
    <w:name w:val="Quote"/>
    <w:basedOn w:val="Normal"/>
    <w:next w:val="Normal"/>
    <w:link w:val="QuoteChar"/>
    <w:uiPriority w:val="29"/>
    <w:qFormat/>
    <w:pPr>
      <w:ind w:left="720" w:right="720"/>
    </w:pPr>
    <w:rPr>
      <w:i/>
    </w:rPr>
  </w:style>
  <w:style w:customStyle="1" w:styleId="QuoteChar" w:type="character">
    <w:name w:val="Quote Char"/>
    <w:link w:val="Quote"/>
    <w:uiPriority w:val="29"/>
    <w:rPr>
      <w:i/>
    </w:rPr>
  </w:style>
  <w:style w:styleId="IntenseQuote" w:type="paragraph">
    <w:name w:val="Intense Quote"/>
    <w:basedOn w:val="Normal"/>
    <w:next w:val="Normal"/>
    <w:link w:val="IntenseQuoteChar"/>
    <w:uiPriority w:val="30"/>
    <w:qFormat/>
    <w:pPr>
      <w:pBdr>
        <w:top w:color="FFFFFF" w:space="5" w:sz="4" w:val="single"/>
        <w:left w:color="FFFFFF" w:space="10" w:sz="4" w:val="single"/>
        <w:bottom w:color="FFFFFF" w:space="5" w:sz="4" w:val="single"/>
        <w:right w:color="FFFFFF" w:space="10" w:sz="4" w:val="single"/>
      </w:pBdr>
      <w:shd w:color="auto" w:fill="F2F2F2" w:val="clear"/>
      <w:ind w:left="720" w:right="720"/>
    </w:pPr>
    <w:rPr>
      <w:i/>
    </w:rPr>
  </w:style>
  <w:style w:customStyle="1" w:styleId="IntenseQuoteChar" w:type="character">
    <w:name w:val="Intense Quote Char"/>
    <w:link w:val="IntenseQuote"/>
    <w:uiPriority w:val="30"/>
    <w:rPr>
      <w:i/>
    </w:rPr>
  </w:style>
  <w:style w:styleId="Header" w:type="paragraph">
    <w:name w:val="header"/>
    <w:basedOn w:val="Normal"/>
    <w:link w:val="HeaderChar"/>
    <w:uiPriority w:val="99"/>
    <w:unhideWhenUsed/>
    <w:pPr>
      <w:tabs>
        <w:tab w:pos="7143" w:val="center"/>
        <w:tab w:pos="14287" w:val="right"/>
      </w:tabs>
      <w:spacing w:after="0"/>
    </w:pPr>
  </w:style>
  <w:style w:customStyle="1" w:styleId="HeaderChar" w:type="character">
    <w:name w:val="Header Char"/>
    <w:basedOn w:val="DefaultParagraphFont"/>
    <w:link w:val="Header"/>
    <w:uiPriority w:val="99"/>
  </w:style>
  <w:style w:styleId="Footer" w:type="paragraph">
    <w:name w:val="footer"/>
    <w:basedOn w:val="Normal"/>
    <w:link w:val="FooterChar1"/>
    <w:uiPriority w:val="99"/>
    <w:unhideWhenUsed/>
    <w:pPr>
      <w:tabs>
        <w:tab w:pos="7143" w:val="center"/>
        <w:tab w:pos="14287" w:val="right"/>
      </w:tabs>
      <w:spacing w:after="0"/>
    </w:pPr>
  </w:style>
  <w:style w:customStyle="1" w:styleId="FooterChar" w:type="character">
    <w:name w:val="Footer Char"/>
    <w:basedOn w:val="DefaultParagraphFont"/>
    <w:uiPriority w:val="99"/>
  </w:style>
  <w:style w:customStyle="1" w:styleId="FooterChar1" w:type="character">
    <w:name w:val="Footer Char1"/>
    <w:link w:val="Footer"/>
    <w:uiPriority w:val="99"/>
  </w:style>
  <w:style w:styleId="TableGrid" w:type="table">
    <w:name w:val="Table Grid"/>
    <w:basedOn w:val="TableNormal"/>
    <w:uiPriority w:val="59"/>
    <w:pPr>
      <w:spacing w:after="0"/>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styleId="TableGridLight" w:type="table">
    <w:name w:val="Grid Table Light"/>
    <w:basedOn w:val="TableNormal"/>
    <w:uiPriority w:val="59"/>
    <w:pPr>
      <w:spacing w:after="0"/>
    </w:pPr>
    <w:tblPr>
      <w:tblBorders>
        <w:top w:color="AFAFAF" w:space="0" w:sz="4" w:themeColor="text1" w:themeTint="50" w:val="single"/>
        <w:left w:color="AFAFAF" w:space="0" w:sz="4" w:themeColor="text1" w:themeTint="50" w:val="single"/>
        <w:bottom w:color="AFAFAF" w:space="0" w:sz="4" w:themeColor="text1" w:themeTint="50" w:val="single"/>
        <w:right w:color="AFAFAF" w:space="0" w:sz="4" w:themeColor="text1" w:themeTint="50" w:val="single"/>
        <w:insideH w:color="AFAFAF" w:space="0" w:sz="4" w:themeColor="text1" w:themeTint="50" w:val="single"/>
        <w:insideV w:color="AFAFAF" w:space="0" w:sz="4" w:themeColor="text1" w:themeTint="50" w:val="single"/>
      </w:tblBorders>
    </w:tblPr>
  </w:style>
  <w:style w:styleId="PlainTable1" w:type="table">
    <w:name w:val="Plain Table 1"/>
    <w:basedOn w:val="TableNormal"/>
    <w:uiPriority w:val="59"/>
    <w:pPr>
      <w:spacing w:after="0"/>
    </w:pPr>
    <w:tblPr>
      <w:tblBorders>
        <w:top w:color="AFAFAF" w:space="0" w:sz="4" w:themeColor="text1" w:themeTint="50" w:val="single"/>
        <w:left w:color="AFAFAF" w:space="0" w:sz="4" w:themeColor="text1" w:themeTint="50" w:val="single"/>
        <w:bottom w:color="AFAFAF" w:space="0" w:sz="4" w:themeColor="text1" w:themeTint="50" w:val="single"/>
        <w:right w:color="AFAFAF" w:space="0" w:sz="4" w:themeColor="text1" w:themeTint="50" w:val="single"/>
        <w:insideH w:color="AFAFAF" w:space="0" w:sz="4" w:themeColor="text1" w:themeTint="50" w:val="single"/>
        <w:insideV w:color="AFAFAF" w:space="0" w:sz="4" w:themeColor="text1" w:themeTint="50" w:val="single"/>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color="F2F2F2" w:fill="F2F2F2" w:themeColor="text1" w:themeFill="text1" w:themeFillTint="0D" w:themeTint="0D" w:val="clear"/>
      </w:tcPr>
    </w:tblStylePr>
    <w:tblStylePr w:type="band1Horz">
      <w:tblPr/>
      <w:tcPr>
        <w:shd w:color="F2F2F2" w:fill="F2F2F2" w:themeColor="text1" w:themeFill="text1" w:themeFillTint="0D" w:themeTint="0D" w:val="clear"/>
      </w:tcPr>
    </w:tblStylePr>
  </w:style>
  <w:style w:styleId="PlainTable2" w:type="table">
    <w:name w:val="Plain Table 2"/>
    <w:basedOn w:val="TableNormal"/>
    <w:uiPriority w:val="59"/>
    <w:pPr>
      <w:spacing w:after="0"/>
    </w:pPr>
    <w:tblPr>
      <w:tblBorders>
        <w:top w:color="000000" w:space="0" w:sz="4" w:themeColor="text1" w:val="single"/>
        <w:left w:color="000000" w:space="0" w:sz="4" w:themeColor="text1" w:val="none"/>
        <w:bottom w:color="000000" w:space="0" w:sz="4" w:themeColor="text1" w:val="single"/>
        <w:right w:color="000000" w:space="0" w:sz="4" w:themeColor="text1" w:val="none"/>
      </w:tblBorders>
    </w:tblPr>
    <w:tblStylePr w:type="firstRow">
      <w:rPr>
        <w:rFonts w:ascii="Arial" w:hAnsi="Arial"/>
        <w:b/>
        <w:color w:val="404040"/>
        <w:sz w:val="22"/>
      </w:rPr>
      <w:tblPr/>
      <w:tcPr>
        <w:tcBorders>
          <w:top w:color="000000" w:space="0" w:sz="4" w:themeColor="text1" w:val="single"/>
          <w:bottom w:color="000000" w:space="0" w:sz="4" w:themeColor="text1" w:val="single"/>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styleId="PlainTable3" w:type="table">
    <w:name w:val="Plain Table 3"/>
    <w:basedOn w:val="TableNormal"/>
    <w:uiPriority w:val="99"/>
    <w:pPr>
      <w:spacing w:after="0"/>
    </w:pPr>
    <w:tblPr>
      <w:tblStyleRowBandSize w:val="1"/>
      <w:tblStyleColBandSize w:val="1"/>
    </w:tblPr>
    <w:tblStylePr w:type="firstRow">
      <w:rPr>
        <w:b/>
        <w:caps/>
        <w:color w:val="404040"/>
      </w:rPr>
      <w:tblPr/>
      <w:tcPr>
        <w:tcBorders>
          <w:top w:color="000000" w:space="0" w:sz="4" w:val="none"/>
          <w:left w:color="000000" w:space="0" w:sz="4" w:val="none"/>
          <w:bottom w:color="404040" w:space="0" w:sz="4" w:val="single"/>
          <w:right w:color="000000" w:space="0" w:sz="4" w:val="none"/>
        </w:tcBorders>
      </w:tcPr>
    </w:tblStylePr>
    <w:tblStylePr w:type="lastRow">
      <w:rPr>
        <w:b/>
        <w:caps/>
        <w:color w:val="404040"/>
      </w:rPr>
    </w:tblStylePr>
    <w:tblStylePr w:type="firstCol">
      <w:rPr>
        <w:b/>
        <w:caps/>
        <w:color w:val="404040"/>
      </w:rPr>
      <w:tblPr/>
      <w:tcPr>
        <w:tcBorders>
          <w:top w:color="000000" w:space="0" w:sz="4" w:val="none"/>
          <w:left w:color="000000" w:space="0" w:sz="4" w:val="none"/>
          <w:bottom w:color="000000" w:space="0" w:sz="4" w:val="none"/>
          <w:right w:color="404040" w:space="0" w:sz="4" w:val="single"/>
        </w:tcBorders>
      </w:tcPr>
    </w:tblStylePr>
    <w:tblStylePr w:type="lastCol">
      <w:rPr>
        <w:b/>
        <w:caps/>
        <w:color w:val="404040"/>
      </w:rPr>
    </w:tblStylePr>
    <w:tblStylePr w:type="band1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Pr/>
      <w:tcPr>
        <w:shd w:color="F2F2F2" w:fill="F2F2F2" w:themeColor="text1" w:themeFill="text1" w:themeFillTint="0D" w:themeTint="0D" w:val="clear"/>
      </w:tcPr>
    </w:tblStylePr>
  </w:style>
  <w:style w:styleId="PlainTable4" w:type="table">
    <w:name w:val="Plain Table 4"/>
    <w:basedOn w:val="TableNormal"/>
    <w:uiPriority w:val="99"/>
    <w:pPr>
      <w:spacing w:after="0"/>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Pr/>
      <w:tcPr>
        <w:shd w:color="F2F2F2" w:fill="F2F2F2" w:themeColor="text1" w:themeFill="text1" w:themeFillTint="0D" w:themeTint="0D" w:val="clear"/>
      </w:tcPr>
    </w:tblStylePr>
  </w:style>
  <w:style w:styleId="PlainTable5" w:type="table">
    <w:name w:val="Plain Table 5"/>
    <w:basedOn w:val="TableNormal"/>
    <w:uiPriority w:val="99"/>
    <w:pPr>
      <w:spacing w:after="0"/>
    </w:pPr>
    <w:tblPr>
      <w:tblStyleRowBandSize w:val="1"/>
      <w:tblStyleColBandSize w:val="1"/>
    </w:tblPr>
    <w:tblStylePr w:type="firstRow">
      <w:rPr>
        <w:i/>
        <w:color w:val="404040"/>
      </w:rPr>
      <w:tblPr/>
      <w:tcPr>
        <w:tcBorders>
          <w:left w:color="000000" w:space="0" w:sz="4" w:val="none"/>
          <w:bottom w:color="404040" w:space="0" w:sz="4" w:val="single"/>
          <w:right w:color="000000" w:space="0" w:sz="4" w:val="none"/>
        </w:tcBorders>
        <w:shd w:color="FFFFFF" w:fill="auto" w:val="clear"/>
      </w:tcPr>
    </w:tblStylePr>
    <w:tblStylePr w:type="lastRow">
      <w:rPr>
        <w:i/>
        <w:color w:val="404040"/>
      </w:rPr>
      <w:tblPr/>
      <w:tcPr>
        <w:tcBorders>
          <w:top w:color="404040" w:space="0" w:sz="4" w:val="single"/>
          <w:left w:color="000000" w:space="0" w:sz="4" w:val="none"/>
          <w:right w:color="000000" w:space="0" w:sz="4" w:val="none"/>
        </w:tcBorders>
        <w:shd w:color="FFFFFF" w:fill="auto" w:val="clear"/>
      </w:tcPr>
    </w:tblStylePr>
    <w:tblStylePr w:type="firstCol">
      <w:pPr>
        <w:jc w:val="right"/>
      </w:pPr>
      <w:rPr>
        <w:i/>
        <w:color w:val="404040"/>
      </w:rPr>
      <w:tblPr/>
      <w:tcPr>
        <w:tcBorders>
          <w:right w:color="404040" w:space="0" w:sz="4" w:val="single"/>
        </w:tcBorders>
        <w:shd w:color="FFFFFF" w:fill="auto" w:val="clear"/>
      </w:tcPr>
    </w:tblStylePr>
    <w:tblStylePr w:type="lastCol">
      <w:rPr>
        <w:i/>
        <w:color w:val="404040"/>
      </w:rPr>
      <w:tblPr/>
      <w:tcPr>
        <w:tcBorders>
          <w:left w:color="404040" w:space="0" w:sz="4" w:val="single"/>
        </w:tcBorders>
        <w:shd w:color="FFFFFF" w:fill="auto" w:val="clear"/>
      </w:tcPr>
    </w:tblStylePr>
    <w:tblStylePr w:type="band1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Pr/>
      <w:tcPr>
        <w:shd w:color="F2F2F2" w:fill="F2F2F2" w:themeColor="text1" w:themeFill="text1" w:themeFillTint="0D" w:themeTint="0D" w:val="clear"/>
      </w:tcPr>
    </w:tblStylePr>
  </w:style>
  <w:style w:styleId="GridTable1Light" w:type="table">
    <w:name w:val="Grid Table 1 Light"/>
    <w:basedOn w:val="TableNormal"/>
    <w:uiPriority w:val="99"/>
    <w:pPr>
      <w:spacing w:after="0"/>
    </w:pPr>
    <w:tblPr>
      <w:tblStyleRowBandSize w:val="1"/>
      <w:tblStyleColBandSize w:val="1"/>
      <w:tblBorders>
        <w:top w:color="989898" w:space="0" w:sz="4" w:themeColor="text1" w:themeTint="67" w:val="single"/>
        <w:left w:color="989898" w:space="0" w:sz="4" w:themeColor="text1" w:themeTint="67" w:val="single"/>
        <w:bottom w:color="989898" w:space="0" w:sz="4" w:themeColor="text1" w:themeTint="67" w:val="single"/>
        <w:right w:color="989898" w:space="0" w:sz="4" w:themeColor="text1" w:themeTint="67" w:val="single"/>
        <w:insideH w:color="989898" w:space="0" w:sz="4" w:themeColor="text1" w:themeTint="67" w:val="single"/>
        <w:insideV w:color="989898" w:space="0" w:sz="4" w:themeColor="text1" w:themeTint="67" w:val="single"/>
      </w:tblBorders>
    </w:tblPr>
    <w:tblStylePr w:type="firstRow">
      <w:rPr>
        <w:b/>
        <w:color w:val="404040"/>
      </w:rPr>
      <w:tblPr/>
      <w:tcPr>
        <w:tcBorders>
          <w:bottom w:color="6A6A6A" w:space="0" w:sz="12" w:themeColor="text1"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989898" w:space="0" w:sz="4" w:themeColor="text1" w:themeTint="67" w:val="single"/>
          <w:left w:color="989898" w:space="0" w:sz="4" w:themeColor="text1" w:themeTint="67" w:val="single"/>
          <w:bottom w:color="989898" w:space="0" w:sz="4" w:themeColor="text1" w:themeTint="67" w:val="single"/>
          <w:right w:color="989898" w:space="0" w:sz="4" w:themeColor="text1" w:themeTint="67" w:val="single"/>
        </w:tcBorders>
      </w:tcPr>
    </w:tblStylePr>
  </w:style>
  <w:style w:styleId="GridTable1Light-Accent1" w:type="table">
    <w:name w:val="Grid Table 1 Light Accent 1"/>
    <w:basedOn w:val="TableNormal"/>
    <w:uiPriority w:val="99"/>
    <w:pPr>
      <w:spacing w:after="0"/>
    </w:pPr>
    <w:tblPr>
      <w:tblStyleRowBandSize w:val="1"/>
      <w:tblStyleColBandSize w:val="1"/>
      <w:tblBorders>
        <w:top w:color="B7CBE4" w:space="0" w:sz="4" w:themeColor="accent1" w:themeTint="67" w:val="single"/>
        <w:left w:color="B7CBE4" w:space="0" w:sz="4" w:themeColor="accent1" w:themeTint="67" w:val="single"/>
        <w:bottom w:color="B7CBE4" w:space="0" w:sz="4" w:themeColor="accent1" w:themeTint="67" w:val="single"/>
        <w:right w:color="B7CBE4" w:space="0" w:sz="4" w:themeColor="accent1" w:themeTint="67" w:val="single"/>
        <w:insideH w:color="B7CBE4" w:space="0" w:sz="4" w:themeColor="accent1" w:themeTint="67" w:val="single"/>
        <w:insideV w:color="B7CBE4" w:space="0" w:sz="4" w:themeColor="accent1" w:themeTint="67" w:val="single"/>
      </w:tblBorders>
    </w:tblPr>
    <w:tblStylePr w:type="firstRow">
      <w:rPr>
        <w:b/>
        <w:color w:val="404040"/>
      </w:rPr>
      <w:tblPr/>
      <w:tcPr>
        <w:tcBorders>
          <w:bottom w:color="97B4D8" w:space="0" w:sz="12" w:themeColor="accent1"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B7CBE4" w:space="0" w:sz="4" w:themeColor="accent1" w:themeTint="67" w:val="single"/>
          <w:left w:color="B7CBE4" w:space="0" w:sz="4" w:themeColor="accent1" w:themeTint="67" w:val="single"/>
          <w:bottom w:color="B7CBE4" w:space="0" w:sz="4" w:themeColor="accent1" w:themeTint="67" w:val="single"/>
          <w:right w:color="B7CBE4" w:space="0" w:sz="4" w:themeColor="accent1" w:themeTint="67" w:val="single"/>
        </w:tcBorders>
      </w:tcPr>
    </w:tblStylePr>
  </w:style>
  <w:style w:styleId="GridTable1Light-Accent2" w:type="table">
    <w:name w:val="Grid Table 1 Light Accent 2"/>
    <w:basedOn w:val="TableNormal"/>
    <w:uiPriority w:val="99"/>
    <w:pPr>
      <w:spacing w:after="0"/>
    </w:pPr>
    <w:tblPr>
      <w:tblStyleRowBandSize w:val="1"/>
      <w:tblStyleColBandSize w:val="1"/>
      <w:tblBorders>
        <w:top w:color="E5B7B6" w:space="0" w:sz="4" w:themeColor="accent2" w:themeTint="67" w:val="single"/>
        <w:left w:color="E5B7B6" w:space="0" w:sz="4" w:themeColor="accent2" w:themeTint="67" w:val="single"/>
        <w:bottom w:color="E5B7B6" w:space="0" w:sz="4" w:themeColor="accent2" w:themeTint="67" w:val="single"/>
        <w:right w:color="E5B7B6" w:space="0" w:sz="4" w:themeColor="accent2" w:themeTint="67" w:val="single"/>
        <w:insideH w:color="E5B7B6" w:space="0" w:sz="4" w:themeColor="accent2" w:themeTint="67" w:val="single"/>
        <w:insideV w:color="E5B7B6" w:space="0" w:sz="4" w:themeColor="accent2" w:themeTint="67" w:val="single"/>
      </w:tblBorders>
    </w:tblPr>
    <w:tblStylePr w:type="firstRow">
      <w:rPr>
        <w:b/>
        <w:color w:val="404040"/>
      </w:rPr>
      <w:tblPr/>
      <w:tcPr>
        <w:tcBorders>
          <w:bottom w:color="DA9896" w:space="0" w:sz="12" w:themeColor="accent2"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E5B7B6" w:space="0" w:sz="4" w:themeColor="accent2" w:themeTint="67" w:val="single"/>
          <w:left w:color="E5B7B6" w:space="0" w:sz="4" w:themeColor="accent2" w:themeTint="67" w:val="single"/>
          <w:bottom w:color="E5B7B6" w:space="0" w:sz="4" w:themeColor="accent2" w:themeTint="67" w:val="single"/>
          <w:right w:color="E5B7B6" w:space="0" w:sz="4" w:themeColor="accent2" w:themeTint="67" w:val="single"/>
        </w:tcBorders>
      </w:tcPr>
    </w:tblStylePr>
  </w:style>
  <w:style w:styleId="GridTable1Light-Accent3" w:type="table">
    <w:name w:val="Grid Table 1 Light Accent 3"/>
    <w:basedOn w:val="TableNormal"/>
    <w:uiPriority w:val="99"/>
    <w:pPr>
      <w:spacing w:after="0"/>
    </w:pPr>
    <w:tblPr>
      <w:tblStyleRowBandSize w:val="1"/>
      <w:tblStyleColBandSize w:val="1"/>
      <w:tblBorders>
        <w:top w:color="D6E3BB" w:space="0" w:sz="4" w:themeColor="accent3" w:themeTint="67" w:val="single"/>
        <w:left w:color="D6E3BB" w:space="0" w:sz="4" w:themeColor="accent3" w:themeTint="67" w:val="single"/>
        <w:bottom w:color="D6E3BB" w:space="0" w:sz="4" w:themeColor="accent3" w:themeTint="67" w:val="single"/>
        <w:right w:color="D6E3BB" w:space="0" w:sz="4" w:themeColor="accent3" w:themeTint="67" w:val="single"/>
        <w:insideH w:color="D6E3BB" w:space="0" w:sz="4" w:themeColor="accent3" w:themeTint="67" w:val="single"/>
        <w:insideV w:color="D6E3BB" w:space="0" w:sz="4" w:themeColor="accent3" w:themeTint="67" w:val="single"/>
      </w:tblBorders>
    </w:tblPr>
    <w:tblStylePr w:type="firstRow">
      <w:rPr>
        <w:b/>
        <w:color w:val="404040"/>
      </w:rPr>
      <w:tblPr/>
      <w:tcPr>
        <w:tcBorders>
          <w:bottom w:color="C4D79D" w:space="0" w:sz="12" w:themeColor="accent3"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D6E3BB" w:space="0" w:sz="4" w:themeColor="accent3" w:themeTint="67" w:val="single"/>
          <w:left w:color="D6E3BB" w:space="0" w:sz="4" w:themeColor="accent3" w:themeTint="67" w:val="single"/>
          <w:bottom w:color="D6E3BB" w:space="0" w:sz="4" w:themeColor="accent3" w:themeTint="67" w:val="single"/>
          <w:right w:color="D6E3BB" w:space="0" w:sz="4" w:themeColor="accent3" w:themeTint="67" w:val="single"/>
        </w:tcBorders>
      </w:tcPr>
    </w:tblStylePr>
  </w:style>
  <w:style w:styleId="GridTable1Light-Accent4" w:type="table">
    <w:name w:val="Grid Table 1 Light Accent 4"/>
    <w:basedOn w:val="TableNormal"/>
    <w:uiPriority w:val="99"/>
    <w:pPr>
      <w:spacing w:after="0"/>
    </w:pPr>
    <w:tblPr>
      <w:tblStyleRowBandSize w:val="1"/>
      <w:tblStyleColBandSize w:val="1"/>
      <w:tblBorders>
        <w:top w:color="CBC0D9" w:space="0" w:sz="4" w:themeColor="accent4" w:themeTint="67" w:val="single"/>
        <w:left w:color="CBC0D9" w:space="0" w:sz="4" w:themeColor="accent4" w:themeTint="67" w:val="single"/>
        <w:bottom w:color="CBC0D9" w:space="0" w:sz="4" w:themeColor="accent4" w:themeTint="67" w:val="single"/>
        <w:right w:color="CBC0D9" w:space="0" w:sz="4" w:themeColor="accent4" w:themeTint="67" w:val="single"/>
        <w:insideH w:color="CBC0D9" w:space="0" w:sz="4" w:themeColor="accent4" w:themeTint="67" w:val="single"/>
        <w:insideV w:color="CBC0D9" w:space="0" w:sz="4" w:themeColor="accent4" w:themeTint="67" w:val="single"/>
      </w:tblBorders>
    </w:tblPr>
    <w:tblStylePr w:type="firstRow">
      <w:rPr>
        <w:b/>
        <w:color w:val="404040"/>
      </w:rPr>
      <w:tblPr/>
      <w:tcPr>
        <w:tcBorders>
          <w:bottom w:color="B4A4C8" w:space="0" w:sz="12" w:themeColor="accent4"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CBC0D9" w:space="0" w:sz="4" w:themeColor="accent4" w:themeTint="67" w:val="single"/>
          <w:left w:color="CBC0D9" w:space="0" w:sz="4" w:themeColor="accent4" w:themeTint="67" w:val="single"/>
          <w:bottom w:color="CBC0D9" w:space="0" w:sz="4" w:themeColor="accent4" w:themeTint="67" w:val="single"/>
          <w:right w:color="CBC0D9" w:space="0" w:sz="4" w:themeColor="accent4" w:themeTint="67" w:val="single"/>
        </w:tcBorders>
      </w:tcPr>
    </w:tblStylePr>
  </w:style>
  <w:style w:styleId="GridTable1Light-Accent5" w:type="table">
    <w:name w:val="Grid Table 1 Light Accent 5"/>
    <w:basedOn w:val="TableNormal"/>
    <w:uiPriority w:val="99"/>
    <w:pPr>
      <w:spacing w:after="0"/>
    </w:pPr>
    <w:tblPr>
      <w:tblStyleRowBandSize w:val="1"/>
      <w:tblStyleColBandSize w:val="1"/>
      <w:tblBorders>
        <w:top w:color="B6DDE8" w:space="0" w:sz="4" w:themeColor="accent5" w:themeTint="67" w:val="single"/>
        <w:left w:color="B6DDE8" w:space="0" w:sz="4" w:themeColor="accent5" w:themeTint="67" w:val="single"/>
        <w:bottom w:color="B6DDE8" w:space="0" w:sz="4" w:themeColor="accent5" w:themeTint="67" w:val="single"/>
        <w:right w:color="B6DDE8" w:space="0" w:sz="4" w:themeColor="accent5" w:themeTint="67" w:val="single"/>
        <w:insideH w:color="B6DDE8" w:space="0" w:sz="4" w:themeColor="accent5" w:themeTint="67" w:val="single"/>
        <w:insideV w:color="B6DDE8" w:space="0" w:sz="4" w:themeColor="accent5" w:themeTint="67" w:val="single"/>
      </w:tblBorders>
    </w:tblPr>
    <w:tblStylePr w:type="firstRow">
      <w:rPr>
        <w:b/>
        <w:color w:val="404040"/>
      </w:rPr>
      <w:tblPr/>
      <w:tcPr>
        <w:tcBorders>
          <w:bottom w:color="95CEDD" w:space="0" w:sz="12" w:themeColor="accent5"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B6DDE8" w:space="0" w:sz="4" w:themeColor="accent5" w:themeTint="67" w:val="single"/>
          <w:left w:color="B6DDE8" w:space="0" w:sz="4" w:themeColor="accent5" w:themeTint="67" w:val="single"/>
          <w:bottom w:color="B6DDE8" w:space="0" w:sz="4" w:themeColor="accent5" w:themeTint="67" w:val="single"/>
          <w:right w:color="B6DDE8" w:space="0" w:sz="4" w:themeColor="accent5" w:themeTint="67" w:val="single"/>
        </w:tcBorders>
      </w:tcPr>
    </w:tblStylePr>
  </w:style>
  <w:style w:styleId="GridTable1Light-Accent6" w:type="table">
    <w:name w:val="Grid Table 1 Light Accent 6"/>
    <w:basedOn w:val="TableNormal"/>
    <w:uiPriority w:val="99"/>
    <w:pPr>
      <w:spacing w:after="0"/>
    </w:pPr>
    <w:tblPr>
      <w:tblStyleRowBandSize w:val="1"/>
      <w:tblStyleColBandSize w:val="1"/>
      <w:tblBorders>
        <w:top w:color="FBD4B4" w:space="0" w:sz="4" w:themeColor="accent6" w:themeTint="67" w:val="single"/>
        <w:left w:color="FBD4B4" w:space="0" w:sz="4" w:themeColor="accent6" w:themeTint="67" w:val="single"/>
        <w:bottom w:color="FBD4B4" w:space="0" w:sz="4" w:themeColor="accent6" w:themeTint="67" w:val="single"/>
        <w:right w:color="FBD4B4" w:space="0" w:sz="4" w:themeColor="accent6" w:themeTint="67" w:val="single"/>
        <w:insideH w:color="FBD4B4" w:space="0" w:sz="4" w:themeColor="accent6" w:themeTint="67" w:val="single"/>
        <w:insideV w:color="FBD4B4" w:space="0" w:sz="4" w:themeColor="accent6" w:themeTint="67" w:val="single"/>
      </w:tblBorders>
    </w:tblPr>
    <w:tblStylePr w:type="firstRow">
      <w:rPr>
        <w:b/>
        <w:color w:val="404040"/>
      </w:rPr>
      <w:tblPr/>
      <w:tcPr>
        <w:tcBorders>
          <w:bottom w:color="FAC192" w:space="0" w:sz="12" w:themeColor="accent6"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FBD4B4" w:space="0" w:sz="4" w:themeColor="accent6" w:themeTint="67" w:val="single"/>
          <w:left w:color="FBD4B4" w:space="0" w:sz="4" w:themeColor="accent6" w:themeTint="67" w:val="single"/>
          <w:bottom w:color="FBD4B4" w:space="0" w:sz="4" w:themeColor="accent6" w:themeTint="67" w:val="single"/>
          <w:right w:color="FBD4B4" w:space="0" w:sz="4" w:themeColor="accent6" w:themeTint="67" w:val="single"/>
        </w:tcBorders>
      </w:tcPr>
    </w:tblStylePr>
  </w:style>
  <w:style w:styleId="GridTable2" w:type="table">
    <w:name w:val="Grid Table 2"/>
    <w:basedOn w:val="TableNormal"/>
    <w:uiPriority w:val="99"/>
    <w:pPr>
      <w:spacing w:after="0"/>
    </w:pPr>
    <w:tblPr>
      <w:tblStyleRowBandSize w:val="1"/>
      <w:tblStyleColBandSize w:val="1"/>
      <w:tblBorders>
        <w:bottom w:color="6A6A6A" w:space="0" w:sz="4" w:themeColor="text1" w:themeTint="95" w:val="single"/>
        <w:insideH w:color="6A6A6A" w:space="0" w:sz="4" w:themeColor="text1" w:themeTint="95" w:val="single"/>
        <w:insideV w:color="6A6A6A" w:space="0" w:sz="4" w:themeColor="text1" w:themeTint="95" w:val="single"/>
      </w:tblBorders>
    </w:tblPr>
    <w:tblStylePr w:type="firstRow">
      <w:rPr>
        <w:b/>
        <w:color w:val="404040"/>
      </w:rPr>
      <w:tblPr/>
      <w:tcPr>
        <w:tcBorders>
          <w:top w:color="000000" w:space="0" w:sz="4" w:val="none"/>
          <w:left w:color="000000" w:space="0" w:sz="4" w:val="none"/>
          <w:bottom w:color="6A6A6A" w:space="0" w:sz="12" w:themeColor="text1" w:themeTint="95" w:val="single"/>
          <w:right w:color="000000" w:space="0" w:sz="4" w:val="none"/>
        </w:tcBorders>
        <w:shd w:color="FFFFFF" w:fill="auto" w:val="clear"/>
      </w:tcPr>
    </w:tblStylePr>
    <w:tblStylePr w:type="lastRow">
      <w:rPr>
        <w:b/>
        <w:color w:val="404040"/>
      </w:rPr>
      <w:tblPr/>
      <w:tcPr>
        <w:tcBorders>
          <w:top w:color="6A6A6A" w:space="0" w:sz="4" w:themeColor="text1" w:themeTint="95"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CBCBCB" w:fill="CBCBCB" w:themeColor="text1" w:themeFill="text1" w:themeFillTint="34" w:themeTint="34" w:val="clear"/>
      </w:tcPr>
    </w:tblStylePr>
    <w:tblStylePr w:type="band1Horz">
      <w:rPr>
        <w:rFonts w:ascii="Arial" w:hAnsi="Arial"/>
        <w:color w:val="404040"/>
        <w:sz w:val="22"/>
      </w:rPr>
      <w:tblPr/>
      <w:tcPr>
        <w:shd w:color="CBCBCB" w:fill="CBCBCB" w:themeColor="text1" w:themeFill="text1" w:themeFillTint="34" w:themeTint="34" w:val="clear"/>
      </w:tcPr>
    </w:tblStylePr>
  </w:style>
  <w:style w:styleId="GridTable2-Accent1" w:type="table">
    <w:name w:val="Grid Table 2 Accent 1"/>
    <w:basedOn w:val="TableNormal"/>
    <w:uiPriority w:val="99"/>
    <w:pPr>
      <w:spacing w:after="0"/>
    </w:pPr>
    <w:tblPr>
      <w:tblStyleRowBandSize w:val="1"/>
      <w:tblStyleColBandSize w:val="1"/>
      <w:tblBorders>
        <w:bottom w:color="5D8AC2" w:space="0" w:sz="4" w:themeColor="accent1" w:themeTint="EA" w:val="single"/>
        <w:insideH w:color="5D8AC2" w:space="0" w:sz="4" w:themeColor="accent1" w:themeTint="EA" w:val="single"/>
        <w:insideV w:color="5D8AC2" w:space="0" w:sz="4" w:themeColor="accent1" w:themeTint="EA" w:val="single"/>
      </w:tblBorders>
    </w:tblPr>
    <w:tblStylePr w:type="firstRow">
      <w:rPr>
        <w:b/>
        <w:color w:val="404040"/>
      </w:rPr>
      <w:tblPr/>
      <w:tcPr>
        <w:tcBorders>
          <w:top w:color="000000" w:space="0" w:sz="4" w:val="none"/>
          <w:left w:color="000000" w:space="0" w:sz="4" w:val="none"/>
          <w:bottom w:color="5D8AC2" w:space="0" w:sz="12" w:themeColor="accent1" w:themeTint="EA" w:val="single"/>
          <w:right w:color="000000" w:space="0" w:sz="4" w:val="none"/>
        </w:tcBorders>
        <w:shd w:color="FFFFFF" w:fill="auto" w:val="clear"/>
      </w:tcPr>
    </w:tblStylePr>
    <w:tblStylePr w:type="lastRow">
      <w:rPr>
        <w:b/>
        <w:color w:val="404040"/>
      </w:rPr>
      <w:tblPr/>
      <w:tcPr>
        <w:tcBorders>
          <w:top w:color="5D8AC2" w:space="0" w:sz="4" w:themeColor="accent1" w:themeTint="EA"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DAE5F1" w:fill="DAE5F1" w:themeColor="accent1" w:themeFill="accent1" w:themeFillTint="34" w:themeTint="34" w:val="clear"/>
      </w:tcPr>
    </w:tblStylePr>
    <w:tblStylePr w:type="band1Horz">
      <w:rPr>
        <w:rFonts w:ascii="Arial" w:hAnsi="Arial"/>
        <w:color w:val="404040"/>
        <w:sz w:val="22"/>
      </w:rPr>
      <w:tblPr/>
      <w:tcPr>
        <w:shd w:color="DAE5F1" w:fill="DAE5F1" w:themeColor="accent1" w:themeFill="accent1" w:themeFillTint="34" w:themeTint="34" w:val="clear"/>
      </w:tcPr>
    </w:tblStylePr>
  </w:style>
  <w:style w:styleId="GridTable2-Accent2" w:type="table">
    <w:name w:val="Grid Table 2 Accent 2"/>
    <w:basedOn w:val="TableNormal"/>
    <w:uiPriority w:val="99"/>
    <w:pPr>
      <w:spacing w:after="0"/>
    </w:pPr>
    <w:tblPr>
      <w:tblStyleRowBandSize w:val="1"/>
      <w:tblStyleColBandSize w:val="1"/>
      <w:tblBorders>
        <w:bottom w:color="D99695" w:space="0" w:sz="4" w:themeColor="accent2" w:themeTint="97" w:val="single"/>
        <w:insideH w:color="D99695" w:space="0" w:sz="4" w:themeColor="accent2" w:themeTint="97" w:val="single"/>
        <w:insideV w:color="D99695" w:space="0" w:sz="4" w:themeColor="accent2" w:themeTint="97" w:val="single"/>
      </w:tblBorders>
    </w:tblPr>
    <w:tblStylePr w:type="firstRow">
      <w:rPr>
        <w:b/>
        <w:color w:val="404040"/>
      </w:rPr>
      <w:tblPr/>
      <w:tcPr>
        <w:tcBorders>
          <w:top w:color="000000" w:space="0" w:sz="4" w:val="none"/>
          <w:left w:color="000000" w:space="0" w:sz="4" w:val="none"/>
          <w:bottom w:color="D99695" w:space="0" w:sz="12" w:themeColor="accent2" w:themeTint="97" w:val="single"/>
          <w:right w:color="000000" w:space="0" w:sz="4" w:val="none"/>
        </w:tcBorders>
        <w:shd w:color="FFFFFF" w:fill="auto" w:val="clear"/>
      </w:tcPr>
    </w:tblStylePr>
    <w:tblStylePr w:type="lastRow">
      <w:rPr>
        <w:b/>
        <w:color w:val="404040"/>
      </w:rPr>
      <w:tblPr/>
      <w:tcPr>
        <w:tcBorders>
          <w:top w:color="D99695" w:space="0" w:sz="4" w:themeColor="accent2" w:themeTint="97"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Pr/>
      <w:tcPr>
        <w:shd w:color="F2DCDC" w:fill="F2DCDC" w:themeColor="accent2" w:themeFill="accent2" w:themeFillTint="32" w:themeTint="32" w:val="clear"/>
      </w:tcPr>
    </w:tblStylePr>
  </w:style>
  <w:style w:styleId="GridTable2-Accent3" w:type="table">
    <w:name w:val="Grid Table 2 Accent 3"/>
    <w:basedOn w:val="TableNormal"/>
    <w:uiPriority w:val="99"/>
    <w:pPr>
      <w:spacing w:after="0"/>
    </w:pPr>
    <w:tblPr>
      <w:tblStyleRowBandSize w:val="1"/>
      <w:tblStyleColBandSize w:val="1"/>
      <w:tblBorders>
        <w:bottom w:color="9ABB59" w:space="0" w:sz="4" w:themeColor="accent3" w:themeTint="FE" w:val="single"/>
        <w:insideH w:color="9ABB59" w:space="0" w:sz="4" w:themeColor="accent3" w:themeTint="FE" w:val="single"/>
        <w:insideV w:color="9ABB59" w:space="0" w:sz="4" w:themeColor="accent3" w:themeTint="FE" w:val="single"/>
      </w:tblBorders>
    </w:tblPr>
    <w:tblStylePr w:type="firstRow">
      <w:rPr>
        <w:b/>
        <w:color w:val="404040"/>
      </w:rPr>
      <w:tblPr/>
      <w:tcPr>
        <w:tcBorders>
          <w:top w:color="000000" w:space="0" w:sz="4" w:val="none"/>
          <w:left w:color="000000" w:space="0" w:sz="4" w:val="none"/>
          <w:bottom w:color="9ABB59" w:space="0" w:sz="12" w:themeColor="accent3" w:themeTint="FE" w:val="single"/>
          <w:right w:color="000000" w:space="0" w:sz="4" w:val="none"/>
        </w:tcBorders>
        <w:shd w:color="FFFFFF" w:fill="auto" w:val="clear"/>
      </w:tcPr>
    </w:tblStylePr>
    <w:tblStylePr w:type="lastRow">
      <w:rPr>
        <w:b/>
        <w:color w:val="404040"/>
      </w:rPr>
      <w:tblPr/>
      <w:tcPr>
        <w:tcBorders>
          <w:top w:color="9ABB59" w:space="0" w:sz="4" w:themeColor="accent3" w:themeTint="FE"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Pr/>
      <w:tcPr>
        <w:shd w:color="EAF1DC" w:fill="EAF1DC" w:themeColor="accent3" w:themeFill="accent3" w:themeFillTint="34" w:themeTint="34" w:val="clear"/>
      </w:tcPr>
    </w:tblStylePr>
  </w:style>
  <w:style w:styleId="GridTable2-Accent4" w:type="table">
    <w:name w:val="Grid Table 2 Accent 4"/>
    <w:basedOn w:val="TableNormal"/>
    <w:uiPriority w:val="99"/>
    <w:pPr>
      <w:spacing w:after="0"/>
    </w:pPr>
    <w:tblPr>
      <w:tblStyleRowBandSize w:val="1"/>
      <w:tblStyleColBandSize w:val="1"/>
      <w:tblBorders>
        <w:bottom w:color="B2A1C6" w:space="0" w:sz="4" w:themeColor="accent4" w:themeTint="9A" w:val="single"/>
        <w:insideH w:color="B2A1C6" w:space="0" w:sz="4" w:themeColor="accent4" w:themeTint="9A" w:val="single"/>
        <w:insideV w:color="B2A1C6" w:space="0" w:sz="4" w:themeColor="accent4" w:themeTint="9A" w:val="single"/>
      </w:tblBorders>
    </w:tblPr>
    <w:tblStylePr w:type="firstRow">
      <w:rPr>
        <w:b/>
        <w:color w:val="404040"/>
      </w:rPr>
      <w:tblPr/>
      <w:tcPr>
        <w:tcBorders>
          <w:top w:color="000000" w:space="0" w:sz="4" w:val="none"/>
          <w:left w:color="000000" w:space="0" w:sz="4" w:val="none"/>
          <w:bottom w:color="B2A1C6" w:space="0" w:sz="12" w:themeColor="accent4" w:themeTint="9A" w:val="single"/>
          <w:right w:color="000000" w:space="0" w:sz="4" w:val="none"/>
        </w:tcBorders>
        <w:shd w:color="FFFFFF" w:fill="auto" w:val="clear"/>
      </w:tcPr>
    </w:tblStylePr>
    <w:tblStylePr w:type="lastRow">
      <w:rPr>
        <w:b/>
        <w:color w:val="404040"/>
      </w:rPr>
      <w:tblPr/>
      <w:tcPr>
        <w:tcBorders>
          <w:top w:color="B2A1C6" w:space="0" w:sz="4" w:themeColor="accent4" w:themeTint="9A"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Pr/>
      <w:tcPr>
        <w:shd w:color="E5DFEC" w:fill="E5DFEC" w:themeColor="accent4" w:themeFill="accent4" w:themeFillTint="34" w:themeTint="34" w:val="clear"/>
      </w:tcPr>
    </w:tblStylePr>
  </w:style>
  <w:style w:styleId="GridTable2-Accent5" w:type="table">
    <w:name w:val="Grid Table 2 Accent 5"/>
    <w:basedOn w:val="TableNormal"/>
    <w:uiPriority w:val="99"/>
    <w:pPr>
      <w:spacing w:after="0"/>
    </w:pPr>
    <w:tblPr>
      <w:tblStyleRowBandSize w:val="1"/>
      <w:tblStyleColBandSize w:val="1"/>
      <w:tblBorders>
        <w:bottom w:color="4BACC6" w:space="0" w:sz="4" w:themeColor="accent5" w:val="single"/>
        <w:insideH w:color="4BACC6" w:space="0" w:sz="4" w:themeColor="accent5" w:val="single"/>
        <w:insideV w:color="4BACC6" w:space="0" w:sz="4" w:themeColor="accent5" w:val="single"/>
      </w:tblBorders>
    </w:tblPr>
    <w:tblStylePr w:type="firstRow">
      <w:rPr>
        <w:b/>
        <w:color w:val="404040"/>
      </w:rPr>
      <w:tblPr/>
      <w:tcPr>
        <w:tcBorders>
          <w:top w:color="000000" w:space="0" w:sz="4" w:val="none"/>
          <w:left w:color="000000" w:space="0" w:sz="4" w:val="none"/>
          <w:bottom w:color="4BACC6" w:space="0" w:sz="12" w:themeColor="accent5" w:val="single"/>
          <w:right w:color="000000" w:space="0" w:sz="4" w:val="none"/>
        </w:tcBorders>
        <w:shd w:color="FFFFFF" w:fill="auto" w:val="clear"/>
      </w:tcPr>
    </w:tblStylePr>
    <w:tblStylePr w:type="lastRow">
      <w:rPr>
        <w:b/>
        <w:color w:val="404040"/>
      </w:rPr>
      <w:tblPr/>
      <w:tcPr>
        <w:tcBorders>
          <w:top w:color="4BACC6" w:space="0" w:sz="4" w:themeColor="accent5"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Pr/>
      <w:tcPr>
        <w:shd w:color="DAEEF3" w:fill="DAEEF3" w:themeColor="accent5" w:themeFill="accent5" w:themeFillTint="34" w:themeTint="34" w:val="clear"/>
      </w:tcPr>
    </w:tblStylePr>
  </w:style>
  <w:style w:styleId="GridTable2-Accent6" w:type="table">
    <w:name w:val="Grid Table 2 Accent 6"/>
    <w:basedOn w:val="TableNormal"/>
    <w:uiPriority w:val="99"/>
    <w:pPr>
      <w:spacing w:after="0"/>
    </w:pPr>
    <w:tblPr>
      <w:tblStyleRowBandSize w:val="1"/>
      <w:tblStyleColBandSize w:val="1"/>
      <w:tblBorders>
        <w:bottom w:color="F79646" w:space="0" w:sz="4" w:themeColor="accent6" w:val="single"/>
        <w:insideH w:color="F79646" w:space="0" w:sz="4" w:themeColor="accent6" w:val="single"/>
        <w:insideV w:color="F79646" w:space="0" w:sz="4" w:themeColor="accent6" w:val="single"/>
      </w:tblBorders>
    </w:tblPr>
    <w:tblStylePr w:type="firstRow">
      <w:rPr>
        <w:b/>
        <w:color w:val="404040"/>
      </w:rPr>
      <w:tblPr/>
      <w:tcPr>
        <w:tcBorders>
          <w:top w:color="000000" w:space="0" w:sz="4" w:val="none"/>
          <w:left w:color="000000" w:space="0" w:sz="4" w:val="none"/>
          <w:bottom w:color="F79646" w:space="0" w:sz="12" w:themeColor="accent6" w:val="single"/>
          <w:right w:color="000000" w:space="0" w:sz="4" w:val="none"/>
        </w:tcBorders>
        <w:shd w:color="FFFFFF" w:fill="auto" w:val="clear"/>
      </w:tcPr>
    </w:tblStylePr>
    <w:tblStylePr w:type="lastRow">
      <w:rPr>
        <w:b/>
        <w:color w:val="404040"/>
      </w:rPr>
      <w:tblPr/>
      <w:tcPr>
        <w:tcBorders>
          <w:top w:color="F79646" w:space="0" w:sz="4" w:themeColor="accent6"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Pr/>
      <w:tcPr>
        <w:shd w:color="FDE9D8" w:fill="FDE9D8" w:themeColor="accent6" w:themeFill="accent6" w:themeFillTint="34" w:themeTint="34" w:val="clear"/>
      </w:tcPr>
    </w:tblStylePr>
  </w:style>
  <w:style w:styleId="GridTable3" w:type="table">
    <w:name w:val="Grid Table 3"/>
    <w:basedOn w:val="TableNormal"/>
    <w:uiPriority w:val="99"/>
    <w:pPr>
      <w:spacing w:after="0"/>
    </w:pPr>
    <w:tblPr>
      <w:tblStyleRowBandSize w:val="1"/>
      <w:tblStyleColBandSize w:val="1"/>
      <w:tblBorders>
        <w:bottom w:color="6A6A6A" w:space="0" w:sz="4" w:themeColor="text1" w:themeTint="95" w:val="single"/>
        <w:insideH w:color="6A6A6A" w:space="0" w:sz="4" w:themeColor="text1" w:themeTint="95" w:val="single"/>
        <w:insideV w:color="6A6A6A" w:space="0" w:sz="4" w:themeColor="text1" w:themeTint="95"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CBCBCB" w:fill="CBCBCB" w:themeColor="text1" w:themeFill="text1" w:themeFillTint="34" w:themeTint="34" w:val="clear"/>
      </w:tcPr>
    </w:tblStylePr>
    <w:tblStylePr w:type="band1Horz">
      <w:rPr>
        <w:rFonts w:ascii="Arial" w:hAnsi="Arial"/>
        <w:color w:val="404040"/>
        <w:sz w:val="22"/>
      </w:rPr>
      <w:tblPr/>
      <w:tcPr>
        <w:shd w:color="CBCBCB" w:fill="CBCBCB" w:themeColor="text1" w:themeFill="text1" w:themeFillTint="34" w:themeTint="34" w:val="clear"/>
      </w:tcPr>
    </w:tblStylePr>
  </w:style>
  <w:style w:styleId="GridTable3-Accent1" w:type="table">
    <w:name w:val="Grid Table 3 Accent 1"/>
    <w:basedOn w:val="TableNormal"/>
    <w:uiPriority w:val="99"/>
    <w:pPr>
      <w:spacing w:after="0"/>
    </w:pPr>
    <w:tblPr>
      <w:tblStyleRowBandSize w:val="1"/>
      <w:tblStyleColBandSize w:val="1"/>
      <w:tblBorders>
        <w:bottom w:color="5D8AC2" w:space="0" w:sz="4" w:themeColor="accent1" w:themeTint="EA" w:val="single"/>
        <w:insideH w:color="5D8AC2" w:space="0" w:sz="4" w:themeColor="accent1" w:themeTint="EA" w:val="single"/>
        <w:insideV w:color="5D8AC2" w:space="0" w:sz="4" w:themeColor="accent1" w:themeTint="EA"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DAE5F1" w:fill="DAE5F1" w:themeColor="accent1" w:themeFill="accent1" w:themeFillTint="34" w:themeTint="34" w:val="clear"/>
      </w:tcPr>
    </w:tblStylePr>
    <w:tblStylePr w:type="band1Horz">
      <w:rPr>
        <w:rFonts w:ascii="Arial" w:hAnsi="Arial"/>
        <w:color w:val="404040"/>
        <w:sz w:val="22"/>
      </w:rPr>
      <w:tblPr/>
      <w:tcPr>
        <w:shd w:color="DAE5F1" w:fill="DAE5F1" w:themeColor="accent1" w:themeFill="accent1" w:themeFillTint="34" w:themeTint="34" w:val="clear"/>
      </w:tcPr>
    </w:tblStylePr>
  </w:style>
  <w:style w:styleId="GridTable3-Accent2" w:type="table">
    <w:name w:val="Grid Table 3 Accent 2"/>
    <w:basedOn w:val="TableNormal"/>
    <w:uiPriority w:val="99"/>
    <w:pPr>
      <w:spacing w:after="0"/>
    </w:pPr>
    <w:tblPr>
      <w:tblStyleRowBandSize w:val="1"/>
      <w:tblStyleColBandSize w:val="1"/>
      <w:tblBorders>
        <w:bottom w:color="D99695" w:space="0" w:sz="4" w:themeColor="accent2" w:themeTint="97" w:val="single"/>
        <w:insideH w:color="D99695" w:space="0" w:sz="4" w:themeColor="accent2" w:themeTint="97" w:val="single"/>
        <w:insideV w:color="D99695" w:space="0" w:sz="4" w:themeColor="accent2" w:themeTint="97"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Pr/>
      <w:tcPr>
        <w:shd w:color="F2DCDC" w:fill="F2DCDC" w:themeColor="accent2" w:themeFill="accent2" w:themeFillTint="32" w:themeTint="32" w:val="clear"/>
      </w:tcPr>
    </w:tblStylePr>
  </w:style>
  <w:style w:styleId="GridTable3-Accent3" w:type="table">
    <w:name w:val="Grid Table 3 Accent 3"/>
    <w:basedOn w:val="TableNormal"/>
    <w:uiPriority w:val="99"/>
    <w:pPr>
      <w:spacing w:after="0"/>
    </w:pPr>
    <w:tblPr>
      <w:tblStyleRowBandSize w:val="1"/>
      <w:tblStyleColBandSize w:val="1"/>
      <w:tblBorders>
        <w:bottom w:color="9ABB59" w:space="0" w:sz="4" w:themeColor="accent3" w:themeTint="FE" w:val="single"/>
        <w:insideH w:color="9ABB59" w:space="0" w:sz="4" w:themeColor="accent3" w:themeTint="FE" w:val="single"/>
        <w:insideV w:color="9ABB59" w:space="0" w:sz="4" w:themeColor="accent3" w:themeTint="FE"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Pr/>
      <w:tcPr>
        <w:shd w:color="EAF1DC" w:fill="EAF1DC" w:themeColor="accent3" w:themeFill="accent3" w:themeFillTint="34" w:themeTint="34" w:val="clear"/>
      </w:tcPr>
    </w:tblStylePr>
  </w:style>
  <w:style w:styleId="GridTable3-Accent4" w:type="table">
    <w:name w:val="Grid Table 3 Accent 4"/>
    <w:basedOn w:val="TableNormal"/>
    <w:uiPriority w:val="99"/>
    <w:pPr>
      <w:spacing w:after="0"/>
    </w:pPr>
    <w:tblPr>
      <w:tblStyleRowBandSize w:val="1"/>
      <w:tblStyleColBandSize w:val="1"/>
      <w:tblBorders>
        <w:bottom w:color="B2A1C6" w:space="0" w:sz="4" w:themeColor="accent4" w:themeTint="9A" w:val="single"/>
        <w:insideH w:color="B2A1C6" w:space="0" w:sz="4" w:themeColor="accent4" w:themeTint="9A" w:val="single"/>
        <w:insideV w:color="B2A1C6" w:space="0" w:sz="4" w:themeColor="accent4" w:themeTint="9A"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Pr/>
      <w:tcPr>
        <w:shd w:color="E5DFEC" w:fill="E5DFEC" w:themeColor="accent4" w:themeFill="accent4" w:themeFillTint="34" w:themeTint="34" w:val="clear"/>
      </w:tcPr>
    </w:tblStylePr>
  </w:style>
  <w:style w:styleId="GridTable3-Accent5" w:type="table">
    <w:name w:val="Grid Table 3 Accent 5"/>
    <w:basedOn w:val="TableNormal"/>
    <w:uiPriority w:val="99"/>
    <w:pPr>
      <w:spacing w:after="0"/>
    </w:pPr>
    <w:tblPr>
      <w:tblStyleRowBandSize w:val="1"/>
      <w:tblStyleColBandSize w:val="1"/>
      <w:tblBorders>
        <w:bottom w:color="4BACC6" w:space="0" w:sz="4" w:themeColor="accent5" w:val="single"/>
        <w:insideH w:color="4BACC6" w:space="0" w:sz="4" w:themeColor="accent5" w:val="single"/>
        <w:insideV w:color="4BACC6" w:space="0" w:sz="4" w:themeColor="accent5"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Pr/>
      <w:tcPr>
        <w:shd w:color="DAEEF3" w:fill="DAEEF3" w:themeColor="accent5" w:themeFill="accent5" w:themeFillTint="34" w:themeTint="34" w:val="clear"/>
      </w:tcPr>
    </w:tblStylePr>
  </w:style>
  <w:style w:styleId="GridTable3-Accent6" w:type="table">
    <w:name w:val="Grid Table 3 Accent 6"/>
    <w:basedOn w:val="TableNormal"/>
    <w:uiPriority w:val="99"/>
    <w:pPr>
      <w:spacing w:after="0"/>
    </w:pPr>
    <w:tblPr>
      <w:tblStyleRowBandSize w:val="1"/>
      <w:tblStyleColBandSize w:val="1"/>
      <w:tblBorders>
        <w:bottom w:color="F79646" w:space="0" w:sz="4" w:themeColor="accent6" w:val="single"/>
        <w:insideH w:color="F79646" w:space="0" w:sz="4" w:themeColor="accent6" w:val="single"/>
        <w:insideV w:color="F79646" w:space="0" w:sz="4" w:themeColor="accent6"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Pr/>
      <w:tcPr>
        <w:shd w:color="FDE9D8" w:fill="FDE9D8" w:themeColor="accent6" w:themeFill="accent6" w:themeFillTint="34" w:themeTint="34" w:val="clear"/>
      </w:tcPr>
    </w:tblStylePr>
  </w:style>
  <w:style w:styleId="GridTable4" w:type="table">
    <w:name w:val="Grid Table 4"/>
    <w:basedOn w:val="TableNormal"/>
    <w:uiPriority w:val="59"/>
    <w:pPr>
      <w:spacing w:after="0"/>
    </w:pPr>
    <w:tblPr>
      <w:tblStyleRowBandSize w:val="1"/>
      <w:tblStyleColBandSize w:val="1"/>
      <w:tblBorders>
        <w:top w:color="6F6F6F" w:space="0" w:sz="4" w:themeColor="text1" w:themeTint="90" w:val="single"/>
        <w:left w:color="6F6F6F" w:space="0" w:sz="4" w:themeColor="text1" w:themeTint="90" w:val="single"/>
        <w:bottom w:color="6F6F6F" w:space="0" w:sz="4" w:themeColor="text1" w:themeTint="90" w:val="single"/>
        <w:right w:color="6F6F6F" w:space="0" w:sz="4" w:themeColor="text1" w:themeTint="90" w:val="single"/>
        <w:insideH w:color="6F6F6F" w:space="0" w:sz="4" w:themeColor="text1" w:themeTint="90" w:val="single"/>
        <w:insideV w:color="6F6F6F" w:space="0" w:sz="4" w:themeColor="text1" w:themeTint="90" w:val="single"/>
      </w:tblBorders>
    </w:tblPr>
    <w:tblStylePr w:type="firstRow">
      <w:rPr>
        <w:rFonts w:ascii="Arial" w:hAnsi="Arial"/>
        <w:b/>
        <w:color w:val="FFFFFF"/>
        <w:sz w:val="22"/>
      </w:rPr>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000000" w:fill="000000" w:themeColor="text1" w:themeFill="text1" w:val="clear"/>
      </w:tcPr>
    </w:tblStylePr>
    <w:tblStylePr w:type="lastRow">
      <w:rPr>
        <w:b/>
        <w:color w:val="404040"/>
      </w:rPr>
      <w:tblPr/>
      <w:tcPr>
        <w:tcBorders>
          <w:top w:color="000000" w:space="0" w:sz="4" w:themeColor="text1"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CBCBCB" w:fill="CBCBCB" w:themeColor="text1" w:themeFill="text1" w:themeFillTint="34" w:themeTint="34" w:val="clear"/>
      </w:tcPr>
    </w:tblStylePr>
    <w:tblStylePr w:type="band1Horz">
      <w:rPr>
        <w:rFonts w:ascii="Arial" w:hAnsi="Arial"/>
        <w:color w:val="404040"/>
        <w:sz w:val="22"/>
      </w:rPr>
      <w:tblPr/>
      <w:tcPr>
        <w:shd w:color="CBCBCB" w:fill="CBCBCB" w:themeColor="text1" w:themeFill="text1" w:themeFillTint="34" w:themeTint="34" w:val="clear"/>
      </w:tcPr>
    </w:tblStylePr>
  </w:style>
  <w:style w:styleId="GridTable4-Accent1" w:type="table">
    <w:name w:val="Grid Table 4 Accent 1"/>
    <w:basedOn w:val="TableNormal"/>
    <w:uiPriority w:val="59"/>
    <w:pPr>
      <w:spacing w:after="0"/>
    </w:pPr>
    <w:tblPr>
      <w:tblStyleRowBandSize w:val="1"/>
      <w:tblStyleColBandSize w:val="1"/>
      <w:tblBorders>
        <w:top w:color="9BB7D9" w:space="0" w:sz="4" w:themeColor="accent1" w:themeTint="90" w:val="single"/>
        <w:left w:color="9BB7D9" w:space="0" w:sz="4" w:themeColor="accent1" w:themeTint="90" w:val="single"/>
        <w:bottom w:color="9BB7D9" w:space="0" w:sz="4" w:themeColor="accent1" w:themeTint="90" w:val="single"/>
        <w:right w:color="9BB7D9" w:space="0" w:sz="4" w:themeColor="accent1" w:themeTint="90" w:val="single"/>
        <w:insideH w:color="9BB7D9" w:space="0" w:sz="4" w:themeColor="accent1" w:themeTint="90" w:val="single"/>
        <w:insideV w:color="9BB7D9" w:space="0" w:sz="4" w:themeColor="accent1" w:themeTint="90" w:val="single"/>
      </w:tblBorders>
    </w:tblPr>
    <w:tblStylePr w:type="firstRow">
      <w:rPr>
        <w:rFonts w:ascii="Arial" w:hAnsi="Arial"/>
        <w:b/>
        <w:color w:val="FFFFFF"/>
        <w:sz w:val="22"/>
      </w:rPr>
      <w:tblPr/>
      <w:tcPr>
        <w:tcBorders>
          <w:top w:color="5D8AC2" w:space="0" w:sz="4" w:themeColor="accent1" w:themeTint="EA" w:val="single"/>
          <w:left w:color="5D8AC2" w:space="0" w:sz="4" w:themeColor="accent1" w:themeTint="EA" w:val="single"/>
          <w:bottom w:color="5D8AC2" w:space="0" w:sz="4" w:themeColor="accent1" w:themeTint="EA" w:val="single"/>
          <w:right w:color="5D8AC2" w:space="0" w:sz="4" w:themeColor="accent1" w:themeTint="EA" w:val="single"/>
        </w:tcBorders>
        <w:shd w:color="5D8AC2" w:fill="5D8AC2" w:themeColor="accent1" w:themeFill="accent1" w:themeFillTint="EA" w:themeTint="EA" w:val="clear"/>
      </w:tcPr>
    </w:tblStylePr>
    <w:tblStylePr w:type="lastRow">
      <w:rPr>
        <w:b/>
        <w:color w:val="404040"/>
      </w:rPr>
      <w:tblPr/>
      <w:tcPr>
        <w:tcBorders>
          <w:top w:color="5D8AC2" w:space="0" w:sz="4" w:themeColor="accent1" w:themeTint="EA"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DCE6F2" w:fill="DCE6F2" w:themeColor="accent1" w:themeFill="accent1" w:themeFillTint="32" w:themeTint="32" w:val="clear"/>
      </w:tcPr>
    </w:tblStylePr>
    <w:tblStylePr w:type="band1Horz">
      <w:rPr>
        <w:rFonts w:ascii="Arial" w:hAnsi="Arial"/>
        <w:color w:val="404040"/>
        <w:sz w:val="22"/>
      </w:rPr>
      <w:tblPr/>
      <w:tcPr>
        <w:shd w:color="DCE6F2" w:fill="DCE6F2" w:themeColor="accent1" w:themeFill="accent1" w:themeFillTint="32" w:themeTint="32" w:val="clear"/>
      </w:tcPr>
    </w:tblStylePr>
  </w:style>
  <w:style w:styleId="GridTable4-Accent2" w:type="table">
    <w:name w:val="Grid Table 4 Accent 2"/>
    <w:basedOn w:val="TableNormal"/>
    <w:uiPriority w:val="59"/>
    <w:pPr>
      <w:spacing w:after="0"/>
    </w:pPr>
    <w:tblPr>
      <w:tblStyleRowBandSize w:val="1"/>
      <w:tblStyleColBandSize w:val="1"/>
      <w:tblBorders>
        <w:top w:color="DB9B9A" w:space="0" w:sz="4" w:themeColor="accent2" w:themeTint="90" w:val="single"/>
        <w:left w:color="DB9B9A" w:space="0" w:sz="4" w:themeColor="accent2" w:themeTint="90" w:val="single"/>
        <w:bottom w:color="DB9B9A" w:space="0" w:sz="4" w:themeColor="accent2" w:themeTint="90" w:val="single"/>
        <w:right w:color="DB9B9A" w:space="0" w:sz="4" w:themeColor="accent2" w:themeTint="90" w:val="single"/>
        <w:insideH w:color="DB9B9A" w:space="0" w:sz="4" w:themeColor="accent2" w:themeTint="90" w:val="single"/>
        <w:insideV w:color="DB9B9A" w:space="0" w:sz="4" w:themeColor="accent2" w:themeTint="90" w:val="single"/>
      </w:tblBorders>
    </w:tblPr>
    <w:tblStylePr w:type="firstRow">
      <w:rPr>
        <w:rFonts w:ascii="Arial" w:hAnsi="Arial"/>
        <w:b/>
        <w:color w:val="FFFFFF"/>
        <w:sz w:val="22"/>
      </w:rPr>
      <w:tblPr/>
      <w:tcPr>
        <w:tcBorders>
          <w:top w:color="D99695" w:space="0" w:sz="4" w:themeColor="accent2" w:themeTint="97" w:val="single"/>
          <w:left w:color="D99695" w:space="0" w:sz="4" w:themeColor="accent2" w:themeTint="97" w:val="single"/>
          <w:bottom w:color="D99695" w:space="0" w:sz="4" w:themeColor="accent2" w:themeTint="97" w:val="single"/>
          <w:right w:color="D99695" w:space="0" w:sz="4" w:themeColor="accent2" w:themeTint="97" w:val="single"/>
        </w:tcBorders>
        <w:shd w:color="D99695" w:fill="D99695" w:themeColor="accent2" w:themeFill="accent2" w:themeFillTint="97" w:themeTint="97" w:val="clear"/>
      </w:tcPr>
    </w:tblStylePr>
    <w:tblStylePr w:type="lastRow">
      <w:rPr>
        <w:b/>
        <w:color w:val="404040"/>
      </w:rPr>
      <w:tblPr/>
      <w:tcPr>
        <w:tcBorders>
          <w:top w:color="D99695" w:space="0" w:sz="4" w:themeColor="accent2" w:themeTint="97"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Pr/>
      <w:tcPr>
        <w:shd w:color="F2DCDC" w:fill="F2DCDC" w:themeColor="accent2" w:themeFill="accent2" w:themeFillTint="32" w:themeTint="32" w:val="clear"/>
      </w:tcPr>
    </w:tblStylePr>
  </w:style>
  <w:style w:styleId="GridTable4-Accent3" w:type="table">
    <w:name w:val="Grid Table 4 Accent 3"/>
    <w:basedOn w:val="TableNormal"/>
    <w:uiPriority w:val="59"/>
    <w:pPr>
      <w:spacing w:after="0"/>
    </w:pPr>
    <w:tblPr>
      <w:tblStyleRowBandSize w:val="1"/>
      <w:tblStyleColBandSize w:val="1"/>
      <w:tblBorders>
        <w:top w:color="C6D8A1" w:space="0" w:sz="4" w:themeColor="accent3" w:themeTint="90" w:val="single"/>
        <w:left w:color="C6D8A1" w:space="0" w:sz="4" w:themeColor="accent3" w:themeTint="90" w:val="single"/>
        <w:bottom w:color="C6D8A1" w:space="0" w:sz="4" w:themeColor="accent3" w:themeTint="90" w:val="single"/>
        <w:right w:color="C6D8A1" w:space="0" w:sz="4" w:themeColor="accent3" w:themeTint="90" w:val="single"/>
        <w:insideH w:color="C6D8A1" w:space="0" w:sz="4" w:themeColor="accent3" w:themeTint="90" w:val="single"/>
        <w:insideV w:color="C6D8A1" w:space="0" w:sz="4" w:themeColor="accent3" w:themeTint="90" w:val="single"/>
      </w:tblBorders>
    </w:tblPr>
    <w:tblStylePr w:type="firstRow">
      <w:rPr>
        <w:rFonts w:ascii="Arial" w:hAnsi="Arial"/>
        <w:b/>
        <w:color w:val="FFFFFF"/>
        <w:sz w:val="22"/>
      </w:rPr>
      <w:tblPr/>
      <w:tcPr>
        <w:tcBorders>
          <w:top w:color="9ABB59" w:space="0" w:sz="4" w:themeColor="accent3" w:themeTint="FE" w:val="single"/>
          <w:left w:color="9ABB59" w:space="0" w:sz="4" w:themeColor="accent3" w:themeTint="FE" w:val="single"/>
          <w:bottom w:color="9ABB59" w:space="0" w:sz="4" w:themeColor="accent3" w:themeTint="FE" w:val="single"/>
          <w:right w:color="9ABB59" w:space="0" w:sz="4" w:themeColor="accent3" w:themeTint="FE" w:val="single"/>
        </w:tcBorders>
        <w:shd w:color="9ABB59" w:fill="9ABB59" w:themeColor="accent3" w:themeFill="accent3" w:themeFillTint="FE" w:themeTint="FE" w:val="clear"/>
      </w:tcPr>
    </w:tblStylePr>
    <w:tblStylePr w:type="lastRow">
      <w:rPr>
        <w:b/>
        <w:color w:val="404040"/>
      </w:rPr>
      <w:tblPr/>
      <w:tcPr>
        <w:tcBorders>
          <w:top w:color="9ABB59" w:space="0" w:sz="4" w:themeColor="accent3" w:themeTint="FE"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Pr/>
      <w:tcPr>
        <w:shd w:color="EAF1DC" w:fill="EAF1DC" w:themeColor="accent3" w:themeFill="accent3" w:themeFillTint="34" w:themeTint="34" w:val="clear"/>
      </w:tcPr>
    </w:tblStylePr>
  </w:style>
  <w:style w:styleId="GridTable4-Accent4" w:type="table">
    <w:name w:val="Grid Table 4 Accent 4"/>
    <w:basedOn w:val="TableNormal"/>
    <w:uiPriority w:val="59"/>
    <w:pPr>
      <w:spacing w:after="0"/>
    </w:pPr>
    <w:tblPr>
      <w:tblStyleRowBandSize w:val="1"/>
      <w:tblStyleColBandSize w:val="1"/>
      <w:tblBorders>
        <w:top w:color="B7A7CA" w:space="0" w:sz="4" w:themeColor="accent4" w:themeTint="90" w:val="single"/>
        <w:left w:color="B7A7CA" w:space="0" w:sz="4" w:themeColor="accent4" w:themeTint="90" w:val="single"/>
        <w:bottom w:color="B7A7CA" w:space="0" w:sz="4" w:themeColor="accent4" w:themeTint="90" w:val="single"/>
        <w:right w:color="B7A7CA" w:space="0" w:sz="4" w:themeColor="accent4" w:themeTint="90" w:val="single"/>
        <w:insideH w:color="B7A7CA" w:space="0" w:sz="4" w:themeColor="accent4" w:themeTint="90" w:val="single"/>
        <w:insideV w:color="B7A7CA" w:space="0" w:sz="4" w:themeColor="accent4" w:themeTint="90" w:val="single"/>
      </w:tblBorders>
    </w:tblPr>
    <w:tblStylePr w:type="firstRow">
      <w:rPr>
        <w:rFonts w:ascii="Arial" w:hAnsi="Arial"/>
        <w:b/>
        <w:color w:val="FFFFFF"/>
        <w:sz w:val="22"/>
      </w:rPr>
      <w:tblPr/>
      <w:tcPr>
        <w:tcBorders>
          <w:top w:color="B2A1C6" w:space="0" w:sz="4" w:themeColor="accent4" w:themeTint="9A" w:val="single"/>
          <w:left w:color="B2A1C6" w:space="0" w:sz="4" w:themeColor="accent4" w:themeTint="9A" w:val="single"/>
          <w:bottom w:color="B2A1C6" w:space="0" w:sz="4" w:themeColor="accent4" w:themeTint="9A" w:val="single"/>
          <w:right w:color="B2A1C6" w:space="0" w:sz="4" w:themeColor="accent4" w:themeTint="9A" w:val="single"/>
        </w:tcBorders>
        <w:shd w:color="B2A1C6" w:fill="B2A1C6" w:themeColor="accent4" w:themeFill="accent4" w:themeFillTint="9A" w:themeTint="9A" w:val="clear"/>
      </w:tcPr>
    </w:tblStylePr>
    <w:tblStylePr w:type="lastRow">
      <w:rPr>
        <w:b/>
        <w:color w:val="404040"/>
      </w:rPr>
      <w:tblPr/>
      <w:tcPr>
        <w:tcBorders>
          <w:top w:color="B2A1C6" w:space="0" w:sz="4" w:themeColor="accent4" w:themeTint="9A"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Pr/>
      <w:tcPr>
        <w:shd w:color="E5DFEC" w:fill="E5DFEC" w:themeColor="accent4" w:themeFill="accent4" w:themeFillTint="34" w:themeTint="34" w:val="clear"/>
      </w:tcPr>
    </w:tblStylePr>
  </w:style>
  <w:style w:styleId="GridTable4-Accent5" w:type="table">
    <w:name w:val="Grid Table 4 Accent 5"/>
    <w:basedOn w:val="TableNormal"/>
    <w:uiPriority w:val="59"/>
    <w:pPr>
      <w:spacing w:after="0"/>
    </w:pPr>
    <w:tblPr>
      <w:tblStyleRowBandSize w:val="1"/>
      <w:tblStyleColBandSize w:val="1"/>
      <w:tblBorders>
        <w:top w:color="99D0DE" w:space="0" w:sz="4" w:themeColor="accent5" w:themeTint="90" w:val="single"/>
        <w:left w:color="99D0DE" w:space="0" w:sz="4" w:themeColor="accent5" w:themeTint="90" w:val="single"/>
        <w:bottom w:color="99D0DE" w:space="0" w:sz="4" w:themeColor="accent5" w:themeTint="90" w:val="single"/>
        <w:right w:color="99D0DE" w:space="0" w:sz="4" w:themeColor="accent5" w:themeTint="90" w:val="single"/>
        <w:insideH w:color="99D0DE" w:space="0" w:sz="4" w:themeColor="accent5" w:themeTint="90" w:val="single"/>
        <w:insideV w:color="99D0DE" w:space="0" w:sz="4" w:themeColor="accent5" w:themeTint="90" w:val="single"/>
      </w:tblBorders>
    </w:tblPr>
    <w:tblStylePr w:type="firstRow">
      <w:rPr>
        <w:rFonts w:ascii="Arial" w:hAnsi="Arial"/>
        <w:b/>
        <w:color w:val="FFFFFF"/>
        <w:sz w:val="22"/>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tcBorders>
        <w:shd w:color="4BACC6" w:fill="4BACC6" w:themeColor="accent5" w:themeFill="accent5" w:val="clear"/>
      </w:tcPr>
    </w:tblStylePr>
    <w:tblStylePr w:type="lastRow">
      <w:rPr>
        <w:b/>
        <w:color w:val="404040"/>
      </w:rPr>
      <w:tblPr/>
      <w:tcPr>
        <w:tcBorders>
          <w:top w:color="4BACC6" w:space="0" w:sz="4" w:themeColor="accent5"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Pr/>
      <w:tcPr>
        <w:shd w:color="DAEEF3" w:fill="DAEEF3" w:themeColor="accent5" w:themeFill="accent5" w:themeFillTint="34" w:themeTint="34" w:val="clear"/>
      </w:tcPr>
    </w:tblStylePr>
  </w:style>
  <w:style w:styleId="GridTable4-Accent6" w:type="table">
    <w:name w:val="Grid Table 4 Accent 6"/>
    <w:basedOn w:val="TableNormal"/>
    <w:uiPriority w:val="59"/>
    <w:pPr>
      <w:spacing w:after="0"/>
    </w:pPr>
    <w:tblPr>
      <w:tblStyleRowBandSize w:val="1"/>
      <w:tblStyleColBandSize w:val="1"/>
      <w:tblBorders>
        <w:top w:color="FAC396" w:space="0" w:sz="4" w:themeColor="accent6" w:themeTint="90" w:val="single"/>
        <w:left w:color="FAC396" w:space="0" w:sz="4" w:themeColor="accent6" w:themeTint="90" w:val="single"/>
        <w:bottom w:color="FAC396" w:space="0" w:sz="4" w:themeColor="accent6" w:themeTint="90" w:val="single"/>
        <w:right w:color="FAC396" w:space="0" w:sz="4" w:themeColor="accent6" w:themeTint="90" w:val="single"/>
        <w:insideH w:color="FAC396" w:space="0" w:sz="4" w:themeColor="accent6" w:themeTint="90" w:val="single"/>
        <w:insideV w:color="FAC396" w:space="0" w:sz="4" w:themeColor="accent6" w:themeTint="90" w:val="single"/>
      </w:tblBorders>
    </w:tblPr>
    <w:tblStylePr w:type="firstRow">
      <w:rPr>
        <w:rFonts w:ascii="Arial" w:hAnsi="Arial"/>
        <w:b/>
        <w:color w:val="FFFFFF"/>
        <w:sz w:val="22"/>
      </w:rPr>
      <w:tblPr/>
      <w:tcPr>
        <w:tcBorders>
          <w:top w:color="F79646" w:space="0" w:sz="4" w:themeColor="accent6" w:val="single"/>
          <w:left w:color="F79646" w:space="0" w:sz="4" w:themeColor="accent6" w:val="single"/>
          <w:bottom w:color="F79646" w:space="0" w:sz="4" w:themeColor="accent6" w:val="single"/>
          <w:right w:color="F79646" w:space="0" w:sz="4" w:themeColor="accent6" w:val="single"/>
        </w:tcBorders>
        <w:shd w:color="F79646" w:fill="F79646" w:themeColor="accent6" w:themeFill="accent6" w:val="clear"/>
      </w:tcPr>
    </w:tblStylePr>
    <w:tblStylePr w:type="lastRow">
      <w:rPr>
        <w:b/>
        <w:color w:val="404040"/>
      </w:rPr>
      <w:tblPr/>
      <w:tcPr>
        <w:tcBorders>
          <w:top w:color="F79646" w:space="0" w:sz="4" w:themeColor="accent6"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Pr/>
      <w:tcPr>
        <w:shd w:color="FDE9D8" w:fill="FDE9D8" w:themeColor="accent6" w:themeFill="accent6" w:themeFillTint="34" w:themeTint="34" w:val="clear"/>
      </w:tcPr>
    </w:tblStylePr>
  </w:style>
  <w:style w:styleId="GridTable5Dark" w:type="table">
    <w:name w:val="Grid Table 5 Dark"/>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BFBFBF" w:fill="BFBFBF" w:themeColor="text1" w:themeFill="text1" w:themeFillTint="40" w:themeTint="40" w:val="clear"/>
    </w:tblPr>
    <w:tblStylePr w:type="firstRow">
      <w:rPr>
        <w:rFonts w:ascii="Arial" w:hAnsi="Arial"/>
        <w:b/>
        <w:color w:val="FFFFFF"/>
        <w:sz w:val="22"/>
      </w:rPr>
      <w:tblPr/>
      <w:tcPr>
        <w:shd w:color="000000" w:fill="000000" w:themeColor="text1" w:themeFill="text1" w:val="clear"/>
      </w:tcPr>
    </w:tblStylePr>
    <w:tblStylePr w:type="lastRow">
      <w:rPr>
        <w:rFonts w:ascii="Arial" w:hAnsi="Arial"/>
        <w:b/>
        <w:color w:val="FFFFFF"/>
        <w:sz w:val="22"/>
      </w:rPr>
      <w:tblPr/>
      <w:tcPr>
        <w:tcBorders>
          <w:top w:color="FFFFFF" w:space="0" w:sz="4" w:themeColor="light1" w:val="single"/>
        </w:tcBorders>
        <w:shd w:color="000000" w:fill="000000" w:themeColor="text1" w:themeFill="text1" w:val="clear"/>
      </w:tcPr>
    </w:tblStylePr>
    <w:tblStylePr w:type="firstCol">
      <w:rPr>
        <w:rFonts w:ascii="Arial" w:hAnsi="Arial"/>
        <w:b/>
        <w:color w:val="FFFFFF"/>
        <w:sz w:val="22"/>
      </w:rPr>
      <w:tblPr/>
      <w:tcPr>
        <w:shd w:color="000000" w:fill="000000" w:themeColor="text1" w:themeFill="text1" w:val="clear"/>
      </w:tcPr>
    </w:tblStylePr>
    <w:tblStylePr w:type="lastCol">
      <w:rPr>
        <w:rFonts w:ascii="Arial" w:hAnsi="Arial"/>
        <w:b/>
        <w:color w:val="FFFFFF"/>
        <w:sz w:val="22"/>
      </w:rPr>
      <w:tblPr/>
      <w:tcPr>
        <w:shd w:color="000000" w:fill="000000" w:themeColor="text1" w:themeFill="text1" w:val="clear"/>
      </w:tcPr>
    </w:tblStylePr>
    <w:tblStylePr w:type="band1Vert">
      <w:tblPr/>
      <w:tcPr>
        <w:shd w:color="8A8A8A" w:fill="8A8A8A" w:themeColor="text1" w:themeFill="text1" w:themeFillTint="75" w:themeTint="75" w:val="clear"/>
      </w:tcPr>
    </w:tblStylePr>
    <w:tblStylePr w:type="band1Horz">
      <w:tblPr/>
      <w:tcPr>
        <w:shd w:color="8A8A8A" w:fill="8A8A8A" w:themeColor="text1" w:themeFill="text1" w:themeFillTint="75" w:themeTint="75" w:val="clear"/>
      </w:tcPr>
    </w:tblStylePr>
  </w:style>
  <w:style w:customStyle="1" w:styleId="GridTable5Dark-Accent1" w:type="table">
    <w:name w:val="Grid Table 5 Dark- Accent 1"/>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DAE5F1" w:fill="DAE5F1" w:themeColor="accent1" w:themeFill="accent1" w:themeFillTint="34" w:themeTint="34" w:val="clear"/>
    </w:tblPr>
    <w:tblStylePr w:type="firstRow">
      <w:rPr>
        <w:rFonts w:ascii="Arial" w:hAnsi="Arial"/>
        <w:b/>
        <w:color w:val="FFFFFF"/>
        <w:sz w:val="22"/>
      </w:rPr>
      <w:tblPr/>
      <w:tcPr>
        <w:shd w:color="4F81BD" w:fill="4F81BD" w:themeColor="accent1" w:themeFill="accent1" w:val="clear"/>
      </w:tcPr>
    </w:tblStylePr>
    <w:tblStylePr w:type="lastRow">
      <w:rPr>
        <w:rFonts w:ascii="Arial" w:hAnsi="Arial"/>
        <w:b/>
        <w:color w:val="FFFFFF"/>
        <w:sz w:val="22"/>
      </w:rPr>
      <w:tblPr/>
      <w:tcPr>
        <w:tcBorders>
          <w:top w:color="FFFFFF" w:space="0" w:sz="4" w:themeColor="light1" w:val="single"/>
        </w:tcBorders>
        <w:shd w:color="4F81BD" w:fill="4F81BD" w:themeColor="accent1" w:themeFill="accent1" w:val="clear"/>
      </w:tcPr>
    </w:tblStylePr>
    <w:tblStylePr w:type="firstCol">
      <w:rPr>
        <w:rFonts w:ascii="Arial" w:hAnsi="Arial"/>
        <w:b/>
        <w:color w:val="FFFFFF"/>
        <w:sz w:val="22"/>
      </w:rPr>
      <w:tblPr/>
      <w:tcPr>
        <w:shd w:color="4F81BD" w:fill="4F81BD" w:themeColor="accent1" w:themeFill="accent1" w:val="clear"/>
      </w:tcPr>
    </w:tblStylePr>
    <w:tblStylePr w:type="lastCol">
      <w:rPr>
        <w:rFonts w:ascii="Arial" w:hAnsi="Arial"/>
        <w:b/>
        <w:color w:val="FFFFFF"/>
        <w:sz w:val="22"/>
      </w:rPr>
      <w:tblPr/>
      <w:tcPr>
        <w:shd w:color="4F81BD" w:fill="4F81BD" w:themeColor="accent1" w:themeFill="accent1" w:val="clear"/>
      </w:tcPr>
    </w:tblStylePr>
    <w:tblStylePr w:type="band1Vert">
      <w:tblPr/>
      <w:tcPr>
        <w:shd w:color="AEC4E0" w:fill="AEC4E0" w:themeColor="accent1" w:themeFill="accent1" w:themeFillTint="75" w:themeTint="75" w:val="clear"/>
      </w:tcPr>
    </w:tblStylePr>
    <w:tblStylePr w:type="band1Horz">
      <w:tblPr/>
      <w:tcPr>
        <w:shd w:color="AEC4E0" w:fill="AEC4E0" w:themeColor="accent1" w:themeFill="accent1" w:themeFillTint="75" w:themeTint="75" w:val="clear"/>
      </w:tcPr>
    </w:tblStylePr>
  </w:style>
  <w:style w:styleId="GridTable5Dark-Accent2" w:type="table">
    <w:name w:val="Grid Table 5 Dark Accent 2"/>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F2DCDC" w:fill="F2DCDC" w:themeColor="accent2" w:themeFill="accent2" w:themeFillTint="32" w:themeTint="32" w:val="clear"/>
    </w:tblPr>
    <w:tblStylePr w:type="firstRow">
      <w:rPr>
        <w:rFonts w:ascii="Arial" w:hAnsi="Arial"/>
        <w:b/>
        <w:color w:val="FFFFFF"/>
        <w:sz w:val="22"/>
      </w:rPr>
      <w:tblPr/>
      <w:tcPr>
        <w:shd w:color="C0504D" w:fill="C0504D" w:themeColor="accent2" w:themeFill="accent2" w:val="clear"/>
      </w:tcPr>
    </w:tblStylePr>
    <w:tblStylePr w:type="lastRow">
      <w:rPr>
        <w:rFonts w:ascii="Arial" w:hAnsi="Arial"/>
        <w:b/>
        <w:color w:val="FFFFFF"/>
        <w:sz w:val="22"/>
      </w:rPr>
      <w:tblPr/>
      <w:tcPr>
        <w:tcBorders>
          <w:top w:color="FFFFFF" w:space="0" w:sz="4" w:themeColor="light1" w:val="single"/>
        </w:tcBorders>
        <w:shd w:color="C0504D" w:fill="C0504D" w:themeColor="accent2" w:themeFill="accent2" w:val="clear"/>
      </w:tcPr>
    </w:tblStylePr>
    <w:tblStylePr w:type="firstCol">
      <w:rPr>
        <w:rFonts w:ascii="Arial" w:hAnsi="Arial"/>
        <w:b/>
        <w:color w:val="FFFFFF"/>
        <w:sz w:val="22"/>
      </w:rPr>
      <w:tblPr/>
      <w:tcPr>
        <w:shd w:color="C0504D" w:fill="C0504D" w:themeColor="accent2" w:themeFill="accent2" w:val="clear"/>
      </w:tcPr>
    </w:tblStylePr>
    <w:tblStylePr w:type="lastCol">
      <w:rPr>
        <w:rFonts w:ascii="Arial" w:hAnsi="Arial"/>
        <w:b/>
        <w:color w:val="FFFFFF"/>
        <w:sz w:val="22"/>
      </w:rPr>
      <w:tblPr/>
      <w:tcPr>
        <w:shd w:color="C0504D" w:fill="C0504D" w:themeColor="accent2" w:themeFill="accent2" w:val="clear"/>
      </w:tcPr>
    </w:tblStylePr>
    <w:tblStylePr w:type="band1Vert">
      <w:tblPr/>
      <w:tcPr>
        <w:shd w:color="E2AEAD" w:fill="E2AEAD" w:themeColor="accent2" w:themeFill="accent2" w:themeFillTint="75" w:themeTint="75" w:val="clear"/>
      </w:tcPr>
    </w:tblStylePr>
    <w:tblStylePr w:type="band1Horz">
      <w:tblPr/>
      <w:tcPr>
        <w:shd w:color="E2AEAD" w:fill="E2AEAD" w:themeColor="accent2" w:themeFill="accent2" w:themeFillTint="75" w:themeTint="75" w:val="clear"/>
      </w:tcPr>
    </w:tblStylePr>
  </w:style>
  <w:style w:styleId="GridTable5Dark-Accent3" w:type="table">
    <w:name w:val="Grid Table 5 Dark Accent 3"/>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EAF1DC" w:fill="EAF1DC" w:themeColor="accent3" w:themeFill="accent3" w:themeFillTint="34" w:themeTint="34" w:val="clear"/>
    </w:tblPr>
    <w:tblStylePr w:type="firstRow">
      <w:rPr>
        <w:rFonts w:ascii="Arial" w:hAnsi="Arial"/>
        <w:b/>
        <w:color w:val="FFFFFF"/>
        <w:sz w:val="22"/>
      </w:rPr>
      <w:tblPr/>
      <w:tcPr>
        <w:shd w:color="9BBB59" w:fill="9BBB59" w:themeColor="accent3" w:themeFill="accent3" w:val="clear"/>
      </w:tcPr>
    </w:tblStylePr>
    <w:tblStylePr w:type="lastRow">
      <w:rPr>
        <w:rFonts w:ascii="Arial" w:hAnsi="Arial"/>
        <w:b/>
        <w:color w:val="FFFFFF"/>
        <w:sz w:val="22"/>
      </w:rPr>
      <w:tblPr/>
      <w:tcPr>
        <w:tcBorders>
          <w:top w:color="FFFFFF" w:space="0" w:sz="4" w:themeColor="light1" w:val="single"/>
        </w:tcBorders>
        <w:shd w:color="9BBB59" w:fill="9BBB59" w:themeColor="accent3" w:themeFill="accent3" w:val="clear"/>
      </w:tcPr>
    </w:tblStylePr>
    <w:tblStylePr w:type="firstCol">
      <w:rPr>
        <w:rFonts w:ascii="Arial" w:hAnsi="Arial"/>
        <w:b/>
        <w:color w:val="FFFFFF"/>
        <w:sz w:val="22"/>
      </w:rPr>
      <w:tblPr/>
      <w:tcPr>
        <w:shd w:color="9BBB59" w:fill="9BBB59" w:themeColor="accent3" w:themeFill="accent3" w:val="clear"/>
      </w:tcPr>
    </w:tblStylePr>
    <w:tblStylePr w:type="lastCol">
      <w:rPr>
        <w:rFonts w:ascii="Arial" w:hAnsi="Arial"/>
        <w:b/>
        <w:color w:val="FFFFFF"/>
        <w:sz w:val="22"/>
      </w:rPr>
      <w:tblPr/>
      <w:tcPr>
        <w:shd w:color="9BBB59" w:fill="9BBB59" w:themeColor="accent3" w:themeFill="accent3" w:val="clear"/>
      </w:tcPr>
    </w:tblStylePr>
    <w:tblStylePr w:type="band1Vert">
      <w:tblPr/>
      <w:tcPr>
        <w:shd w:color="D0DFB2" w:fill="D0DFB2" w:themeColor="accent3" w:themeFill="accent3" w:themeFillTint="75" w:themeTint="75" w:val="clear"/>
      </w:tcPr>
    </w:tblStylePr>
    <w:tblStylePr w:type="band1Horz">
      <w:tblPr/>
      <w:tcPr>
        <w:shd w:color="D0DFB2" w:fill="D0DFB2" w:themeColor="accent3" w:themeFill="accent3" w:themeFillTint="75" w:themeTint="75" w:val="clear"/>
      </w:tcPr>
    </w:tblStylePr>
  </w:style>
  <w:style w:customStyle="1" w:styleId="GridTable5Dark-Accent4" w:type="table">
    <w:name w:val="Grid Table 5 Dark- Accent 4"/>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E5DFEC" w:fill="E5DFEC" w:themeColor="accent4" w:themeFill="accent4" w:themeFillTint="34" w:themeTint="34" w:val="clear"/>
    </w:tblPr>
    <w:tblStylePr w:type="firstRow">
      <w:rPr>
        <w:rFonts w:ascii="Arial" w:hAnsi="Arial"/>
        <w:b/>
        <w:color w:val="FFFFFF"/>
        <w:sz w:val="22"/>
      </w:rPr>
      <w:tblPr/>
      <w:tcPr>
        <w:shd w:color="8064A2" w:fill="8064A2" w:themeColor="accent4" w:themeFill="accent4" w:val="clear"/>
      </w:tcPr>
    </w:tblStylePr>
    <w:tblStylePr w:type="lastRow">
      <w:rPr>
        <w:rFonts w:ascii="Arial" w:hAnsi="Arial"/>
        <w:b/>
        <w:color w:val="FFFFFF"/>
        <w:sz w:val="22"/>
      </w:rPr>
      <w:tblPr/>
      <w:tcPr>
        <w:tcBorders>
          <w:top w:color="FFFFFF" w:space="0" w:sz="4" w:themeColor="light1" w:val="single"/>
        </w:tcBorders>
        <w:shd w:color="8064A2" w:fill="8064A2" w:themeColor="accent4" w:themeFill="accent4" w:val="clear"/>
      </w:tcPr>
    </w:tblStylePr>
    <w:tblStylePr w:type="firstCol">
      <w:rPr>
        <w:rFonts w:ascii="Arial" w:hAnsi="Arial"/>
        <w:b/>
        <w:color w:val="FFFFFF"/>
        <w:sz w:val="22"/>
      </w:rPr>
      <w:tblPr/>
      <w:tcPr>
        <w:shd w:color="8064A2" w:fill="8064A2" w:themeColor="accent4" w:themeFill="accent4" w:val="clear"/>
      </w:tcPr>
    </w:tblStylePr>
    <w:tblStylePr w:type="lastCol">
      <w:rPr>
        <w:rFonts w:ascii="Arial" w:hAnsi="Arial"/>
        <w:b/>
        <w:color w:val="FFFFFF"/>
        <w:sz w:val="22"/>
      </w:rPr>
      <w:tblPr/>
      <w:tcPr>
        <w:shd w:color="8064A2" w:fill="8064A2" w:themeColor="accent4" w:themeFill="accent4" w:val="clear"/>
      </w:tcPr>
    </w:tblStylePr>
    <w:tblStylePr w:type="band1Vert">
      <w:tblPr/>
      <w:tcPr>
        <w:shd w:color="C4B7D4" w:fill="C4B7D4" w:themeColor="accent4" w:themeFill="accent4" w:themeFillTint="75" w:themeTint="75" w:val="clear"/>
      </w:tcPr>
    </w:tblStylePr>
    <w:tblStylePr w:type="band1Horz">
      <w:tblPr/>
      <w:tcPr>
        <w:shd w:color="C4B7D4" w:fill="C4B7D4" w:themeColor="accent4" w:themeFill="accent4" w:themeFillTint="75" w:themeTint="75" w:val="clear"/>
      </w:tcPr>
    </w:tblStylePr>
  </w:style>
  <w:style w:styleId="GridTable5Dark-Accent5" w:type="table">
    <w:name w:val="Grid Table 5 Dark Accent 5"/>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DAEEF3" w:fill="DAEEF3" w:themeColor="accent5" w:themeFill="accent5" w:themeFillTint="34" w:themeTint="34" w:val="clear"/>
    </w:tblPr>
    <w:tblStylePr w:type="firstRow">
      <w:rPr>
        <w:rFonts w:ascii="Arial" w:hAnsi="Arial"/>
        <w:b/>
        <w:color w:val="FFFFFF"/>
        <w:sz w:val="22"/>
      </w:rPr>
      <w:tblPr/>
      <w:tcPr>
        <w:shd w:color="4BACC6" w:fill="4BACC6" w:themeColor="accent5" w:themeFill="accent5" w:val="clear"/>
      </w:tcPr>
    </w:tblStylePr>
    <w:tblStylePr w:type="lastRow">
      <w:rPr>
        <w:rFonts w:ascii="Arial" w:hAnsi="Arial"/>
        <w:b/>
        <w:color w:val="FFFFFF"/>
        <w:sz w:val="22"/>
      </w:rPr>
      <w:tblPr/>
      <w:tcPr>
        <w:tcBorders>
          <w:top w:color="FFFFFF" w:space="0" w:sz="4" w:themeColor="light1" w:val="single"/>
        </w:tcBorders>
        <w:shd w:color="4BACC6" w:fill="4BACC6" w:themeColor="accent5" w:themeFill="accent5" w:val="clear"/>
      </w:tcPr>
    </w:tblStylePr>
    <w:tblStylePr w:type="firstCol">
      <w:rPr>
        <w:rFonts w:ascii="Arial" w:hAnsi="Arial"/>
        <w:b/>
        <w:color w:val="FFFFFF"/>
        <w:sz w:val="22"/>
      </w:rPr>
      <w:tblPr/>
      <w:tcPr>
        <w:shd w:color="4BACC6" w:fill="4BACC6" w:themeColor="accent5" w:themeFill="accent5" w:val="clear"/>
      </w:tcPr>
    </w:tblStylePr>
    <w:tblStylePr w:type="lastCol">
      <w:rPr>
        <w:rFonts w:ascii="Arial" w:hAnsi="Arial"/>
        <w:b/>
        <w:color w:val="FFFFFF"/>
        <w:sz w:val="22"/>
      </w:rPr>
      <w:tblPr/>
      <w:tcPr>
        <w:shd w:color="4BACC6" w:fill="4BACC6" w:themeColor="accent5" w:themeFill="accent5" w:val="clear"/>
      </w:tcPr>
    </w:tblStylePr>
    <w:tblStylePr w:type="band1Vert">
      <w:tblPr/>
      <w:tcPr>
        <w:shd w:color="ACD8E4" w:fill="ACD8E4" w:themeColor="accent5" w:themeFill="accent5" w:themeFillTint="75" w:themeTint="75" w:val="clear"/>
      </w:tcPr>
    </w:tblStylePr>
    <w:tblStylePr w:type="band1Horz">
      <w:tblPr/>
      <w:tcPr>
        <w:shd w:color="ACD8E4" w:fill="ACD8E4" w:themeColor="accent5" w:themeFill="accent5" w:themeFillTint="75" w:themeTint="75" w:val="clear"/>
      </w:tcPr>
    </w:tblStylePr>
  </w:style>
  <w:style w:styleId="GridTable5Dark-Accent6" w:type="table">
    <w:name w:val="Grid Table 5 Dark Accent 6"/>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FDE9D8" w:fill="FDE9D8" w:themeColor="accent6" w:themeFill="accent6" w:themeFillTint="34" w:themeTint="34" w:val="clear"/>
    </w:tblPr>
    <w:tblStylePr w:type="firstRow">
      <w:rPr>
        <w:rFonts w:ascii="Arial" w:hAnsi="Arial"/>
        <w:b/>
        <w:color w:val="FFFFFF"/>
        <w:sz w:val="22"/>
      </w:rPr>
      <w:tblPr/>
      <w:tcPr>
        <w:shd w:color="F79646" w:fill="F79646" w:themeColor="accent6" w:themeFill="accent6" w:val="clear"/>
      </w:tcPr>
    </w:tblStylePr>
    <w:tblStylePr w:type="lastRow">
      <w:rPr>
        <w:rFonts w:ascii="Arial" w:hAnsi="Arial"/>
        <w:b/>
        <w:color w:val="FFFFFF"/>
        <w:sz w:val="22"/>
      </w:rPr>
      <w:tblPr/>
      <w:tcPr>
        <w:tcBorders>
          <w:top w:color="FFFFFF" w:space="0" w:sz="4" w:themeColor="light1" w:val="single"/>
        </w:tcBorders>
        <w:shd w:color="F79646" w:fill="F79646" w:themeColor="accent6" w:themeFill="accent6" w:val="clear"/>
      </w:tcPr>
    </w:tblStylePr>
    <w:tblStylePr w:type="firstCol">
      <w:rPr>
        <w:rFonts w:ascii="Arial" w:hAnsi="Arial"/>
        <w:b/>
        <w:color w:val="FFFFFF"/>
        <w:sz w:val="22"/>
      </w:rPr>
      <w:tblPr/>
      <w:tcPr>
        <w:shd w:color="F79646" w:fill="F79646" w:themeColor="accent6" w:themeFill="accent6" w:val="clear"/>
      </w:tcPr>
    </w:tblStylePr>
    <w:tblStylePr w:type="lastCol">
      <w:rPr>
        <w:rFonts w:ascii="Arial" w:hAnsi="Arial"/>
        <w:b/>
        <w:color w:val="FFFFFF"/>
        <w:sz w:val="22"/>
      </w:rPr>
      <w:tblPr/>
      <w:tcPr>
        <w:shd w:color="F79646" w:fill="F79646" w:themeColor="accent6" w:themeFill="accent6" w:val="clear"/>
      </w:tcPr>
    </w:tblStylePr>
    <w:tblStylePr w:type="band1Vert">
      <w:tblPr/>
      <w:tcPr>
        <w:shd w:color="FBCEAA" w:fill="FBCEAA" w:themeColor="accent6" w:themeFill="accent6" w:themeFillTint="75" w:themeTint="75" w:val="clear"/>
      </w:tcPr>
    </w:tblStylePr>
    <w:tblStylePr w:type="band1Horz">
      <w:tblPr/>
      <w:tcPr>
        <w:shd w:color="FBCEAA" w:fill="FBCEAA" w:themeColor="accent6" w:themeFill="accent6" w:themeFillTint="75" w:themeTint="75" w:val="clear"/>
      </w:tcPr>
    </w:tblStylePr>
  </w:style>
  <w:style w:styleId="GridTable6Colorful" w:type="table">
    <w:name w:val="Grid Table 6 Colorful"/>
    <w:basedOn w:val="TableNormal"/>
    <w:uiPriority w:val="99"/>
    <w:pPr>
      <w:spacing w:after="0"/>
    </w:pPr>
    <w:tblPr>
      <w:tblStyleRowBandSize w:val="1"/>
      <w:tblStyleColBandSize w:val="1"/>
      <w:tbl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insideH w:color="7F7F7F" w:space="0" w:sz="4" w:themeColor="text1" w:themeTint="80" w:val="single"/>
        <w:insideV w:color="7F7F7F" w:space="0" w:sz="4" w:themeColor="text1" w:themeTint="80" w:val="single"/>
      </w:tblBorders>
    </w:tblPr>
    <w:tblStylePr w:type="firstRow">
      <w:rPr>
        <w:b/>
        <w:color w:themeColor="text1" w:themeShade="95" w:themeTint="80" w:val="7F7F7F"/>
      </w:rPr>
      <w:tblPr/>
      <w:tcPr>
        <w:tcBorders>
          <w:bottom w:color="7F7F7F" w:space="0" w:sz="12" w:themeColor="text1" w:themeTint="80" w:val="single"/>
        </w:tcBorders>
      </w:tcPr>
    </w:tblStylePr>
    <w:tblStylePr w:type="lastRow">
      <w:rPr>
        <w:b/>
        <w:color w:themeColor="text1" w:themeShade="95" w:themeTint="80" w:val="7F7F7F"/>
      </w:rPr>
    </w:tblStylePr>
    <w:tblStylePr w:type="firstCol">
      <w:rPr>
        <w:b/>
        <w:color w:themeColor="text1" w:themeShade="95" w:themeTint="80" w:val="7F7F7F"/>
      </w:rPr>
    </w:tblStylePr>
    <w:tblStylePr w:type="lastCol">
      <w:rPr>
        <w:b/>
        <w:color w:themeColor="text1" w:themeShade="95" w:themeTint="80" w:val="7F7F7F"/>
      </w:rPr>
    </w:tblStylePr>
    <w:tblStylePr w:type="band1Vert">
      <w:tblPr/>
      <w:tcPr>
        <w:shd w:color="CBCBCB" w:fill="CBCBCB" w:themeColor="text1" w:themeFill="text1" w:themeFillTint="34" w:themeTint="34" w:val="clear"/>
      </w:tcPr>
    </w:tblStylePr>
    <w:tblStylePr w:type="band1Horz">
      <w:rPr>
        <w:rFonts w:ascii="Arial" w:hAnsi="Arial"/>
        <w:color w:themeColor="text1" w:themeShade="95" w:themeTint="80" w:val="7F7F7F"/>
        <w:sz w:val="22"/>
      </w:rPr>
      <w:tblPr/>
      <w:tcPr>
        <w:shd w:color="CBCBCB" w:fill="CBCBCB" w:themeColor="text1" w:themeFill="text1" w:themeFillTint="34" w:themeTint="34" w:val="clear"/>
      </w:tcPr>
    </w:tblStylePr>
    <w:tblStylePr w:type="band2Horz">
      <w:rPr>
        <w:rFonts w:ascii="Arial" w:hAnsi="Arial"/>
        <w:color w:themeColor="text1" w:themeShade="95" w:themeTint="80" w:val="7F7F7F"/>
        <w:sz w:val="22"/>
      </w:rPr>
    </w:tblStylePr>
  </w:style>
  <w:style w:styleId="GridTable6Colorful-Accent1" w:type="table">
    <w:name w:val="Grid Table 6 Colorful Accent 1"/>
    <w:basedOn w:val="TableNormal"/>
    <w:uiPriority w:val="99"/>
    <w:pPr>
      <w:spacing w:after="0"/>
    </w:pPr>
    <w:tblPr>
      <w:tblStyleRowBandSize w:val="1"/>
      <w:tblStyleColBandSize w:val="1"/>
      <w:tblBorders>
        <w:top w:color="A6BFDD" w:space="0" w:sz="4" w:themeColor="accent1" w:themeTint="80" w:val="single"/>
        <w:left w:color="A6BFDD" w:space="0" w:sz="4" w:themeColor="accent1" w:themeTint="80" w:val="single"/>
        <w:bottom w:color="A6BFDD" w:space="0" w:sz="4" w:themeColor="accent1" w:themeTint="80" w:val="single"/>
        <w:right w:color="A6BFDD" w:space="0" w:sz="4" w:themeColor="accent1" w:themeTint="80" w:val="single"/>
        <w:insideH w:color="A6BFDD" w:space="0" w:sz="4" w:themeColor="accent1" w:themeTint="80" w:val="single"/>
        <w:insideV w:color="A6BFDD" w:space="0" w:sz="4" w:themeColor="accent1" w:themeTint="80" w:val="single"/>
      </w:tblBorders>
    </w:tblPr>
    <w:tblStylePr w:type="firstRow">
      <w:rPr>
        <w:b/>
        <w:color w:themeColor="accent1" w:themeShade="95" w:themeTint="80" w:val="A6BFDD"/>
      </w:rPr>
      <w:tblPr/>
      <w:tcPr>
        <w:tcBorders>
          <w:bottom w:color="A6BFDD" w:space="0" w:sz="12" w:themeColor="accent1" w:themeTint="80" w:val="single"/>
        </w:tcBorders>
      </w:tcPr>
    </w:tblStylePr>
    <w:tblStylePr w:type="lastRow">
      <w:rPr>
        <w:b/>
        <w:color w:themeColor="accent1" w:themeShade="95" w:themeTint="80" w:val="A6BFDD"/>
      </w:rPr>
    </w:tblStylePr>
    <w:tblStylePr w:type="firstCol">
      <w:rPr>
        <w:b/>
        <w:color w:themeColor="accent1" w:themeShade="95" w:themeTint="80" w:val="A6BFDD"/>
      </w:rPr>
    </w:tblStylePr>
    <w:tblStylePr w:type="lastCol">
      <w:rPr>
        <w:b/>
        <w:color w:themeColor="accent1" w:themeShade="95" w:themeTint="80" w:val="A6BFDD"/>
      </w:rPr>
    </w:tblStylePr>
    <w:tblStylePr w:type="band1Vert">
      <w:tblPr/>
      <w:tcPr>
        <w:shd w:color="DAE5F1" w:fill="DAE5F1" w:themeColor="accent1" w:themeFill="accent1" w:themeFillTint="34" w:themeTint="34" w:val="clear"/>
      </w:tcPr>
    </w:tblStylePr>
    <w:tblStylePr w:type="band1Horz">
      <w:rPr>
        <w:rFonts w:ascii="Arial" w:hAnsi="Arial"/>
        <w:color w:themeColor="accent1" w:themeShade="95" w:themeTint="80" w:val="A6BFDD"/>
        <w:sz w:val="22"/>
      </w:rPr>
      <w:tblPr/>
      <w:tcPr>
        <w:shd w:color="DAE5F1" w:fill="DAE5F1" w:themeColor="accent1" w:themeFill="accent1" w:themeFillTint="34" w:themeTint="34" w:val="clear"/>
      </w:tcPr>
    </w:tblStylePr>
    <w:tblStylePr w:type="band2Horz">
      <w:rPr>
        <w:rFonts w:ascii="Arial" w:hAnsi="Arial"/>
        <w:color w:themeColor="accent1" w:themeShade="95" w:themeTint="80" w:val="A6BFDD"/>
        <w:sz w:val="22"/>
      </w:rPr>
    </w:tblStylePr>
  </w:style>
  <w:style w:styleId="GridTable6Colorful-Accent2" w:type="table">
    <w:name w:val="Grid Table 6 Colorful Accent 2"/>
    <w:basedOn w:val="TableNormal"/>
    <w:uiPriority w:val="99"/>
    <w:pPr>
      <w:spacing w:after="0"/>
    </w:pPr>
    <w:tblPr>
      <w:tblStyleRowBandSize w:val="1"/>
      <w:tblStyleColBandSize w:val="1"/>
      <w:tblBorders>
        <w:top w:color="D99695" w:space="0" w:sz="4" w:themeColor="accent2" w:themeTint="97" w:val="single"/>
        <w:left w:color="D99695" w:space="0" w:sz="4" w:themeColor="accent2" w:themeTint="97" w:val="single"/>
        <w:bottom w:color="D99695" w:space="0" w:sz="4" w:themeColor="accent2" w:themeTint="97" w:val="single"/>
        <w:right w:color="D99695" w:space="0" w:sz="4" w:themeColor="accent2" w:themeTint="97" w:val="single"/>
        <w:insideH w:color="D99695" w:space="0" w:sz="4" w:themeColor="accent2" w:themeTint="97" w:val="single"/>
        <w:insideV w:color="D99695" w:space="0" w:sz="4" w:themeColor="accent2" w:themeTint="97" w:val="single"/>
      </w:tblBorders>
    </w:tblPr>
    <w:tblStylePr w:type="firstRow">
      <w:rPr>
        <w:b/>
        <w:color w:themeColor="accent2" w:themeShade="95" w:themeTint="97" w:val="D99695"/>
      </w:rPr>
      <w:tblPr/>
      <w:tcPr>
        <w:tcBorders>
          <w:bottom w:color="D99695" w:space="0" w:sz="12" w:themeColor="accent2" w:themeTint="97" w:val="single"/>
        </w:tcBorders>
      </w:tcPr>
    </w:tblStylePr>
    <w:tblStylePr w:type="lastRow">
      <w:rPr>
        <w:b/>
        <w:color w:themeColor="accent2" w:themeShade="95" w:themeTint="97" w:val="D99695"/>
      </w:rPr>
    </w:tblStylePr>
    <w:tblStylePr w:type="firstCol">
      <w:rPr>
        <w:b/>
        <w:color w:themeColor="accent2" w:themeShade="95" w:themeTint="97" w:val="D99695"/>
      </w:rPr>
    </w:tblStylePr>
    <w:tblStylePr w:type="lastCol">
      <w:rPr>
        <w:b/>
        <w:color w:themeColor="accent2" w:themeShade="95" w:themeTint="97" w:val="D99695"/>
      </w:rPr>
    </w:tblStylePr>
    <w:tblStylePr w:type="band1Vert">
      <w:tblPr/>
      <w:tcPr>
        <w:shd w:color="F2DCDC" w:fill="F2DCDC" w:themeColor="accent2" w:themeFill="accent2" w:themeFillTint="32" w:themeTint="32" w:val="clear"/>
      </w:tcPr>
    </w:tblStylePr>
    <w:tblStylePr w:type="band1Horz">
      <w:rPr>
        <w:rFonts w:ascii="Arial" w:hAnsi="Arial"/>
        <w:color w:themeColor="accent2" w:themeShade="95" w:themeTint="97" w:val="D99695"/>
        <w:sz w:val="22"/>
      </w:rPr>
      <w:tblPr/>
      <w:tcPr>
        <w:shd w:color="F2DCDC" w:fill="F2DCDC" w:themeColor="accent2" w:themeFill="accent2" w:themeFillTint="32" w:themeTint="32" w:val="clear"/>
      </w:tcPr>
    </w:tblStylePr>
    <w:tblStylePr w:type="band2Horz">
      <w:rPr>
        <w:rFonts w:ascii="Arial" w:hAnsi="Arial"/>
        <w:color w:themeColor="accent2" w:themeShade="95" w:themeTint="97" w:val="D99695"/>
        <w:sz w:val="22"/>
      </w:rPr>
    </w:tblStylePr>
  </w:style>
  <w:style w:styleId="GridTable6Colorful-Accent3" w:type="table">
    <w:name w:val="Grid Table 6 Colorful Accent 3"/>
    <w:basedOn w:val="TableNormal"/>
    <w:uiPriority w:val="99"/>
    <w:pPr>
      <w:spacing w:after="0"/>
    </w:pPr>
    <w:tblPr>
      <w:tblStyleRowBandSize w:val="1"/>
      <w:tblStyleColBandSize w:val="1"/>
      <w:tblBorders>
        <w:top w:color="9ABB59" w:space="0" w:sz="4" w:themeColor="accent3" w:themeTint="FE" w:val="single"/>
        <w:left w:color="9ABB59" w:space="0" w:sz="4" w:themeColor="accent3" w:themeTint="FE" w:val="single"/>
        <w:bottom w:color="9ABB59" w:space="0" w:sz="4" w:themeColor="accent3" w:themeTint="FE" w:val="single"/>
        <w:right w:color="9ABB59" w:space="0" w:sz="4" w:themeColor="accent3" w:themeTint="FE" w:val="single"/>
        <w:insideH w:color="9ABB59" w:space="0" w:sz="4" w:themeColor="accent3" w:themeTint="FE" w:val="single"/>
        <w:insideV w:color="9ABB59" w:space="0" w:sz="4" w:themeColor="accent3" w:themeTint="FE" w:val="single"/>
      </w:tblBorders>
    </w:tblPr>
    <w:tblStylePr w:type="firstRow">
      <w:rPr>
        <w:b/>
        <w:color w:themeColor="accent3" w:themeShade="95" w:themeTint="FE" w:val="9ABB59"/>
      </w:rPr>
      <w:tblPr/>
      <w:tcPr>
        <w:tcBorders>
          <w:bottom w:color="9ABB59" w:space="0" w:sz="12" w:themeColor="accent3" w:themeTint="FE" w:val="single"/>
        </w:tcBorders>
      </w:tcPr>
    </w:tblStylePr>
    <w:tblStylePr w:type="lastRow">
      <w:rPr>
        <w:b/>
        <w:color w:themeColor="accent3" w:themeShade="95" w:themeTint="FE" w:val="9ABB59"/>
      </w:rPr>
    </w:tblStylePr>
    <w:tblStylePr w:type="firstCol">
      <w:rPr>
        <w:b/>
        <w:color w:themeColor="accent3" w:themeShade="95" w:themeTint="FE" w:val="9ABB59"/>
      </w:rPr>
    </w:tblStylePr>
    <w:tblStylePr w:type="lastCol">
      <w:rPr>
        <w:b/>
        <w:color w:themeColor="accent3" w:themeShade="95" w:themeTint="FE" w:val="9ABB59"/>
      </w:rPr>
    </w:tblStylePr>
    <w:tblStylePr w:type="band1Vert">
      <w:tblPr/>
      <w:tcPr>
        <w:shd w:color="EAF1DC" w:fill="EAF1DC" w:themeColor="accent3" w:themeFill="accent3" w:themeFillTint="34" w:themeTint="34" w:val="clear"/>
      </w:tcPr>
    </w:tblStylePr>
    <w:tblStylePr w:type="band1Horz">
      <w:rPr>
        <w:rFonts w:ascii="Arial" w:hAnsi="Arial"/>
        <w:color w:themeColor="accent3" w:themeShade="95" w:themeTint="FE" w:val="9ABB59"/>
        <w:sz w:val="22"/>
      </w:rPr>
      <w:tblPr/>
      <w:tcPr>
        <w:shd w:color="EAF1DC" w:fill="EAF1DC" w:themeColor="accent3" w:themeFill="accent3" w:themeFillTint="34" w:themeTint="34" w:val="clear"/>
      </w:tcPr>
    </w:tblStylePr>
    <w:tblStylePr w:type="band2Horz">
      <w:rPr>
        <w:rFonts w:ascii="Arial" w:hAnsi="Arial"/>
        <w:color w:themeColor="accent3" w:themeShade="95" w:themeTint="FE" w:val="9ABB59"/>
        <w:sz w:val="22"/>
      </w:rPr>
    </w:tblStylePr>
  </w:style>
  <w:style w:styleId="GridTable6Colorful-Accent4" w:type="table">
    <w:name w:val="Grid Table 6 Colorful Accent 4"/>
    <w:basedOn w:val="TableNormal"/>
    <w:uiPriority w:val="99"/>
    <w:pPr>
      <w:spacing w:after="0"/>
    </w:pPr>
    <w:tblPr>
      <w:tblStyleRowBandSize w:val="1"/>
      <w:tblStyleColBandSize w:val="1"/>
      <w:tblBorders>
        <w:top w:color="B2A1C6" w:space="0" w:sz="4" w:themeColor="accent4" w:themeTint="9A" w:val="single"/>
        <w:left w:color="B2A1C6" w:space="0" w:sz="4" w:themeColor="accent4" w:themeTint="9A" w:val="single"/>
        <w:bottom w:color="B2A1C6" w:space="0" w:sz="4" w:themeColor="accent4" w:themeTint="9A" w:val="single"/>
        <w:right w:color="B2A1C6" w:space="0" w:sz="4" w:themeColor="accent4" w:themeTint="9A" w:val="single"/>
        <w:insideH w:color="B2A1C6" w:space="0" w:sz="4" w:themeColor="accent4" w:themeTint="9A" w:val="single"/>
        <w:insideV w:color="B2A1C6" w:space="0" w:sz="4" w:themeColor="accent4" w:themeTint="9A" w:val="single"/>
      </w:tblBorders>
    </w:tblPr>
    <w:tblStylePr w:type="firstRow">
      <w:rPr>
        <w:b/>
        <w:color w:themeColor="accent4" w:themeShade="95" w:themeTint="9A" w:val="B2A1C6"/>
      </w:rPr>
      <w:tblPr/>
      <w:tcPr>
        <w:tcBorders>
          <w:bottom w:color="B2A1C6" w:space="0" w:sz="12" w:themeColor="accent4" w:themeTint="9A" w:val="single"/>
        </w:tcBorders>
      </w:tcPr>
    </w:tblStylePr>
    <w:tblStylePr w:type="lastRow">
      <w:rPr>
        <w:b/>
        <w:color w:themeColor="accent4" w:themeShade="95" w:themeTint="9A" w:val="B2A1C6"/>
      </w:rPr>
    </w:tblStylePr>
    <w:tblStylePr w:type="firstCol">
      <w:rPr>
        <w:b/>
        <w:color w:themeColor="accent4" w:themeShade="95" w:themeTint="9A" w:val="B2A1C6"/>
      </w:rPr>
    </w:tblStylePr>
    <w:tblStylePr w:type="lastCol">
      <w:rPr>
        <w:b/>
        <w:color w:themeColor="accent4" w:themeShade="95" w:themeTint="9A" w:val="B2A1C6"/>
      </w:rPr>
    </w:tblStylePr>
    <w:tblStylePr w:type="band1Vert">
      <w:tblPr/>
      <w:tcPr>
        <w:shd w:color="E5DFEC" w:fill="E5DFEC" w:themeColor="accent4" w:themeFill="accent4" w:themeFillTint="34" w:themeTint="34" w:val="clear"/>
      </w:tcPr>
    </w:tblStylePr>
    <w:tblStylePr w:type="band1Horz">
      <w:rPr>
        <w:rFonts w:ascii="Arial" w:hAnsi="Arial"/>
        <w:color w:themeColor="accent4" w:themeShade="95" w:themeTint="9A" w:val="B2A1C6"/>
        <w:sz w:val="22"/>
      </w:rPr>
      <w:tblPr/>
      <w:tcPr>
        <w:shd w:color="E5DFEC" w:fill="E5DFEC" w:themeColor="accent4" w:themeFill="accent4" w:themeFillTint="34" w:themeTint="34" w:val="clear"/>
      </w:tcPr>
    </w:tblStylePr>
    <w:tblStylePr w:type="band2Horz">
      <w:rPr>
        <w:rFonts w:ascii="Arial" w:hAnsi="Arial"/>
        <w:color w:themeColor="accent4" w:themeShade="95" w:themeTint="9A" w:val="B2A1C6"/>
        <w:sz w:val="22"/>
      </w:rPr>
    </w:tblStylePr>
  </w:style>
  <w:style w:styleId="GridTable6Colorful-Accent5" w:type="table">
    <w:name w:val="Grid Table 6 Colorful Accent 5"/>
    <w:basedOn w:val="TableNormal"/>
    <w:uiPriority w:val="99"/>
    <w:pPr>
      <w:spacing w:after="0"/>
    </w:pPr>
    <w:tblPr>
      <w:tblStyleRowBandSize w:val="1"/>
      <w:tblStyleColBandSize w:val="1"/>
      <w:tblBorders>
        <w:top w:color="4BACC6" w:space="0" w:sz="4" w:themeColor="accent5" w:val="single"/>
        <w:left w:color="4BACC6" w:space="0" w:sz="4" w:themeColor="accent5" w:val="single"/>
        <w:bottom w:color="4BACC6" w:space="0" w:sz="4" w:themeColor="accent5" w:val="single"/>
        <w:right w:color="4BACC6" w:space="0" w:sz="4" w:themeColor="accent5" w:val="single"/>
        <w:insideH w:color="4BACC6" w:space="0" w:sz="4" w:themeColor="accent5" w:val="single"/>
        <w:insideV w:color="4BACC6" w:space="0" w:sz="4" w:themeColor="accent5" w:val="single"/>
      </w:tblBorders>
    </w:tblPr>
    <w:tblStylePr w:type="firstRow">
      <w:rPr>
        <w:b/>
        <w:color w:themeColor="accent5" w:themeShade="95" w:val="266779"/>
      </w:rPr>
      <w:tblPr/>
      <w:tcPr>
        <w:tcBorders>
          <w:bottom w:color="4BACC6" w:space="0" w:sz="12" w:themeColor="accent5" w:val="single"/>
        </w:tcBorders>
      </w:tcPr>
    </w:tblStylePr>
    <w:tblStylePr w:type="lastRow">
      <w:rPr>
        <w:b/>
        <w:color w:themeColor="accent5" w:themeShade="95" w:val="266779"/>
      </w:rPr>
    </w:tblStylePr>
    <w:tblStylePr w:type="firstCol">
      <w:rPr>
        <w:b/>
        <w:color w:themeColor="accent5" w:themeShade="95" w:val="266779"/>
      </w:rPr>
    </w:tblStylePr>
    <w:tblStylePr w:type="lastCol">
      <w:rPr>
        <w:b/>
        <w:color w:themeColor="accent5" w:themeShade="95" w:val="266779"/>
      </w:rPr>
    </w:tblStylePr>
    <w:tblStylePr w:type="band1Vert">
      <w:tblPr/>
      <w:tcPr>
        <w:shd w:color="DAEEF3" w:fill="DAEEF3" w:themeColor="accent5" w:themeFill="accent5" w:themeFillTint="34" w:themeTint="34" w:val="clear"/>
      </w:tcPr>
    </w:tblStylePr>
    <w:tblStylePr w:type="band1Horz">
      <w:rPr>
        <w:rFonts w:ascii="Arial" w:hAnsi="Arial"/>
        <w:color w:themeColor="accent5" w:themeShade="95" w:val="266779"/>
        <w:sz w:val="22"/>
      </w:rPr>
      <w:tblPr/>
      <w:tcPr>
        <w:shd w:color="DAEEF3" w:fill="DAEEF3" w:themeColor="accent5" w:themeFill="accent5" w:themeFillTint="34" w:themeTint="34" w:val="clear"/>
      </w:tcPr>
    </w:tblStylePr>
    <w:tblStylePr w:type="band2Horz">
      <w:rPr>
        <w:rFonts w:ascii="Arial" w:hAnsi="Arial"/>
        <w:color w:themeColor="accent5" w:themeShade="95" w:val="266779"/>
        <w:sz w:val="22"/>
      </w:rPr>
    </w:tblStylePr>
  </w:style>
  <w:style w:styleId="GridTable6Colorful-Accent6" w:type="table">
    <w:name w:val="Grid Table 6 Colorful Accent 6"/>
    <w:basedOn w:val="TableNormal"/>
    <w:uiPriority w:val="99"/>
    <w:pPr>
      <w:spacing w:after="0"/>
    </w:pPr>
    <w:tblPr>
      <w:tblStyleRowBandSize w:val="1"/>
      <w:tblStyleColBandSize w:val="1"/>
      <w:tblBorders>
        <w:top w:color="F79646" w:space="0" w:sz="4" w:themeColor="accent6" w:val="single"/>
        <w:left w:color="F79646" w:space="0" w:sz="4" w:themeColor="accent6" w:val="single"/>
        <w:bottom w:color="F79646" w:space="0" w:sz="4" w:themeColor="accent6" w:val="single"/>
        <w:right w:color="F79646" w:space="0" w:sz="4" w:themeColor="accent6" w:val="single"/>
        <w:insideH w:color="F79646" w:space="0" w:sz="4" w:themeColor="accent6" w:val="single"/>
        <w:insideV w:color="F79646" w:space="0" w:sz="4" w:themeColor="accent6" w:val="single"/>
      </w:tblBorders>
    </w:tblPr>
    <w:tblStylePr w:type="firstRow">
      <w:rPr>
        <w:b/>
        <w:color w:themeColor="accent5" w:themeShade="95" w:val="266779"/>
      </w:rPr>
      <w:tblPr/>
      <w:tcPr>
        <w:tcBorders>
          <w:bottom w:color="F79646" w:space="0" w:sz="12" w:themeColor="accent6" w:val="single"/>
        </w:tcBorders>
      </w:tcPr>
    </w:tblStylePr>
    <w:tblStylePr w:type="lastRow">
      <w:rPr>
        <w:b/>
        <w:color w:themeColor="accent5" w:themeShade="95" w:val="266779"/>
      </w:rPr>
    </w:tblStylePr>
    <w:tblStylePr w:type="firstCol">
      <w:rPr>
        <w:b/>
        <w:color w:themeColor="accent5" w:themeShade="95" w:val="266779"/>
      </w:rPr>
    </w:tblStylePr>
    <w:tblStylePr w:type="lastCol">
      <w:rPr>
        <w:b/>
        <w:color w:themeColor="accent5" w:themeShade="95" w:val="266779"/>
      </w:rPr>
    </w:tblStylePr>
    <w:tblStylePr w:type="band1Vert">
      <w:tblPr/>
      <w:tcPr>
        <w:shd w:color="FDE9D8" w:fill="FDE9D8" w:themeColor="accent6" w:themeFill="accent6" w:themeFillTint="34" w:themeTint="34" w:val="clear"/>
      </w:tcPr>
    </w:tblStylePr>
    <w:tblStylePr w:type="band1Horz">
      <w:rPr>
        <w:rFonts w:ascii="Arial" w:hAnsi="Arial"/>
        <w:color w:themeColor="accent5" w:themeShade="95" w:val="266779"/>
        <w:sz w:val="22"/>
      </w:rPr>
      <w:tblPr/>
      <w:tcPr>
        <w:shd w:color="FDE9D8" w:fill="FDE9D8" w:themeColor="accent6" w:themeFill="accent6" w:themeFillTint="34" w:themeTint="34" w:val="clear"/>
      </w:tcPr>
    </w:tblStylePr>
    <w:tblStylePr w:type="band2Horz">
      <w:rPr>
        <w:rFonts w:ascii="Arial" w:hAnsi="Arial"/>
        <w:color w:themeColor="accent5" w:themeShade="95" w:val="266779"/>
        <w:sz w:val="22"/>
      </w:rPr>
    </w:tblStylePr>
  </w:style>
  <w:style w:styleId="GridTable7Colorful" w:type="table">
    <w:name w:val="Grid Table 7 Colorful"/>
    <w:basedOn w:val="TableNormal"/>
    <w:uiPriority w:val="99"/>
    <w:pPr>
      <w:spacing w:after="0"/>
    </w:pPr>
    <w:tblPr>
      <w:tblStyleRowBandSize w:val="1"/>
      <w:tblStyleColBandSize w:val="1"/>
      <w:tblBorders>
        <w:bottom w:color="7F7F7F" w:space="0" w:sz="4" w:themeColor="text1" w:themeTint="80" w:val="single"/>
        <w:right w:color="7F7F7F" w:space="0" w:sz="4" w:themeColor="text1" w:themeTint="80" w:val="single"/>
        <w:insideH w:color="7F7F7F" w:space="0" w:sz="4" w:themeColor="text1" w:themeTint="80" w:val="single"/>
        <w:insideV w:color="7F7F7F" w:space="0" w:sz="4" w:themeColor="text1" w:themeTint="80" w:val="single"/>
      </w:tblBorders>
    </w:tblPr>
    <w:tblStylePr w:type="firstRow">
      <w:rPr>
        <w:rFonts w:ascii="Arial" w:hAnsi="Arial"/>
        <w:b/>
        <w:color w:themeColor="text1" w:themeShade="95" w:themeTint="80" w:val="7F7F7F"/>
        <w:sz w:val="22"/>
      </w:rPr>
      <w:tblPr/>
      <w:tcPr>
        <w:tcBorders>
          <w:top w:color="auto" w:space="0" w:sz="0" w:val="none"/>
          <w:left w:color="auto" w:space="0" w:sz="0" w:val="none"/>
          <w:bottom w:color="7F7F7F" w:space="0" w:sz="4" w:themeColor="text1" w:themeTint="80" w:val="single"/>
          <w:right w:color="auto" w:space="0" w:sz="0" w:val="none"/>
        </w:tcBorders>
        <w:shd w:color="FFFFFF" w:fill="FFFFFF" w:themeColor="light1" w:themeFill="light1" w:val="clear"/>
      </w:tcPr>
    </w:tblStylePr>
    <w:tblStylePr w:type="lastRow">
      <w:rPr>
        <w:rFonts w:ascii="Arial" w:hAnsi="Arial"/>
        <w:b/>
        <w:color w:themeColor="text1" w:themeShade="95" w:themeTint="80" w:val="7F7F7F"/>
        <w:sz w:val="22"/>
      </w:rPr>
      <w:tblPr/>
      <w:tcPr>
        <w:tcBorders>
          <w:top w:color="7F7F7F" w:space="0" w:sz="4" w:themeColor="text1" w:themeTint="8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text1" w:themeShade="95" w:themeTint="80" w:val="7F7F7F"/>
        <w:sz w:val="22"/>
      </w:rPr>
      <w:tblPr/>
      <w:tcPr>
        <w:tcBorders>
          <w:top w:color="auto" w:space="0" w:sz="0" w:val="none"/>
          <w:left w:color="auto" w:space="0" w:sz="0" w:val="none"/>
          <w:bottom w:color="auto" w:space="0" w:sz="0" w:val="none"/>
          <w:right w:color="7F7F7F" w:space="0" w:sz="4" w:themeColor="text1" w:themeTint="80" w:val="single"/>
        </w:tcBorders>
        <w:shd w:color="FFFFFF" w:fill="auto" w:val="clear"/>
      </w:tcPr>
    </w:tblStylePr>
    <w:tblStylePr w:type="lastCol">
      <w:rPr>
        <w:rFonts w:ascii="Arial" w:hAnsi="Arial"/>
        <w:i/>
        <w:color w:themeColor="text1" w:themeShade="95" w:themeTint="80" w:val="7F7F7F"/>
        <w:sz w:val="22"/>
      </w:rPr>
      <w:tblPr/>
      <w:tcPr>
        <w:tcBorders>
          <w:top w:color="auto" w:space="0" w:sz="0" w:val="none"/>
          <w:left w:color="7F7F7F" w:space="0" w:sz="4" w:themeColor="text1" w:themeTint="80" w:val="single"/>
          <w:bottom w:color="auto" w:space="0" w:sz="0" w:val="none"/>
          <w:right w:color="auto" w:space="0" w:sz="0" w:val="none"/>
        </w:tcBorders>
        <w:shd w:color="FFFFFF" w:fill="auto" w:val="clear"/>
      </w:tcPr>
    </w:tblStylePr>
    <w:tblStylePr w:type="band1Vert">
      <w:tblPr/>
      <w:tcPr>
        <w:shd w:color="F2F2F2" w:fill="F2F2F2" w:themeColor="text1" w:themeFill="text1" w:themeFillTint="0D" w:themeTint="0D" w:val="clear"/>
      </w:tcPr>
    </w:tblStylePr>
    <w:tblStylePr w:type="band1Horz">
      <w:rPr>
        <w:rFonts w:ascii="Arial" w:hAnsi="Arial"/>
        <w:color w:themeColor="text1" w:themeShade="95" w:themeTint="80" w:val="7F7F7F"/>
        <w:sz w:val="22"/>
      </w:rPr>
      <w:tblPr/>
      <w:tcPr>
        <w:shd w:color="F2F2F2" w:fill="F2F2F2" w:themeColor="text1" w:themeFill="text1" w:themeFillTint="0D" w:themeTint="0D" w:val="clear"/>
      </w:tcPr>
    </w:tblStylePr>
    <w:tblStylePr w:type="band2Horz">
      <w:rPr>
        <w:rFonts w:ascii="Arial" w:hAnsi="Arial"/>
        <w:color w:themeColor="text1" w:themeShade="95" w:themeTint="80" w:val="7F7F7F"/>
        <w:sz w:val="22"/>
      </w:rPr>
    </w:tblStylePr>
  </w:style>
  <w:style w:styleId="GridTable7Colorful-Accent1" w:type="table">
    <w:name w:val="Grid Table 7 Colorful Accent 1"/>
    <w:basedOn w:val="TableNormal"/>
    <w:uiPriority w:val="99"/>
    <w:pPr>
      <w:spacing w:after="0"/>
    </w:pPr>
    <w:tblPr>
      <w:tblStyleRowBandSize w:val="1"/>
      <w:tblStyleColBandSize w:val="1"/>
      <w:tblBorders>
        <w:bottom w:color="A6BFDD" w:space="0" w:sz="4" w:themeColor="accent1" w:themeTint="80" w:val="single"/>
        <w:right w:color="A6BFDD" w:space="0" w:sz="4" w:themeColor="accent1" w:themeTint="80" w:val="single"/>
        <w:insideH w:color="A6BFDD" w:space="0" w:sz="4" w:themeColor="accent1" w:themeTint="80" w:val="single"/>
        <w:insideV w:color="A6BFDD" w:space="0" w:sz="4" w:themeColor="accent1" w:themeTint="80" w:val="single"/>
      </w:tblBorders>
    </w:tblPr>
    <w:tblStylePr w:type="firstRow">
      <w:rPr>
        <w:rFonts w:ascii="Arial" w:hAnsi="Arial"/>
        <w:b/>
        <w:color w:themeColor="accent1" w:themeShade="95" w:themeTint="80" w:val="A6BFDD"/>
        <w:sz w:val="22"/>
      </w:rPr>
      <w:tblPr/>
      <w:tcPr>
        <w:tcBorders>
          <w:top w:color="auto" w:space="0" w:sz="0" w:val="none"/>
          <w:left w:color="auto" w:space="0" w:sz="0" w:val="none"/>
          <w:bottom w:color="A6BFDD" w:space="0" w:sz="4" w:themeColor="accent1" w:themeTint="80" w:val="single"/>
          <w:right w:color="auto" w:space="0" w:sz="0" w:val="none"/>
        </w:tcBorders>
        <w:shd w:color="FFFFFF" w:fill="FFFFFF" w:themeColor="light1" w:themeFill="light1" w:val="clear"/>
      </w:tcPr>
    </w:tblStylePr>
    <w:tblStylePr w:type="lastRow">
      <w:rPr>
        <w:rFonts w:ascii="Arial" w:hAnsi="Arial"/>
        <w:b/>
        <w:color w:themeColor="accent1" w:themeShade="95" w:themeTint="80" w:val="A6BFDD"/>
        <w:sz w:val="22"/>
      </w:rPr>
      <w:tblPr/>
      <w:tcPr>
        <w:tcBorders>
          <w:top w:color="A6BFDD" w:space="0" w:sz="4" w:themeColor="accent1" w:themeTint="8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1" w:themeShade="95" w:themeTint="80" w:val="A6BFDD"/>
        <w:sz w:val="22"/>
      </w:rPr>
      <w:tblPr/>
      <w:tcPr>
        <w:tcBorders>
          <w:top w:color="auto" w:space="0" w:sz="0" w:val="none"/>
          <w:left w:color="auto" w:space="0" w:sz="0" w:val="none"/>
          <w:bottom w:color="auto" w:space="0" w:sz="0" w:val="none"/>
          <w:right w:color="A6BFDD" w:space="0" w:sz="4" w:themeColor="accent1" w:themeTint="80" w:val="single"/>
        </w:tcBorders>
        <w:shd w:color="FFFFFF" w:fill="auto" w:val="clear"/>
      </w:tcPr>
    </w:tblStylePr>
    <w:tblStylePr w:type="lastCol">
      <w:rPr>
        <w:rFonts w:ascii="Arial" w:hAnsi="Arial"/>
        <w:i/>
        <w:color w:themeColor="accent1" w:themeShade="95" w:themeTint="80" w:val="A6BFDD"/>
        <w:sz w:val="22"/>
      </w:rPr>
      <w:tblPr/>
      <w:tcPr>
        <w:tcBorders>
          <w:top w:color="auto" w:space="0" w:sz="0" w:val="none"/>
          <w:left w:color="A6BFDD" w:space="0" w:sz="4" w:themeColor="accent1" w:themeTint="80" w:val="single"/>
          <w:bottom w:color="auto" w:space="0" w:sz="0" w:val="none"/>
          <w:right w:color="auto" w:space="0" w:sz="0" w:val="none"/>
        </w:tcBorders>
        <w:shd w:color="FFFFFF" w:fill="auto" w:val="clear"/>
      </w:tcPr>
    </w:tblStylePr>
    <w:tblStylePr w:type="band1Vert">
      <w:tblPr/>
      <w:tcPr>
        <w:shd w:color="DAE5F1" w:fill="DAE5F1" w:themeColor="accent1" w:themeFill="accent1" w:themeFillTint="34" w:themeTint="34" w:val="clear"/>
      </w:tcPr>
    </w:tblStylePr>
    <w:tblStylePr w:type="band1Horz">
      <w:rPr>
        <w:rFonts w:ascii="Arial" w:hAnsi="Arial"/>
        <w:color w:themeColor="accent1" w:themeShade="95" w:themeTint="80" w:val="A6BFDD"/>
        <w:sz w:val="22"/>
      </w:rPr>
      <w:tblPr/>
      <w:tcPr>
        <w:shd w:color="DAE5F1" w:fill="DAE5F1" w:themeColor="accent1" w:themeFill="accent1" w:themeFillTint="34" w:themeTint="34" w:val="clear"/>
      </w:tcPr>
    </w:tblStylePr>
    <w:tblStylePr w:type="band2Horz">
      <w:rPr>
        <w:rFonts w:ascii="Arial" w:hAnsi="Arial"/>
        <w:color w:themeColor="accent1" w:themeShade="95" w:themeTint="80" w:val="A6BFDD"/>
        <w:sz w:val="22"/>
      </w:rPr>
    </w:tblStylePr>
  </w:style>
  <w:style w:styleId="GridTable7Colorful-Accent2" w:type="table">
    <w:name w:val="Grid Table 7 Colorful Accent 2"/>
    <w:basedOn w:val="TableNormal"/>
    <w:uiPriority w:val="99"/>
    <w:pPr>
      <w:spacing w:after="0"/>
    </w:pPr>
    <w:tblPr>
      <w:tblStyleRowBandSize w:val="1"/>
      <w:tblStyleColBandSize w:val="1"/>
      <w:tblBorders>
        <w:bottom w:color="D99695" w:space="0" w:sz="4" w:themeColor="accent2" w:themeTint="97" w:val="single"/>
        <w:right w:color="D99695" w:space="0" w:sz="4" w:themeColor="accent2" w:themeTint="97" w:val="single"/>
        <w:insideH w:color="D99695" w:space="0" w:sz="4" w:themeColor="accent2" w:themeTint="97" w:val="single"/>
        <w:insideV w:color="D99695" w:space="0" w:sz="4" w:themeColor="accent2" w:themeTint="97" w:val="single"/>
      </w:tblBorders>
    </w:tblPr>
    <w:tblStylePr w:type="firstRow">
      <w:rPr>
        <w:rFonts w:ascii="Arial" w:hAnsi="Arial"/>
        <w:b/>
        <w:color w:themeColor="accent2" w:themeShade="95" w:themeTint="97" w:val="D99695"/>
        <w:sz w:val="22"/>
      </w:rPr>
      <w:tblPr/>
      <w:tcPr>
        <w:tcBorders>
          <w:top w:color="auto" w:space="0" w:sz="0" w:val="none"/>
          <w:left w:color="auto" w:space="0" w:sz="0" w:val="none"/>
          <w:bottom w:color="D99695" w:space="0" w:sz="4" w:themeColor="accent2" w:themeTint="97" w:val="single"/>
          <w:right w:color="auto" w:space="0" w:sz="0" w:val="none"/>
        </w:tcBorders>
        <w:shd w:color="FFFFFF" w:fill="FFFFFF" w:themeColor="light1" w:themeFill="light1" w:val="clear"/>
      </w:tcPr>
    </w:tblStylePr>
    <w:tblStylePr w:type="lastRow">
      <w:rPr>
        <w:rFonts w:ascii="Arial" w:hAnsi="Arial"/>
        <w:b/>
        <w:color w:themeColor="accent2" w:themeShade="95" w:themeTint="97" w:val="D99695"/>
        <w:sz w:val="22"/>
      </w:rPr>
      <w:tblPr/>
      <w:tcPr>
        <w:tcBorders>
          <w:top w:color="D99695" w:space="0" w:sz="4" w:themeColor="accent2" w:themeTint="97"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2" w:themeShade="95" w:themeTint="97" w:val="D99695"/>
        <w:sz w:val="22"/>
      </w:rPr>
      <w:tblPr/>
      <w:tcPr>
        <w:tcBorders>
          <w:top w:color="auto" w:space="0" w:sz="0" w:val="none"/>
          <w:left w:color="auto" w:space="0" w:sz="0" w:val="none"/>
          <w:bottom w:color="auto" w:space="0" w:sz="0" w:val="none"/>
          <w:right w:color="D99695" w:space="0" w:sz="4" w:themeColor="accent2" w:themeTint="97" w:val="single"/>
        </w:tcBorders>
        <w:shd w:color="FFFFFF" w:fill="auto" w:val="clear"/>
      </w:tcPr>
    </w:tblStylePr>
    <w:tblStylePr w:type="lastCol">
      <w:rPr>
        <w:rFonts w:ascii="Arial" w:hAnsi="Arial"/>
        <w:i/>
        <w:color w:themeColor="accent2" w:themeShade="95" w:themeTint="97" w:val="D99695"/>
        <w:sz w:val="22"/>
      </w:rPr>
      <w:tblPr/>
      <w:tcPr>
        <w:tcBorders>
          <w:top w:color="auto" w:space="0" w:sz="0" w:val="none"/>
          <w:left w:color="D99695" w:space="0" w:sz="4" w:themeColor="accent2" w:themeTint="97" w:val="single"/>
          <w:bottom w:color="auto" w:space="0" w:sz="0" w:val="none"/>
          <w:right w:color="auto" w:space="0" w:sz="0" w:val="none"/>
        </w:tcBorders>
        <w:shd w:color="FFFFFF" w:fill="auto" w:val="clear"/>
      </w:tcPr>
    </w:tblStylePr>
    <w:tblStylePr w:type="band1Vert">
      <w:tblPr/>
      <w:tcPr>
        <w:shd w:color="F2DCDC" w:fill="F2DCDC" w:themeColor="accent2" w:themeFill="accent2" w:themeFillTint="32" w:themeTint="32" w:val="clear"/>
      </w:tcPr>
    </w:tblStylePr>
    <w:tblStylePr w:type="band1Horz">
      <w:rPr>
        <w:rFonts w:ascii="Arial" w:hAnsi="Arial"/>
        <w:color w:themeColor="accent2" w:themeShade="95" w:themeTint="97" w:val="D99695"/>
        <w:sz w:val="22"/>
      </w:rPr>
      <w:tblPr/>
      <w:tcPr>
        <w:shd w:color="F2DCDC" w:fill="F2DCDC" w:themeColor="accent2" w:themeFill="accent2" w:themeFillTint="32" w:themeTint="32" w:val="clear"/>
      </w:tcPr>
    </w:tblStylePr>
    <w:tblStylePr w:type="band2Horz">
      <w:rPr>
        <w:rFonts w:ascii="Arial" w:hAnsi="Arial"/>
        <w:color w:themeColor="accent2" w:themeShade="95" w:themeTint="97" w:val="D99695"/>
        <w:sz w:val="22"/>
      </w:rPr>
    </w:tblStylePr>
  </w:style>
  <w:style w:styleId="GridTable7Colorful-Accent3" w:type="table">
    <w:name w:val="Grid Table 7 Colorful Accent 3"/>
    <w:basedOn w:val="TableNormal"/>
    <w:uiPriority w:val="99"/>
    <w:pPr>
      <w:spacing w:after="0"/>
    </w:pPr>
    <w:tblPr>
      <w:tblStyleRowBandSize w:val="1"/>
      <w:tblStyleColBandSize w:val="1"/>
      <w:tblBorders>
        <w:bottom w:color="9ABB59" w:space="0" w:sz="4" w:themeColor="accent3" w:themeTint="FE" w:val="single"/>
        <w:right w:color="9ABB59" w:space="0" w:sz="4" w:themeColor="accent3" w:themeTint="FE" w:val="single"/>
        <w:insideH w:color="9ABB59" w:space="0" w:sz="4" w:themeColor="accent3" w:themeTint="FE" w:val="single"/>
        <w:insideV w:color="9ABB59" w:space="0" w:sz="4" w:themeColor="accent3" w:themeTint="FE" w:val="single"/>
      </w:tblBorders>
    </w:tblPr>
    <w:tblStylePr w:type="firstRow">
      <w:rPr>
        <w:rFonts w:ascii="Arial" w:hAnsi="Arial"/>
        <w:b/>
        <w:color w:themeColor="accent3" w:themeShade="95" w:themeTint="FE" w:val="9ABB59"/>
        <w:sz w:val="22"/>
      </w:rPr>
      <w:tblPr/>
      <w:tcPr>
        <w:tcBorders>
          <w:top w:color="auto" w:space="0" w:sz="0" w:val="none"/>
          <w:left w:color="auto" w:space="0" w:sz="0" w:val="none"/>
          <w:bottom w:color="9ABB59" w:space="0" w:sz="4" w:themeColor="accent3" w:themeTint="FE" w:val="single"/>
          <w:right w:color="auto" w:space="0" w:sz="0" w:val="none"/>
        </w:tcBorders>
        <w:shd w:color="FFFFFF" w:fill="FFFFFF" w:themeColor="light1" w:themeFill="light1" w:val="clear"/>
      </w:tcPr>
    </w:tblStylePr>
    <w:tblStylePr w:type="lastRow">
      <w:rPr>
        <w:rFonts w:ascii="Arial" w:hAnsi="Arial"/>
        <w:b/>
        <w:color w:themeColor="accent3" w:themeShade="95" w:themeTint="FE" w:val="9ABB59"/>
        <w:sz w:val="22"/>
      </w:rPr>
      <w:tblPr/>
      <w:tcPr>
        <w:tcBorders>
          <w:top w:color="9ABB59" w:space="0" w:sz="4" w:themeColor="accent3" w:themeTint="FE"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3" w:themeShade="95" w:themeTint="FE" w:val="9ABB59"/>
        <w:sz w:val="22"/>
      </w:rPr>
      <w:tblPr/>
      <w:tcPr>
        <w:tcBorders>
          <w:top w:color="auto" w:space="0" w:sz="0" w:val="none"/>
          <w:left w:color="auto" w:space="0" w:sz="0" w:val="none"/>
          <w:bottom w:color="auto" w:space="0" w:sz="0" w:val="none"/>
          <w:right w:color="9ABB59" w:space="0" w:sz="4" w:themeColor="accent3" w:themeTint="FE" w:val="single"/>
        </w:tcBorders>
        <w:shd w:color="FFFFFF" w:fill="auto" w:val="clear"/>
      </w:tcPr>
    </w:tblStylePr>
    <w:tblStylePr w:type="lastCol">
      <w:rPr>
        <w:rFonts w:ascii="Arial" w:hAnsi="Arial"/>
        <w:i/>
        <w:color w:themeColor="accent3" w:themeShade="95" w:themeTint="FE" w:val="9ABB59"/>
        <w:sz w:val="22"/>
      </w:rPr>
      <w:tblPr/>
      <w:tcPr>
        <w:tcBorders>
          <w:top w:color="auto" w:space="0" w:sz="0" w:val="none"/>
          <w:left w:color="9ABB59" w:space="0" w:sz="4" w:themeColor="accent3" w:themeTint="FE" w:val="single"/>
          <w:bottom w:color="auto" w:space="0" w:sz="0" w:val="none"/>
          <w:right w:color="auto" w:space="0" w:sz="0" w:val="none"/>
        </w:tcBorders>
        <w:shd w:color="FFFFFF" w:fill="auto" w:val="clear"/>
      </w:tcPr>
    </w:tblStylePr>
    <w:tblStylePr w:type="band1Vert">
      <w:tblPr/>
      <w:tcPr>
        <w:shd w:color="EAF1DC" w:fill="EAF1DC" w:themeColor="accent3" w:themeFill="accent3" w:themeFillTint="34" w:themeTint="34" w:val="clear"/>
      </w:tcPr>
    </w:tblStylePr>
    <w:tblStylePr w:type="band1Horz">
      <w:rPr>
        <w:rFonts w:ascii="Arial" w:hAnsi="Arial"/>
        <w:color w:themeColor="accent3" w:themeShade="95" w:themeTint="FE" w:val="9ABB59"/>
        <w:sz w:val="22"/>
      </w:rPr>
      <w:tblPr/>
      <w:tcPr>
        <w:shd w:color="EAF1DC" w:fill="EAF1DC" w:themeColor="accent3" w:themeFill="accent3" w:themeFillTint="34" w:themeTint="34" w:val="clear"/>
      </w:tcPr>
    </w:tblStylePr>
    <w:tblStylePr w:type="band2Horz">
      <w:rPr>
        <w:rFonts w:ascii="Arial" w:hAnsi="Arial"/>
        <w:color w:themeColor="accent3" w:themeShade="95" w:themeTint="FE" w:val="9ABB59"/>
        <w:sz w:val="22"/>
      </w:rPr>
    </w:tblStylePr>
  </w:style>
  <w:style w:styleId="GridTable7Colorful-Accent4" w:type="table">
    <w:name w:val="Grid Table 7 Colorful Accent 4"/>
    <w:basedOn w:val="TableNormal"/>
    <w:uiPriority w:val="99"/>
    <w:pPr>
      <w:spacing w:after="0"/>
    </w:pPr>
    <w:tblPr>
      <w:tblStyleRowBandSize w:val="1"/>
      <w:tblStyleColBandSize w:val="1"/>
      <w:tblBorders>
        <w:bottom w:color="B2A1C6" w:space="0" w:sz="4" w:themeColor="accent4" w:themeTint="9A" w:val="single"/>
        <w:right w:color="B2A1C6" w:space="0" w:sz="4" w:themeColor="accent4" w:themeTint="9A" w:val="single"/>
        <w:insideH w:color="B2A1C6" w:space="0" w:sz="4" w:themeColor="accent4" w:themeTint="9A" w:val="single"/>
        <w:insideV w:color="B2A1C6" w:space="0" w:sz="4" w:themeColor="accent4" w:themeTint="9A" w:val="single"/>
      </w:tblBorders>
    </w:tblPr>
    <w:tblStylePr w:type="firstRow">
      <w:rPr>
        <w:rFonts w:ascii="Arial" w:hAnsi="Arial"/>
        <w:b/>
        <w:color w:themeColor="accent4" w:themeShade="95" w:themeTint="9A" w:val="B2A1C6"/>
        <w:sz w:val="22"/>
      </w:rPr>
      <w:tblPr/>
      <w:tcPr>
        <w:tcBorders>
          <w:top w:color="auto" w:space="0" w:sz="0" w:val="none"/>
          <w:left w:color="auto" w:space="0" w:sz="0" w:val="none"/>
          <w:bottom w:color="B2A1C6" w:space="0" w:sz="4" w:themeColor="accent4" w:themeTint="9A" w:val="single"/>
          <w:right w:color="auto" w:space="0" w:sz="0" w:val="none"/>
        </w:tcBorders>
        <w:shd w:color="FFFFFF" w:fill="FFFFFF" w:themeColor="light1" w:themeFill="light1" w:val="clear"/>
      </w:tcPr>
    </w:tblStylePr>
    <w:tblStylePr w:type="lastRow">
      <w:rPr>
        <w:rFonts w:ascii="Arial" w:hAnsi="Arial"/>
        <w:b/>
        <w:color w:themeColor="accent4" w:themeShade="95" w:themeTint="9A" w:val="B2A1C6"/>
        <w:sz w:val="22"/>
      </w:rPr>
      <w:tblPr/>
      <w:tcPr>
        <w:tcBorders>
          <w:top w:color="B2A1C6" w:space="0" w:sz="4" w:themeColor="accent4" w:themeTint="9A"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4" w:themeShade="95" w:themeTint="9A" w:val="B2A1C6"/>
        <w:sz w:val="22"/>
      </w:rPr>
      <w:tblPr/>
      <w:tcPr>
        <w:tcBorders>
          <w:top w:color="auto" w:space="0" w:sz="0" w:val="none"/>
          <w:left w:color="auto" w:space="0" w:sz="0" w:val="none"/>
          <w:bottom w:color="auto" w:space="0" w:sz="0" w:val="none"/>
          <w:right w:color="B2A1C6" w:space="0" w:sz="4" w:themeColor="accent4" w:themeTint="9A" w:val="single"/>
        </w:tcBorders>
        <w:shd w:color="FFFFFF" w:fill="auto" w:val="clear"/>
      </w:tcPr>
    </w:tblStylePr>
    <w:tblStylePr w:type="lastCol">
      <w:rPr>
        <w:rFonts w:ascii="Arial" w:hAnsi="Arial"/>
        <w:i/>
        <w:color w:themeColor="accent4" w:themeShade="95" w:themeTint="9A" w:val="B2A1C6"/>
        <w:sz w:val="22"/>
      </w:rPr>
      <w:tblPr/>
      <w:tcPr>
        <w:tcBorders>
          <w:top w:color="auto" w:space="0" w:sz="0" w:val="none"/>
          <w:left w:color="B2A1C6" w:space="0" w:sz="4" w:themeColor="accent4" w:themeTint="9A" w:val="single"/>
          <w:bottom w:color="auto" w:space="0" w:sz="0" w:val="none"/>
          <w:right w:color="auto" w:space="0" w:sz="0" w:val="none"/>
        </w:tcBorders>
        <w:shd w:color="FFFFFF" w:fill="auto" w:val="clear"/>
      </w:tcPr>
    </w:tblStylePr>
    <w:tblStylePr w:type="band1Vert">
      <w:tblPr/>
      <w:tcPr>
        <w:shd w:color="E5DFEC" w:fill="E5DFEC" w:themeColor="accent4" w:themeFill="accent4" w:themeFillTint="34" w:themeTint="34" w:val="clear"/>
      </w:tcPr>
    </w:tblStylePr>
    <w:tblStylePr w:type="band1Horz">
      <w:rPr>
        <w:rFonts w:ascii="Arial" w:hAnsi="Arial"/>
        <w:color w:themeColor="accent4" w:themeShade="95" w:themeTint="9A" w:val="B2A1C6"/>
        <w:sz w:val="22"/>
      </w:rPr>
      <w:tblPr/>
      <w:tcPr>
        <w:shd w:color="E5DFEC" w:fill="E5DFEC" w:themeColor="accent4" w:themeFill="accent4" w:themeFillTint="34" w:themeTint="34" w:val="clear"/>
      </w:tcPr>
    </w:tblStylePr>
    <w:tblStylePr w:type="band2Horz">
      <w:rPr>
        <w:rFonts w:ascii="Arial" w:hAnsi="Arial"/>
        <w:color w:themeColor="accent4" w:themeShade="95" w:themeTint="9A" w:val="B2A1C6"/>
        <w:sz w:val="22"/>
      </w:rPr>
    </w:tblStylePr>
  </w:style>
  <w:style w:styleId="GridTable7Colorful-Accent5" w:type="table">
    <w:name w:val="Grid Table 7 Colorful Accent 5"/>
    <w:basedOn w:val="TableNormal"/>
    <w:uiPriority w:val="99"/>
    <w:pPr>
      <w:spacing w:after="0"/>
    </w:pPr>
    <w:tblPr>
      <w:tblStyleRowBandSize w:val="1"/>
      <w:tblStyleColBandSize w:val="1"/>
      <w:tblBorders>
        <w:bottom w:color="99D0DE" w:space="0" w:sz="4" w:themeColor="accent5" w:themeTint="90" w:val="single"/>
        <w:right w:color="99D0DE" w:space="0" w:sz="4" w:themeColor="accent5" w:themeTint="90" w:val="single"/>
        <w:insideH w:color="99D0DE" w:space="0" w:sz="4" w:themeColor="accent5" w:themeTint="90" w:val="single"/>
        <w:insideV w:color="99D0DE" w:space="0" w:sz="4" w:themeColor="accent5" w:themeTint="90" w:val="single"/>
      </w:tblBorders>
    </w:tblPr>
    <w:tblStylePr w:type="firstRow">
      <w:rPr>
        <w:rFonts w:ascii="Arial" w:hAnsi="Arial"/>
        <w:b/>
        <w:color w:themeColor="accent5" w:themeShade="95" w:val="266779"/>
        <w:sz w:val="22"/>
      </w:rPr>
      <w:tblPr/>
      <w:tcPr>
        <w:tcBorders>
          <w:top w:color="auto" w:space="0" w:sz="0" w:val="none"/>
          <w:left w:color="auto" w:space="0" w:sz="0" w:val="none"/>
          <w:bottom w:color="99D0DE" w:space="0" w:sz="4" w:themeColor="accent5" w:themeTint="90" w:val="single"/>
          <w:right w:color="auto" w:space="0" w:sz="0" w:val="none"/>
        </w:tcBorders>
        <w:shd w:color="FFFFFF" w:fill="FFFFFF" w:themeColor="light1" w:themeFill="light1" w:val="clear"/>
      </w:tcPr>
    </w:tblStylePr>
    <w:tblStylePr w:type="lastRow">
      <w:rPr>
        <w:rFonts w:ascii="Arial" w:hAnsi="Arial"/>
        <w:b/>
        <w:color w:themeColor="accent5" w:themeShade="95" w:val="266779"/>
        <w:sz w:val="22"/>
      </w:rPr>
      <w:tblPr/>
      <w:tcPr>
        <w:tcBorders>
          <w:top w:color="99D0DE" w:space="0" w:sz="4" w:themeColor="accent5" w:themeTint="9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5" w:themeShade="95" w:val="266779"/>
        <w:sz w:val="22"/>
      </w:rPr>
      <w:tblPr/>
      <w:tcPr>
        <w:tcBorders>
          <w:top w:color="auto" w:space="0" w:sz="0" w:val="none"/>
          <w:left w:color="auto" w:space="0" w:sz="0" w:val="none"/>
          <w:bottom w:color="auto" w:space="0" w:sz="0" w:val="none"/>
          <w:right w:color="99D0DE" w:space="0" w:sz="4" w:themeColor="accent5" w:themeTint="90" w:val="single"/>
        </w:tcBorders>
        <w:shd w:color="FFFFFF" w:fill="auto" w:val="clear"/>
      </w:tcPr>
    </w:tblStylePr>
    <w:tblStylePr w:type="lastCol">
      <w:rPr>
        <w:rFonts w:ascii="Arial" w:hAnsi="Arial"/>
        <w:i/>
        <w:color w:themeColor="accent5" w:themeShade="95" w:val="266779"/>
        <w:sz w:val="22"/>
      </w:rPr>
      <w:tblPr/>
      <w:tcPr>
        <w:tcBorders>
          <w:top w:color="auto" w:space="0" w:sz="0" w:val="none"/>
          <w:left w:color="99D0DE" w:space="0" w:sz="4" w:themeColor="accent5" w:themeTint="90" w:val="single"/>
          <w:bottom w:color="auto" w:space="0" w:sz="0" w:val="none"/>
          <w:right w:color="auto" w:space="0" w:sz="0" w:val="none"/>
        </w:tcBorders>
        <w:shd w:color="FFFFFF" w:fill="auto" w:val="clear"/>
      </w:tcPr>
    </w:tblStylePr>
    <w:tblStylePr w:type="band1Vert">
      <w:tblPr/>
      <w:tcPr>
        <w:shd w:color="DAEEF3" w:fill="DAEEF3" w:themeColor="accent5" w:themeFill="accent5" w:themeFillTint="34" w:themeTint="34" w:val="clear"/>
      </w:tcPr>
    </w:tblStylePr>
    <w:tblStylePr w:type="band1Horz">
      <w:rPr>
        <w:rFonts w:ascii="Arial" w:hAnsi="Arial"/>
        <w:color w:themeColor="accent5" w:themeShade="95" w:val="266779"/>
        <w:sz w:val="22"/>
      </w:rPr>
      <w:tblPr/>
      <w:tcPr>
        <w:shd w:color="DAEEF3" w:fill="DAEEF3" w:themeColor="accent5" w:themeFill="accent5" w:themeFillTint="34" w:themeTint="34" w:val="clear"/>
      </w:tcPr>
    </w:tblStylePr>
    <w:tblStylePr w:type="band2Horz">
      <w:rPr>
        <w:rFonts w:ascii="Arial" w:hAnsi="Arial"/>
        <w:color w:themeColor="accent5" w:themeShade="95" w:val="266779"/>
        <w:sz w:val="22"/>
      </w:rPr>
    </w:tblStylePr>
  </w:style>
  <w:style w:styleId="GridTable7Colorful-Accent6" w:type="table">
    <w:name w:val="Grid Table 7 Colorful Accent 6"/>
    <w:basedOn w:val="TableNormal"/>
    <w:uiPriority w:val="99"/>
    <w:pPr>
      <w:spacing w:after="0"/>
    </w:pPr>
    <w:tblPr>
      <w:tblStyleRowBandSize w:val="1"/>
      <w:tblStyleColBandSize w:val="1"/>
      <w:tblBorders>
        <w:bottom w:color="FAC396" w:space="0" w:sz="4" w:themeColor="accent6" w:themeTint="90" w:val="single"/>
        <w:right w:color="FAC396" w:space="0" w:sz="4" w:themeColor="accent6" w:themeTint="90" w:val="single"/>
        <w:insideH w:color="FAC396" w:space="0" w:sz="4" w:themeColor="accent6" w:themeTint="90" w:val="single"/>
        <w:insideV w:color="FAC396" w:space="0" w:sz="4" w:themeColor="accent6" w:themeTint="90" w:val="single"/>
      </w:tblBorders>
    </w:tblPr>
    <w:tblStylePr w:type="firstRow">
      <w:rPr>
        <w:rFonts w:ascii="Arial" w:hAnsi="Arial"/>
        <w:b/>
        <w:color w:themeColor="accent6" w:themeShade="95" w:val="B15407"/>
        <w:sz w:val="22"/>
      </w:rPr>
      <w:tblPr/>
      <w:tcPr>
        <w:tcBorders>
          <w:top w:color="auto" w:space="0" w:sz="0" w:val="none"/>
          <w:left w:color="auto" w:space="0" w:sz="0" w:val="none"/>
          <w:bottom w:color="FAC396" w:space="0" w:sz="4" w:themeColor="accent6" w:themeTint="90" w:val="single"/>
          <w:right w:color="auto" w:space="0" w:sz="0" w:val="none"/>
        </w:tcBorders>
        <w:shd w:color="FFFFFF" w:fill="FFFFFF" w:themeColor="light1" w:themeFill="light1" w:val="clear"/>
      </w:tcPr>
    </w:tblStylePr>
    <w:tblStylePr w:type="lastRow">
      <w:rPr>
        <w:rFonts w:ascii="Arial" w:hAnsi="Arial"/>
        <w:b/>
        <w:color w:themeColor="accent6" w:themeShade="95" w:val="B15407"/>
        <w:sz w:val="22"/>
      </w:rPr>
      <w:tblPr/>
      <w:tcPr>
        <w:tcBorders>
          <w:top w:color="FAC396" w:space="0" w:sz="4" w:themeColor="accent6" w:themeTint="9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6" w:themeShade="95" w:val="B15407"/>
        <w:sz w:val="22"/>
      </w:rPr>
      <w:tblPr/>
      <w:tcPr>
        <w:tcBorders>
          <w:top w:color="auto" w:space="0" w:sz="0" w:val="none"/>
          <w:left w:color="auto" w:space="0" w:sz="0" w:val="none"/>
          <w:bottom w:color="auto" w:space="0" w:sz="0" w:val="none"/>
          <w:right w:color="FAC396" w:space="0" w:sz="4" w:themeColor="accent6" w:themeTint="90" w:val="single"/>
        </w:tcBorders>
        <w:shd w:color="FFFFFF" w:fill="auto" w:val="clear"/>
      </w:tcPr>
    </w:tblStylePr>
    <w:tblStylePr w:type="lastCol">
      <w:rPr>
        <w:rFonts w:ascii="Arial" w:hAnsi="Arial"/>
        <w:i/>
        <w:color w:themeColor="accent6" w:themeShade="95" w:val="B15407"/>
        <w:sz w:val="22"/>
      </w:rPr>
      <w:tblPr/>
      <w:tcPr>
        <w:tcBorders>
          <w:top w:color="auto" w:space="0" w:sz="0" w:val="none"/>
          <w:left w:color="FAC396" w:space="0" w:sz="4" w:themeColor="accent6" w:themeTint="90" w:val="single"/>
          <w:bottom w:color="auto" w:space="0" w:sz="0" w:val="none"/>
          <w:right w:color="auto" w:space="0" w:sz="0" w:val="none"/>
        </w:tcBorders>
        <w:shd w:color="FFFFFF" w:fill="auto" w:val="clear"/>
      </w:tcPr>
    </w:tblStylePr>
    <w:tblStylePr w:type="band1Vert">
      <w:tblPr/>
      <w:tcPr>
        <w:shd w:color="FDE9D8" w:fill="FDE9D8" w:themeColor="accent6" w:themeFill="accent6" w:themeFillTint="34" w:themeTint="34" w:val="clear"/>
      </w:tcPr>
    </w:tblStylePr>
    <w:tblStylePr w:type="band1Horz">
      <w:rPr>
        <w:rFonts w:ascii="Arial" w:hAnsi="Arial"/>
        <w:color w:themeColor="accent6" w:themeShade="95" w:val="B15407"/>
        <w:sz w:val="22"/>
      </w:rPr>
      <w:tblPr/>
      <w:tcPr>
        <w:shd w:color="FDE9D8" w:fill="FDE9D8" w:themeColor="accent6" w:themeFill="accent6" w:themeFillTint="34" w:themeTint="34" w:val="clear"/>
      </w:tcPr>
    </w:tblStylePr>
    <w:tblStylePr w:type="band2Horz">
      <w:rPr>
        <w:rFonts w:ascii="Arial" w:hAnsi="Arial"/>
        <w:color w:themeColor="accent6" w:themeShade="95" w:val="B15407"/>
        <w:sz w:val="22"/>
      </w:rPr>
    </w:tblStylePr>
  </w:style>
  <w:style w:styleId="ListTable1Light" w:type="table">
    <w:name w:val="List Table 1 Light"/>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000000" w:space="0" w:sz="4" w:themeColor="text1" w:val="single"/>
          <w:right w:color="000000" w:space="0" w:sz="4" w:val="none"/>
        </w:tcBorders>
      </w:tcPr>
    </w:tblStylePr>
    <w:tblStylePr w:type="lastRow">
      <w:rPr>
        <w:b/>
        <w:color w:val="404040"/>
      </w:rPr>
      <w:tblPr/>
      <w:tcPr>
        <w:tcBorders>
          <w:top w:color="000000" w:space="0" w:sz="4" w:themeColor="text1"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BFBFBF" w:fill="BFBFBF" w:themeColor="text1" w:themeFill="text1" w:themeFillTint="40" w:themeTint="40" w:val="clear"/>
      </w:tcPr>
    </w:tblStylePr>
    <w:tblStylePr w:type="band1Horz">
      <w:tblPr/>
      <w:tcPr>
        <w:shd w:color="BFBFBF" w:fill="BFBFBF" w:themeColor="text1" w:themeFill="text1" w:themeFillTint="40" w:themeTint="40" w:val="clear"/>
      </w:tcPr>
    </w:tblStylePr>
  </w:style>
  <w:style w:styleId="ListTable1Light-Accent1" w:type="table">
    <w:name w:val="List Table 1 Light Accent 1"/>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4F81BD" w:space="0" w:sz="4" w:themeColor="accent1" w:val="single"/>
          <w:right w:color="000000" w:space="0" w:sz="4" w:val="none"/>
        </w:tcBorders>
      </w:tcPr>
    </w:tblStylePr>
    <w:tblStylePr w:type="lastRow">
      <w:rPr>
        <w:b/>
        <w:color w:val="404040"/>
      </w:rPr>
      <w:tblPr/>
      <w:tcPr>
        <w:tcBorders>
          <w:top w:color="4F81BD" w:space="0" w:sz="4" w:themeColor="accent1"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D2DFEE" w:fill="D2DFEE" w:themeColor="accent1" w:themeFill="accent1" w:themeFillTint="40" w:themeTint="40" w:val="clear"/>
      </w:tcPr>
    </w:tblStylePr>
    <w:tblStylePr w:type="band1Horz">
      <w:tblPr/>
      <w:tcPr>
        <w:shd w:color="D2DFEE" w:fill="D2DFEE" w:themeColor="accent1" w:themeFill="accent1" w:themeFillTint="40" w:themeTint="40" w:val="clear"/>
      </w:tcPr>
    </w:tblStylePr>
  </w:style>
  <w:style w:styleId="ListTable1Light-Accent2" w:type="table">
    <w:name w:val="List Table 1 Light Accent 2"/>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C0504D" w:space="0" w:sz="4" w:themeColor="accent2" w:val="single"/>
          <w:right w:color="000000" w:space="0" w:sz="4" w:val="none"/>
        </w:tcBorders>
      </w:tcPr>
    </w:tblStylePr>
    <w:tblStylePr w:type="lastRow">
      <w:rPr>
        <w:b/>
        <w:color w:val="404040"/>
      </w:rPr>
      <w:tblPr/>
      <w:tcPr>
        <w:tcBorders>
          <w:top w:color="C0504D" w:space="0" w:sz="4" w:themeColor="accent2"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EFD2D2" w:fill="EFD2D2" w:themeColor="accent2" w:themeFill="accent2" w:themeFillTint="40" w:themeTint="40" w:val="clear"/>
      </w:tcPr>
    </w:tblStylePr>
    <w:tblStylePr w:type="band1Horz">
      <w:tblPr/>
      <w:tcPr>
        <w:shd w:color="EFD2D2" w:fill="EFD2D2" w:themeColor="accent2" w:themeFill="accent2" w:themeFillTint="40" w:themeTint="40" w:val="clear"/>
      </w:tcPr>
    </w:tblStylePr>
  </w:style>
  <w:style w:styleId="ListTable1Light-Accent3" w:type="table">
    <w:name w:val="List Table 1 Light Accent 3"/>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9BBB59" w:space="0" w:sz="4" w:themeColor="accent3" w:val="single"/>
          <w:right w:color="000000" w:space="0" w:sz="4" w:val="none"/>
        </w:tcBorders>
      </w:tcPr>
    </w:tblStylePr>
    <w:tblStylePr w:type="lastRow">
      <w:rPr>
        <w:b/>
        <w:color w:val="404040"/>
      </w:rPr>
      <w:tblPr/>
      <w:tcPr>
        <w:tcBorders>
          <w:top w:color="9BBB59" w:space="0" w:sz="4" w:themeColor="accent3"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E5EED5" w:fill="E5EED5" w:themeColor="accent3" w:themeFill="accent3" w:themeFillTint="40" w:themeTint="40" w:val="clear"/>
      </w:tcPr>
    </w:tblStylePr>
    <w:tblStylePr w:type="band1Horz">
      <w:tblPr/>
      <w:tcPr>
        <w:shd w:color="E5EED5" w:fill="E5EED5" w:themeColor="accent3" w:themeFill="accent3" w:themeFillTint="40" w:themeTint="40" w:val="clear"/>
      </w:tcPr>
    </w:tblStylePr>
  </w:style>
  <w:style w:styleId="ListTable1Light-Accent4" w:type="table">
    <w:name w:val="List Table 1 Light Accent 4"/>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8064A2" w:space="0" w:sz="4" w:themeColor="accent4" w:val="single"/>
          <w:right w:color="000000" w:space="0" w:sz="4" w:val="none"/>
        </w:tcBorders>
      </w:tcPr>
    </w:tblStylePr>
    <w:tblStylePr w:type="lastRow">
      <w:rPr>
        <w:b/>
        <w:color w:val="404040"/>
      </w:rPr>
      <w:tblPr/>
      <w:tcPr>
        <w:tcBorders>
          <w:top w:color="8064A2" w:space="0" w:sz="4" w:themeColor="accent4"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DFD8E7" w:fill="DFD8E7" w:themeColor="accent4" w:themeFill="accent4" w:themeFillTint="40" w:themeTint="40" w:val="clear"/>
      </w:tcPr>
    </w:tblStylePr>
    <w:tblStylePr w:type="band1Horz">
      <w:tblPr/>
      <w:tcPr>
        <w:shd w:color="DFD8E7" w:fill="DFD8E7" w:themeColor="accent4" w:themeFill="accent4" w:themeFillTint="40" w:themeTint="40" w:val="clear"/>
      </w:tcPr>
    </w:tblStylePr>
  </w:style>
  <w:style w:styleId="ListTable1Light-Accent5" w:type="table">
    <w:name w:val="List Table 1 Light Accent 5"/>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4BACC6" w:space="0" w:sz="4" w:themeColor="accent5" w:val="single"/>
          <w:right w:color="000000" w:space="0" w:sz="4" w:val="none"/>
        </w:tcBorders>
      </w:tcPr>
    </w:tblStylePr>
    <w:tblStylePr w:type="lastRow">
      <w:rPr>
        <w:b/>
        <w:color w:val="404040"/>
      </w:rPr>
      <w:tblPr/>
      <w:tcPr>
        <w:tcBorders>
          <w:top w:color="4BACC6" w:space="0" w:sz="4" w:themeColor="accent5"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D1EAF0" w:fill="D1EAF0" w:themeColor="accent5" w:themeFill="accent5" w:themeFillTint="40" w:themeTint="40" w:val="clear"/>
      </w:tcPr>
    </w:tblStylePr>
    <w:tblStylePr w:type="band1Horz">
      <w:tblPr/>
      <w:tcPr>
        <w:shd w:color="D1EAF0" w:fill="D1EAF0" w:themeColor="accent5" w:themeFill="accent5" w:themeFillTint="40" w:themeTint="40" w:val="clear"/>
      </w:tcPr>
    </w:tblStylePr>
  </w:style>
  <w:style w:styleId="ListTable1Light-Accent6" w:type="table">
    <w:name w:val="List Table 1 Light Accent 6"/>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F79646" w:space="0" w:sz="4" w:themeColor="accent6" w:val="single"/>
          <w:right w:color="000000" w:space="0" w:sz="4" w:val="none"/>
        </w:tcBorders>
      </w:tcPr>
    </w:tblStylePr>
    <w:tblStylePr w:type="lastRow">
      <w:rPr>
        <w:b/>
        <w:color w:val="404040"/>
      </w:rPr>
      <w:tblPr/>
      <w:tcPr>
        <w:tcBorders>
          <w:top w:color="F79646" w:space="0" w:sz="4" w:themeColor="accent6"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FDE4D0" w:fill="FDE4D0" w:themeColor="accent6" w:themeFill="accent6" w:themeFillTint="40" w:themeTint="40" w:val="clear"/>
      </w:tcPr>
    </w:tblStylePr>
    <w:tblStylePr w:type="band1Horz">
      <w:tblPr/>
      <w:tcPr>
        <w:shd w:color="FDE4D0" w:fill="FDE4D0" w:themeColor="accent6" w:themeFill="accent6" w:themeFillTint="40" w:themeTint="40" w:val="clear"/>
      </w:tcPr>
    </w:tblStylePr>
  </w:style>
  <w:style w:styleId="ListTable2" w:type="table">
    <w:name w:val="List Table 2"/>
    <w:basedOn w:val="TableNormal"/>
    <w:uiPriority w:val="99"/>
    <w:pPr>
      <w:spacing w:after="0"/>
    </w:pPr>
    <w:tblPr>
      <w:tblStyleRowBandSize w:val="1"/>
      <w:tblStyleColBandSize w:val="1"/>
      <w:tblBorders>
        <w:top w:color="6F6F6F" w:space="0" w:sz="4" w:themeColor="text1" w:themeTint="90" w:val="single"/>
        <w:bottom w:color="6F6F6F" w:space="0" w:sz="4" w:themeColor="text1" w:themeTint="90" w:val="single"/>
        <w:insideH w:color="6F6F6F" w:space="0" w:sz="4" w:themeColor="text1" w:themeTint="90" w:val="single"/>
      </w:tblBorders>
    </w:tblPr>
    <w:tblStylePr w:type="firstRow">
      <w:rPr>
        <w:rFonts w:ascii="Arial" w:hAnsi="Arial"/>
        <w:b/>
        <w:color w:val="404040"/>
        <w:sz w:val="22"/>
      </w:rPr>
      <w:tblPr/>
      <w:tcPr>
        <w:tcBorders>
          <w:top w:color="6F6F6F" w:space="0" w:sz="4" w:themeColor="text1" w:themeTint="90" w:val="single"/>
          <w:left w:color="000000" w:space="0" w:sz="4" w:val="none"/>
          <w:bottom w:color="6F6F6F" w:space="0" w:sz="4" w:themeColor="text1" w:themeTint="90" w:val="single"/>
          <w:right w:color="000000" w:space="0" w:sz="4" w:val="none"/>
        </w:tcBorders>
      </w:tcPr>
    </w:tblStylePr>
    <w:tblStylePr w:type="lastRow">
      <w:rPr>
        <w:rFonts w:ascii="Arial" w:hAnsi="Arial"/>
        <w:b/>
        <w:color w:val="404040"/>
        <w:sz w:val="22"/>
      </w:rPr>
      <w:tblPr/>
      <w:tcPr>
        <w:tcBorders>
          <w:top w:color="6F6F6F" w:space="0" w:sz="4" w:themeColor="text1" w:themeTint="90" w:val="single"/>
          <w:left w:color="000000" w:space="0" w:sz="4" w:val="none"/>
          <w:bottom w:color="6F6F6F" w:space="0" w:sz="4" w:themeColor="text1"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BFBFBF" w:fill="BFBFBF" w:themeColor="text1" w:themeFill="text1" w:themeFillTint="40" w:themeTint="40" w:val="clear"/>
      </w:tcPr>
    </w:tblStylePr>
    <w:tblStylePr w:type="band1Horz">
      <w:rPr>
        <w:rFonts w:ascii="Arial" w:hAnsi="Arial"/>
        <w:color w:val="404040"/>
        <w:sz w:val="22"/>
      </w:rPr>
      <w:tblPr/>
      <w:tcPr>
        <w:shd w:color="BFBFBF" w:fill="BFBFBF" w:themeColor="text1" w:themeFill="text1" w:themeFillTint="40" w:themeTint="40" w:val="clear"/>
      </w:tcPr>
    </w:tblStylePr>
  </w:style>
  <w:style w:styleId="ListTable2-Accent1" w:type="table">
    <w:name w:val="List Table 2 Accent 1"/>
    <w:basedOn w:val="TableNormal"/>
    <w:uiPriority w:val="99"/>
    <w:pPr>
      <w:spacing w:after="0"/>
    </w:pPr>
    <w:tblPr>
      <w:tblStyleRowBandSize w:val="1"/>
      <w:tblStyleColBandSize w:val="1"/>
      <w:tblBorders>
        <w:top w:color="9BB7D9" w:space="0" w:sz="4" w:themeColor="accent1" w:themeTint="90" w:val="single"/>
        <w:bottom w:color="9BB7D9" w:space="0" w:sz="4" w:themeColor="accent1" w:themeTint="90" w:val="single"/>
        <w:insideH w:color="9BB7D9" w:space="0" w:sz="4" w:themeColor="accent1" w:themeTint="90" w:val="single"/>
      </w:tblBorders>
    </w:tblPr>
    <w:tblStylePr w:type="firstRow">
      <w:rPr>
        <w:rFonts w:ascii="Arial" w:hAnsi="Arial"/>
        <w:b/>
        <w:color w:val="404040"/>
        <w:sz w:val="22"/>
      </w:rPr>
      <w:tblPr/>
      <w:tcPr>
        <w:tcBorders>
          <w:top w:color="9BB7D9" w:space="0" w:sz="4" w:themeColor="accent1" w:themeTint="90" w:val="single"/>
          <w:left w:color="000000" w:space="0" w:sz="4" w:val="none"/>
          <w:bottom w:color="9BB7D9" w:space="0" w:sz="4" w:themeColor="accent1" w:themeTint="90" w:val="single"/>
          <w:right w:color="000000" w:space="0" w:sz="4" w:val="none"/>
        </w:tcBorders>
      </w:tcPr>
    </w:tblStylePr>
    <w:tblStylePr w:type="lastRow">
      <w:rPr>
        <w:rFonts w:ascii="Arial" w:hAnsi="Arial"/>
        <w:b/>
        <w:color w:val="404040"/>
        <w:sz w:val="22"/>
      </w:rPr>
      <w:tblPr/>
      <w:tcPr>
        <w:tcBorders>
          <w:top w:color="9BB7D9" w:space="0" w:sz="4" w:themeColor="accent1" w:themeTint="90" w:val="single"/>
          <w:left w:color="000000" w:space="0" w:sz="4" w:val="none"/>
          <w:bottom w:color="9BB7D9" w:space="0" w:sz="4" w:themeColor="accent1"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D2DFEE" w:fill="D2DFEE" w:themeColor="accent1" w:themeFill="accent1" w:themeFillTint="40" w:themeTint="40" w:val="clear"/>
      </w:tcPr>
    </w:tblStylePr>
    <w:tblStylePr w:type="band1Horz">
      <w:rPr>
        <w:rFonts w:ascii="Arial" w:hAnsi="Arial"/>
        <w:color w:val="404040"/>
        <w:sz w:val="22"/>
      </w:rPr>
      <w:tblPr/>
      <w:tcPr>
        <w:shd w:color="D2DFEE" w:fill="D2DFEE" w:themeColor="accent1" w:themeFill="accent1" w:themeFillTint="40" w:themeTint="40" w:val="clear"/>
      </w:tcPr>
    </w:tblStylePr>
  </w:style>
  <w:style w:styleId="ListTable2-Accent2" w:type="table">
    <w:name w:val="List Table 2 Accent 2"/>
    <w:basedOn w:val="TableNormal"/>
    <w:uiPriority w:val="99"/>
    <w:pPr>
      <w:spacing w:after="0"/>
    </w:pPr>
    <w:tblPr>
      <w:tblStyleRowBandSize w:val="1"/>
      <w:tblStyleColBandSize w:val="1"/>
      <w:tblBorders>
        <w:top w:color="DB9B9A" w:space="0" w:sz="4" w:themeColor="accent2" w:themeTint="90" w:val="single"/>
        <w:bottom w:color="DB9B9A" w:space="0" w:sz="4" w:themeColor="accent2" w:themeTint="90" w:val="single"/>
        <w:insideH w:color="DB9B9A" w:space="0" w:sz="4" w:themeColor="accent2" w:themeTint="90" w:val="single"/>
      </w:tblBorders>
    </w:tblPr>
    <w:tblStylePr w:type="firstRow">
      <w:rPr>
        <w:rFonts w:ascii="Arial" w:hAnsi="Arial"/>
        <w:b/>
        <w:color w:val="404040"/>
        <w:sz w:val="22"/>
      </w:rPr>
      <w:tblPr/>
      <w:tcPr>
        <w:tcBorders>
          <w:top w:color="DB9B9A" w:space="0" w:sz="4" w:themeColor="accent2" w:themeTint="90" w:val="single"/>
          <w:left w:color="000000" w:space="0" w:sz="4" w:val="none"/>
          <w:bottom w:color="DB9B9A" w:space="0" w:sz="4" w:themeColor="accent2" w:themeTint="90" w:val="single"/>
          <w:right w:color="000000" w:space="0" w:sz="4" w:val="none"/>
        </w:tcBorders>
      </w:tcPr>
    </w:tblStylePr>
    <w:tblStylePr w:type="lastRow">
      <w:rPr>
        <w:rFonts w:ascii="Arial" w:hAnsi="Arial"/>
        <w:b/>
        <w:color w:val="404040"/>
        <w:sz w:val="22"/>
      </w:rPr>
      <w:tblPr/>
      <w:tcPr>
        <w:tcBorders>
          <w:top w:color="DB9B9A" w:space="0" w:sz="4" w:themeColor="accent2" w:themeTint="90" w:val="single"/>
          <w:left w:color="000000" w:space="0" w:sz="4" w:val="none"/>
          <w:bottom w:color="DB9B9A" w:space="0" w:sz="4" w:themeColor="accent2"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EFD2D2" w:fill="EFD2D2" w:themeColor="accent2" w:themeFill="accent2" w:themeFillTint="40" w:themeTint="40" w:val="clear"/>
      </w:tcPr>
    </w:tblStylePr>
    <w:tblStylePr w:type="band1Horz">
      <w:rPr>
        <w:rFonts w:ascii="Arial" w:hAnsi="Arial"/>
        <w:color w:val="404040"/>
        <w:sz w:val="22"/>
      </w:rPr>
      <w:tblPr/>
      <w:tcPr>
        <w:shd w:color="EFD2D2" w:fill="EFD2D2" w:themeColor="accent2" w:themeFill="accent2" w:themeFillTint="40" w:themeTint="40" w:val="clear"/>
      </w:tcPr>
    </w:tblStylePr>
  </w:style>
  <w:style w:styleId="ListTable2-Accent3" w:type="table">
    <w:name w:val="List Table 2 Accent 3"/>
    <w:basedOn w:val="TableNormal"/>
    <w:uiPriority w:val="99"/>
    <w:pPr>
      <w:spacing w:after="0"/>
    </w:pPr>
    <w:tblPr>
      <w:tblStyleRowBandSize w:val="1"/>
      <w:tblStyleColBandSize w:val="1"/>
      <w:tblBorders>
        <w:top w:color="C6D8A1" w:space="0" w:sz="4" w:themeColor="accent3" w:themeTint="90" w:val="single"/>
        <w:bottom w:color="C6D8A1" w:space="0" w:sz="4" w:themeColor="accent3" w:themeTint="90" w:val="single"/>
        <w:insideH w:color="C6D8A1" w:space="0" w:sz="4" w:themeColor="accent3" w:themeTint="90" w:val="single"/>
      </w:tblBorders>
    </w:tblPr>
    <w:tblStylePr w:type="firstRow">
      <w:rPr>
        <w:rFonts w:ascii="Arial" w:hAnsi="Arial"/>
        <w:b/>
        <w:color w:val="404040"/>
        <w:sz w:val="22"/>
      </w:rPr>
      <w:tblPr/>
      <w:tcPr>
        <w:tcBorders>
          <w:top w:color="C6D8A1" w:space="0" w:sz="4" w:themeColor="accent3" w:themeTint="90" w:val="single"/>
          <w:left w:color="000000" w:space="0" w:sz="4" w:val="none"/>
          <w:bottom w:color="C6D8A1" w:space="0" w:sz="4" w:themeColor="accent3" w:themeTint="90" w:val="single"/>
          <w:right w:color="000000" w:space="0" w:sz="4" w:val="none"/>
        </w:tcBorders>
      </w:tcPr>
    </w:tblStylePr>
    <w:tblStylePr w:type="lastRow">
      <w:rPr>
        <w:rFonts w:ascii="Arial" w:hAnsi="Arial"/>
        <w:b/>
        <w:color w:val="404040"/>
        <w:sz w:val="22"/>
      </w:rPr>
      <w:tblPr/>
      <w:tcPr>
        <w:tcBorders>
          <w:top w:color="C6D8A1" w:space="0" w:sz="4" w:themeColor="accent3" w:themeTint="90" w:val="single"/>
          <w:left w:color="000000" w:space="0" w:sz="4" w:val="none"/>
          <w:bottom w:color="C6D8A1" w:space="0" w:sz="4" w:themeColor="accent3"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E5EED5" w:fill="E5EED5" w:themeColor="accent3" w:themeFill="accent3" w:themeFillTint="40" w:themeTint="40" w:val="clear"/>
      </w:tcPr>
    </w:tblStylePr>
    <w:tblStylePr w:type="band1Horz">
      <w:rPr>
        <w:rFonts w:ascii="Arial" w:hAnsi="Arial"/>
        <w:color w:val="404040"/>
        <w:sz w:val="22"/>
      </w:rPr>
      <w:tblPr/>
      <w:tcPr>
        <w:shd w:color="E5EED5" w:fill="E5EED5" w:themeColor="accent3" w:themeFill="accent3" w:themeFillTint="40" w:themeTint="40" w:val="clear"/>
      </w:tcPr>
    </w:tblStylePr>
  </w:style>
  <w:style w:styleId="ListTable2-Accent4" w:type="table">
    <w:name w:val="List Table 2 Accent 4"/>
    <w:basedOn w:val="TableNormal"/>
    <w:uiPriority w:val="99"/>
    <w:pPr>
      <w:spacing w:after="0"/>
    </w:pPr>
    <w:tblPr>
      <w:tblStyleRowBandSize w:val="1"/>
      <w:tblStyleColBandSize w:val="1"/>
      <w:tblBorders>
        <w:top w:color="B7A7CA" w:space="0" w:sz="4" w:themeColor="accent4" w:themeTint="90" w:val="single"/>
        <w:bottom w:color="B7A7CA" w:space="0" w:sz="4" w:themeColor="accent4" w:themeTint="90" w:val="single"/>
        <w:insideH w:color="B7A7CA" w:space="0" w:sz="4" w:themeColor="accent4" w:themeTint="90" w:val="single"/>
      </w:tblBorders>
    </w:tblPr>
    <w:tblStylePr w:type="firstRow">
      <w:rPr>
        <w:rFonts w:ascii="Arial" w:hAnsi="Arial"/>
        <w:b/>
        <w:color w:val="404040"/>
        <w:sz w:val="22"/>
      </w:rPr>
      <w:tblPr/>
      <w:tcPr>
        <w:tcBorders>
          <w:top w:color="B7A7CA" w:space="0" w:sz="4" w:themeColor="accent4" w:themeTint="90" w:val="single"/>
          <w:left w:color="000000" w:space="0" w:sz="4" w:val="none"/>
          <w:bottom w:color="B7A7CA" w:space="0" w:sz="4" w:themeColor="accent4" w:themeTint="90" w:val="single"/>
          <w:right w:color="000000" w:space="0" w:sz="4" w:val="none"/>
        </w:tcBorders>
      </w:tcPr>
    </w:tblStylePr>
    <w:tblStylePr w:type="lastRow">
      <w:rPr>
        <w:rFonts w:ascii="Arial" w:hAnsi="Arial"/>
        <w:b/>
        <w:color w:val="404040"/>
        <w:sz w:val="22"/>
      </w:rPr>
      <w:tblPr/>
      <w:tcPr>
        <w:tcBorders>
          <w:top w:color="B7A7CA" w:space="0" w:sz="4" w:themeColor="accent4" w:themeTint="90" w:val="single"/>
          <w:left w:color="000000" w:space="0" w:sz="4" w:val="none"/>
          <w:bottom w:color="B7A7CA" w:space="0" w:sz="4" w:themeColor="accent4"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DFD8E7" w:fill="DFD8E7" w:themeColor="accent4" w:themeFill="accent4" w:themeFillTint="40" w:themeTint="40" w:val="clear"/>
      </w:tcPr>
    </w:tblStylePr>
    <w:tblStylePr w:type="band1Horz">
      <w:rPr>
        <w:rFonts w:ascii="Arial" w:hAnsi="Arial"/>
        <w:color w:val="404040"/>
        <w:sz w:val="22"/>
      </w:rPr>
      <w:tblPr/>
      <w:tcPr>
        <w:shd w:color="DFD8E7" w:fill="DFD8E7" w:themeColor="accent4" w:themeFill="accent4" w:themeFillTint="40" w:themeTint="40" w:val="clear"/>
      </w:tcPr>
    </w:tblStylePr>
  </w:style>
  <w:style w:styleId="ListTable2-Accent5" w:type="table">
    <w:name w:val="List Table 2 Accent 5"/>
    <w:basedOn w:val="TableNormal"/>
    <w:uiPriority w:val="99"/>
    <w:pPr>
      <w:spacing w:after="0"/>
    </w:pPr>
    <w:tblPr>
      <w:tblStyleRowBandSize w:val="1"/>
      <w:tblStyleColBandSize w:val="1"/>
      <w:tblBorders>
        <w:top w:color="99D0DE" w:space="0" w:sz="4" w:themeColor="accent5" w:themeTint="90" w:val="single"/>
        <w:bottom w:color="99D0DE" w:space="0" w:sz="4" w:themeColor="accent5" w:themeTint="90" w:val="single"/>
        <w:insideH w:color="99D0DE" w:space="0" w:sz="4" w:themeColor="accent5" w:themeTint="90" w:val="single"/>
      </w:tblBorders>
    </w:tblPr>
    <w:tblStylePr w:type="firstRow">
      <w:rPr>
        <w:rFonts w:ascii="Arial" w:hAnsi="Arial"/>
        <w:b/>
        <w:color w:val="404040"/>
        <w:sz w:val="22"/>
      </w:rPr>
      <w:tblPr/>
      <w:tcPr>
        <w:tcBorders>
          <w:top w:color="99D0DE" w:space="0" w:sz="4" w:themeColor="accent5" w:themeTint="90" w:val="single"/>
          <w:left w:color="000000" w:space="0" w:sz="4" w:val="none"/>
          <w:bottom w:color="99D0DE" w:space="0" w:sz="4" w:themeColor="accent5" w:themeTint="90" w:val="single"/>
          <w:right w:color="000000" w:space="0" w:sz="4" w:val="none"/>
        </w:tcBorders>
      </w:tcPr>
    </w:tblStylePr>
    <w:tblStylePr w:type="lastRow">
      <w:rPr>
        <w:rFonts w:ascii="Arial" w:hAnsi="Arial"/>
        <w:b/>
        <w:color w:val="404040"/>
        <w:sz w:val="22"/>
      </w:rPr>
      <w:tblPr/>
      <w:tcPr>
        <w:tcBorders>
          <w:top w:color="99D0DE" w:space="0" w:sz="4" w:themeColor="accent5" w:themeTint="90" w:val="single"/>
          <w:left w:color="000000" w:space="0" w:sz="4" w:val="none"/>
          <w:bottom w:color="99D0DE" w:space="0" w:sz="4" w:themeColor="accent5"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D1EAF0" w:fill="D1EAF0" w:themeColor="accent5" w:themeFill="accent5" w:themeFillTint="40" w:themeTint="40" w:val="clear"/>
      </w:tcPr>
    </w:tblStylePr>
    <w:tblStylePr w:type="band1Horz">
      <w:rPr>
        <w:rFonts w:ascii="Arial" w:hAnsi="Arial"/>
        <w:color w:val="404040"/>
        <w:sz w:val="22"/>
      </w:rPr>
      <w:tblPr/>
      <w:tcPr>
        <w:shd w:color="D1EAF0" w:fill="D1EAF0" w:themeColor="accent5" w:themeFill="accent5" w:themeFillTint="40" w:themeTint="40" w:val="clear"/>
      </w:tcPr>
    </w:tblStylePr>
  </w:style>
  <w:style w:styleId="ListTable2-Accent6" w:type="table">
    <w:name w:val="List Table 2 Accent 6"/>
    <w:basedOn w:val="TableNormal"/>
    <w:uiPriority w:val="99"/>
    <w:pPr>
      <w:spacing w:after="0"/>
    </w:pPr>
    <w:tblPr>
      <w:tblStyleRowBandSize w:val="1"/>
      <w:tblStyleColBandSize w:val="1"/>
      <w:tblBorders>
        <w:top w:color="FAC396" w:space="0" w:sz="4" w:themeColor="accent6" w:themeTint="90" w:val="single"/>
        <w:bottom w:color="FAC396" w:space="0" w:sz="4" w:themeColor="accent6" w:themeTint="90" w:val="single"/>
        <w:insideH w:color="FAC396" w:space="0" w:sz="4" w:themeColor="accent6" w:themeTint="90" w:val="single"/>
      </w:tblBorders>
    </w:tblPr>
    <w:tblStylePr w:type="firstRow">
      <w:rPr>
        <w:rFonts w:ascii="Arial" w:hAnsi="Arial"/>
        <w:b/>
        <w:color w:val="404040"/>
        <w:sz w:val="22"/>
      </w:rPr>
      <w:tblPr/>
      <w:tcPr>
        <w:tcBorders>
          <w:top w:color="FAC396" w:space="0" w:sz="4" w:themeColor="accent6" w:themeTint="90" w:val="single"/>
          <w:left w:color="000000" w:space="0" w:sz="4" w:val="none"/>
          <w:bottom w:color="FAC396" w:space="0" w:sz="4" w:themeColor="accent6" w:themeTint="90" w:val="single"/>
          <w:right w:color="000000" w:space="0" w:sz="4" w:val="none"/>
        </w:tcBorders>
      </w:tcPr>
    </w:tblStylePr>
    <w:tblStylePr w:type="lastRow">
      <w:rPr>
        <w:rFonts w:ascii="Arial" w:hAnsi="Arial"/>
        <w:b/>
        <w:color w:val="404040"/>
        <w:sz w:val="22"/>
      </w:rPr>
      <w:tblPr/>
      <w:tcPr>
        <w:tcBorders>
          <w:top w:color="FAC396" w:space="0" w:sz="4" w:themeColor="accent6" w:themeTint="90" w:val="single"/>
          <w:left w:color="000000" w:space="0" w:sz="4" w:val="none"/>
          <w:bottom w:color="FAC396" w:space="0" w:sz="4" w:themeColor="accent6"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FDE4D0" w:fill="FDE4D0" w:themeColor="accent6" w:themeFill="accent6" w:themeFillTint="40" w:themeTint="40" w:val="clear"/>
      </w:tcPr>
    </w:tblStylePr>
    <w:tblStylePr w:type="band1Horz">
      <w:rPr>
        <w:rFonts w:ascii="Arial" w:hAnsi="Arial"/>
        <w:color w:val="404040"/>
        <w:sz w:val="22"/>
      </w:rPr>
      <w:tblPr/>
      <w:tcPr>
        <w:shd w:color="FDE4D0" w:fill="FDE4D0" w:themeColor="accent6" w:themeFill="accent6" w:themeFillTint="40" w:themeTint="40" w:val="clear"/>
      </w:tcPr>
    </w:tblStylePr>
  </w:style>
  <w:style w:styleId="ListTable3" w:type="table">
    <w:name w:val="List Table 3"/>
    <w:basedOn w:val="TableNormal"/>
    <w:uiPriority w:val="99"/>
    <w:pPr>
      <w:spacing w:after="0"/>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rFonts w:ascii="Arial" w:hAnsi="Arial"/>
        <w:b/>
        <w:color w:val="FFFFFF"/>
        <w:sz w:val="22"/>
      </w:rPr>
      <w:tblPr/>
      <w:tcPr>
        <w:shd w:color="000000" w:fill="000000" w:themeColor="text1" w:themeFill="text1"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000000" w:space="0" w:sz="4" w:themeColor="text1" w:val="single"/>
          <w:right w:color="000000" w:space="0" w:sz="4" w:themeColor="text1" w:val="single"/>
        </w:tcBorders>
      </w:tcPr>
    </w:tblStylePr>
    <w:tblStylePr w:type="band1Horz">
      <w:rPr>
        <w:rFonts w:ascii="Arial" w:hAnsi="Arial"/>
        <w:color w:val="404040"/>
        <w:sz w:val="22"/>
      </w:rPr>
      <w:tblPr/>
      <w:tcPr>
        <w:tcBorders>
          <w:top w:color="000000" w:space="0" w:sz="4" w:themeColor="text1" w:val="single"/>
          <w:bottom w:color="000000" w:space="0" w:sz="4" w:themeColor="text1" w:val="single"/>
        </w:tcBorders>
      </w:tcPr>
    </w:tblStylePr>
  </w:style>
  <w:style w:styleId="ListTable3-Accent1" w:type="table">
    <w:name w:val="List Table 3 Accent 1"/>
    <w:basedOn w:val="TableNormal"/>
    <w:uiPriority w:val="99"/>
    <w:pPr>
      <w:spacing w:after="0"/>
    </w:pPr>
    <w:tblPr>
      <w:tblStyleRowBandSize w:val="1"/>
      <w:tblStyleColBandSize w:val="1"/>
      <w:tblBorders>
        <w:top w:color="4F81BD" w:space="0" w:sz="4" w:themeColor="accent1" w:val="single"/>
        <w:left w:color="4F81BD" w:space="0" w:sz="4" w:themeColor="accent1" w:val="single"/>
        <w:bottom w:color="4F81BD" w:space="0" w:sz="4" w:themeColor="accent1" w:val="single"/>
        <w:right w:color="4F81BD" w:space="0" w:sz="4" w:themeColor="accent1" w:val="single"/>
      </w:tblBorders>
    </w:tblPr>
    <w:tblStylePr w:type="firstRow">
      <w:rPr>
        <w:rFonts w:ascii="Arial" w:hAnsi="Arial"/>
        <w:b/>
        <w:color w:val="FFFFFF"/>
        <w:sz w:val="22"/>
      </w:rPr>
      <w:tblPr/>
      <w:tcPr>
        <w:shd w:color="4F81BD" w:fill="4F81BD" w:themeColor="accent1" w:themeFill="accent1"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4F81BD" w:space="0" w:sz="4" w:themeColor="accent1" w:val="single"/>
          <w:right w:color="4F81BD" w:space="0" w:sz="4" w:themeColor="accent1" w:val="single"/>
        </w:tcBorders>
      </w:tcPr>
    </w:tblStylePr>
    <w:tblStylePr w:type="band1Horz">
      <w:rPr>
        <w:rFonts w:ascii="Arial" w:hAnsi="Arial"/>
        <w:color w:val="404040"/>
        <w:sz w:val="22"/>
      </w:rPr>
      <w:tblPr/>
      <w:tcPr>
        <w:tcBorders>
          <w:top w:color="4F81BD" w:space="0" w:sz="4" w:themeColor="accent1" w:val="single"/>
          <w:bottom w:color="4F81BD" w:space="0" w:sz="4" w:themeColor="accent1" w:val="single"/>
        </w:tcBorders>
      </w:tcPr>
    </w:tblStylePr>
  </w:style>
  <w:style w:styleId="ListTable3-Accent2" w:type="table">
    <w:name w:val="List Table 3 Accent 2"/>
    <w:basedOn w:val="TableNormal"/>
    <w:uiPriority w:val="99"/>
    <w:pPr>
      <w:spacing w:after="0"/>
    </w:pPr>
    <w:tblPr>
      <w:tblStyleRowBandSize w:val="1"/>
      <w:tblStyleColBandSize w:val="1"/>
      <w:tblBorders>
        <w:top w:color="D99695" w:space="0" w:sz="4" w:themeColor="accent2" w:themeTint="97" w:val="single"/>
        <w:left w:color="D99695" w:space="0" w:sz="4" w:themeColor="accent2" w:themeTint="97" w:val="single"/>
        <w:bottom w:color="D99695" w:space="0" w:sz="4" w:themeColor="accent2" w:themeTint="97" w:val="single"/>
        <w:right w:color="D99695" w:space="0" w:sz="4" w:themeColor="accent2" w:themeTint="97" w:val="single"/>
      </w:tblBorders>
    </w:tblPr>
    <w:tblStylePr w:type="firstRow">
      <w:rPr>
        <w:rFonts w:ascii="Arial" w:hAnsi="Arial"/>
        <w:b/>
        <w:color w:val="FFFFFF"/>
        <w:sz w:val="22"/>
      </w:rPr>
      <w:tblPr/>
      <w:tcPr>
        <w:shd w:color="D99695" w:fill="D99695" w:themeColor="accent2" w:themeFill="accent2" w:themeFillTint="97" w:themeTint="97"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D99695" w:space="0" w:sz="4" w:themeColor="accent2" w:themeTint="97" w:val="single"/>
          <w:right w:color="D99695" w:space="0" w:sz="4" w:themeColor="accent2" w:themeTint="97" w:val="single"/>
        </w:tcBorders>
      </w:tcPr>
    </w:tblStylePr>
    <w:tblStylePr w:type="band1Horz">
      <w:rPr>
        <w:rFonts w:ascii="Arial" w:hAnsi="Arial"/>
        <w:color w:val="404040"/>
        <w:sz w:val="22"/>
      </w:rPr>
      <w:tblPr/>
      <w:tcPr>
        <w:tcBorders>
          <w:top w:color="D99695" w:space="0" w:sz="4" w:themeColor="accent2" w:themeTint="97" w:val="single"/>
          <w:bottom w:color="D99695" w:space="0" w:sz="4" w:themeColor="accent2" w:themeTint="97" w:val="single"/>
        </w:tcBorders>
      </w:tcPr>
    </w:tblStylePr>
  </w:style>
  <w:style w:styleId="ListTable3-Accent3" w:type="table">
    <w:name w:val="List Table 3 Accent 3"/>
    <w:basedOn w:val="TableNormal"/>
    <w:uiPriority w:val="99"/>
    <w:pPr>
      <w:spacing w:after="0"/>
    </w:pPr>
    <w:tblPr>
      <w:tblStyleRowBandSize w:val="1"/>
      <w:tblStyleColBandSize w:val="1"/>
      <w:tblBorders>
        <w:top w:color="C3D69B" w:space="0" w:sz="4" w:themeColor="accent3" w:themeTint="98" w:val="single"/>
        <w:left w:color="C3D69B" w:space="0" w:sz="4" w:themeColor="accent3" w:themeTint="98" w:val="single"/>
        <w:bottom w:color="C3D69B" w:space="0" w:sz="4" w:themeColor="accent3" w:themeTint="98" w:val="single"/>
        <w:right w:color="C3D69B" w:space="0" w:sz="4" w:themeColor="accent3" w:themeTint="98" w:val="single"/>
      </w:tblBorders>
    </w:tblPr>
    <w:tblStylePr w:type="firstRow">
      <w:rPr>
        <w:rFonts w:ascii="Arial" w:hAnsi="Arial"/>
        <w:b/>
        <w:color w:val="FFFFFF"/>
        <w:sz w:val="22"/>
      </w:rPr>
      <w:tblPr/>
      <w:tcPr>
        <w:shd w:color="C3D69B" w:fill="C3D69B" w:themeColor="accent3" w:themeFill="accent3" w:themeFillTint="98" w:themeTint="98"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C3D69B" w:space="0" w:sz="4" w:themeColor="accent3" w:themeTint="98" w:val="single"/>
          <w:right w:color="C3D69B" w:space="0" w:sz="4" w:themeColor="accent3" w:themeTint="98" w:val="single"/>
        </w:tcBorders>
      </w:tcPr>
    </w:tblStylePr>
    <w:tblStylePr w:type="band1Horz">
      <w:rPr>
        <w:rFonts w:ascii="Arial" w:hAnsi="Arial"/>
        <w:color w:val="404040"/>
        <w:sz w:val="22"/>
      </w:rPr>
      <w:tblPr/>
      <w:tcPr>
        <w:tcBorders>
          <w:top w:color="C3D69B" w:space="0" w:sz="4" w:themeColor="accent3" w:themeTint="98" w:val="single"/>
          <w:bottom w:color="C3D69B" w:space="0" w:sz="4" w:themeColor="accent3" w:themeTint="98" w:val="single"/>
        </w:tcBorders>
      </w:tcPr>
    </w:tblStylePr>
  </w:style>
  <w:style w:styleId="ListTable3-Accent4" w:type="table">
    <w:name w:val="List Table 3 Accent 4"/>
    <w:basedOn w:val="TableNormal"/>
    <w:uiPriority w:val="99"/>
    <w:pPr>
      <w:spacing w:after="0"/>
    </w:pPr>
    <w:tblPr>
      <w:tblStyleRowBandSize w:val="1"/>
      <w:tblStyleColBandSize w:val="1"/>
      <w:tblBorders>
        <w:top w:color="B2A1C6" w:space="0" w:sz="4" w:themeColor="accent4" w:themeTint="9A" w:val="single"/>
        <w:left w:color="B2A1C6" w:space="0" w:sz="4" w:themeColor="accent4" w:themeTint="9A" w:val="single"/>
        <w:bottom w:color="B2A1C6" w:space="0" w:sz="4" w:themeColor="accent4" w:themeTint="9A" w:val="single"/>
        <w:right w:color="B2A1C6" w:space="0" w:sz="4" w:themeColor="accent4" w:themeTint="9A" w:val="single"/>
      </w:tblBorders>
    </w:tblPr>
    <w:tblStylePr w:type="firstRow">
      <w:rPr>
        <w:rFonts w:ascii="Arial" w:hAnsi="Arial"/>
        <w:b/>
        <w:color w:val="FFFFFF"/>
        <w:sz w:val="22"/>
      </w:rPr>
      <w:tblPr/>
      <w:tcPr>
        <w:shd w:color="B2A1C6" w:fill="B2A1C6" w:themeColor="accent4" w:themeFill="accent4" w:themeFillTint="9A" w:themeTint="9A"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B2A1C6" w:space="0" w:sz="4" w:themeColor="accent4" w:themeTint="9A" w:val="single"/>
          <w:right w:color="B2A1C6" w:space="0" w:sz="4" w:themeColor="accent4" w:themeTint="9A" w:val="single"/>
        </w:tcBorders>
      </w:tcPr>
    </w:tblStylePr>
    <w:tblStylePr w:type="band1Horz">
      <w:rPr>
        <w:rFonts w:ascii="Arial" w:hAnsi="Arial"/>
        <w:color w:val="404040"/>
        <w:sz w:val="22"/>
      </w:rPr>
      <w:tblPr/>
      <w:tcPr>
        <w:tcBorders>
          <w:top w:color="B2A1C6" w:space="0" w:sz="4" w:themeColor="accent4" w:themeTint="9A" w:val="single"/>
          <w:bottom w:color="B2A1C6" w:space="0" w:sz="4" w:themeColor="accent4" w:themeTint="9A" w:val="single"/>
        </w:tcBorders>
      </w:tcPr>
    </w:tblStylePr>
  </w:style>
  <w:style w:styleId="ListTable3-Accent5" w:type="table">
    <w:name w:val="List Table 3 Accent 5"/>
    <w:basedOn w:val="TableNormal"/>
    <w:uiPriority w:val="99"/>
    <w:pPr>
      <w:spacing w:after="0"/>
    </w:pPr>
    <w:tblPr>
      <w:tblStyleRowBandSize w:val="1"/>
      <w:tblStyleColBandSize w:val="1"/>
      <w:tblBorders>
        <w:top w:color="92CCDC" w:space="0" w:sz="4" w:themeColor="accent5" w:themeTint="9A" w:val="single"/>
        <w:left w:color="92CCDC" w:space="0" w:sz="4" w:themeColor="accent5" w:themeTint="9A" w:val="single"/>
        <w:bottom w:color="92CCDC" w:space="0" w:sz="4" w:themeColor="accent5" w:themeTint="9A" w:val="single"/>
        <w:right w:color="92CCDC" w:space="0" w:sz="4" w:themeColor="accent5" w:themeTint="9A" w:val="single"/>
      </w:tblBorders>
    </w:tblPr>
    <w:tblStylePr w:type="firstRow">
      <w:rPr>
        <w:rFonts w:ascii="Arial" w:hAnsi="Arial"/>
        <w:b/>
        <w:color w:val="FFFFFF"/>
        <w:sz w:val="22"/>
      </w:rPr>
      <w:tblPr/>
      <w:tcPr>
        <w:shd w:color="92CCDC" w:fill="92CCDC" w:themeColor="accent5" w:themeFill="accent5" w:themeFillTint="9A" w:themeTint="9A"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92CCDC" w:space="0" w:sz="4" w:themeColor="accent5" w:themeTint="9A" w:val="single"/>
          <w:right w:color="92CCDC" w:space="0" w:sz="4" w:themeColor="accent5" w:themeTint="9A" w:val="single"/>
        </w:tcBorders>
      </w:tcPr>
    </w:tblStylePr>
    <w:tblStylePr w:type="band1Horz">
      <w:rPr>
        <w:rFonts w:ascii="Arial" w:hAnsi="Arial"/>
        <w:color w:val="404040"/>
        <w:sz w:val="22"/>
      </w:rPr>
      <w:tblPr/>
      <w:tcPr>
        <w:tcBorders>
          <w:top w:color="92CCDC" w:space="0" w:sz="4" w:themeColor="accent5" w:themeTint="9A" w:val="single"/>
          <w:bottom w:color="92CCDC" w:space="0" w:sz="4" w:themeColor="accent5" w:themeTint="9A" w:val="single"/>
        </w:tcBorders>
      </w:tcPr>
    </w:tblStylePr>
  </w:style>
  <w:style w:styleId="ListTable3-Accent6" w:type="table">
    <w:name w:val="List Table 3 Accent 6"/>
    <w:basedOn w:val="TableNormal"/>
    <w:uiPriority w:val="99"/>
    <w:pPr>
      <w:spacing w:after="0"/>
    </w:pPr>
    <w:tblPr>
      <w:tblStyleRowBandSize w:val="1"/>
      <w:tblStyleColBandSize w:val="1"/>
      <w:tblBorders>
        <w:top w:color="FAC090" w:space="0" w:sz="4" w:themeColor="accent6" w:themeTint="98" w:val="single"/>
        <w:left w:color="FAC090" w:space="0" w:sz="4" w:themeColor="accent6" w:themeTint="98" w:val="single"/>
        <w:bottom w:color="FAC090" w:space="0" w:sz="4" w:themeColor="accent6" w:themeTint="98" w:val="single"/>
        <w:right w:color="FAC090" w:space="0" w:sz="4" w:themeColor="accent6" w:themeTint="98" w:val="single"/>
      </w:tblBorders>
    </w:tblPr>
    <w:tblStylePr w:type="firstRow">
      <w:rPr>
        <w:rFonts w:ascii="Arial" w:hAnsi="Arial"/>
        <w:b/>
        <w:color w:val="FFFFFF"/>
        <w:sz w:val="22"/>
      </w:rPr>
      <w:tblPr/>
      <w:tcPr>
        <w:shd w:color="FAC090" w:fill="FAC090" w:themeColor="accent6" w:themeFill="accent6" w:themeFillTint="98" w:themeTint="98"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FAC090" w:space="0" w:sz="4" w:themeColor="accent6" w:themeTint="98" w:val="single"/>
          <w:right w:color="FAC090" w:space="0" w:sz="4" w:themeColor="accent6" w:themeTint="98" w:val="single"/>
        </w:tcBorders>
      </w:tcPr>
    </w:tblStylePr>
    <w:tblStylePr w:type="band1Horz">
      <w:rPr>
        <w:rFonts w:ascii="Arial" w:hAnsi="Arial"/>
        <w:color w:val="404040"/>
        <w:sz w:val="22"/>
      </w:rPr>
      <w:tblPr/>
      <w:tcPr>
        <w:tcBorders>
          <w:top w:color="FAC090" w:space="0" w:sz="4" w:themeColor="accent6" w:themeTint="98" w:val="single"/>
          <w:bottom w:color="FAC090" w:space="0" w:sz="4" w:themeColor="accent6" w:themeTint="98" w:val="single"/>
        </w:tcBorders>
      </w:tcPr>
    </w:tblStylePr>
  </w:style>
  <w:style w:styleId="ListTable4" w:type="table">
    <w:name w:val="List Table 4"/>
    <w:basedOn w:val="TableNormal"/>
    <w:uiPriority w:val="99"/>
    <w:pPr>
      <w:spacing w:after="0"/>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firstRow">
      <w:rPr>
        <w:rFonts w:ascii="Arial" w:hAnsi="Arial"/>
        <w:b/>
        <w:color w:val="FFFFFF"/>
        <w:sz w:val="22"/>
      </w:rPr>
      <w:tblPr/>
      <w:tcPr>
        <w:shd w:color="000000" w:fill="000000" w:themeColor="text1" w:themeFill="text1"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BFBFBF" w:fill="BFBFBF" w:themeColor="text1" w:themeFill="text1" w:themeFillTint="40" w:themeTint="40" w:val="clear"/>
      </w:tcPr>
    </w:tblStylePr>
    <w:tblStylePr w:type="band1Horz">
      <w:rPr>
        <w:rFonts w:ascii="Arial" w:hAnsi="Arial"/>
        <w:color w:val="404040"/>
        <w:sz w:val="22"/>
      </w:rPr>
      <w:tblPr/>
      <w:tcPr>
        <w:shd w:color="BFBFBF" w:fill="BFBFBF" w:themeColor="text1" w:themeFill="text1" w:themeFillTint="40" w:themeTint="40" w:val="clear"/>
      </w:tcPr>
    </w:tblStylePr>
  </w:style>
  <w:style w:styleId="ListTable4-Accent1" w:type="table">
    <w:name w:val="List Table 4 Accent 1"/>
    <w:basedOn w:val="TableNormal"/>
    <w:uiPriority w:val="99"/>
    <w:pPr>
      <w:spacing w:after="0"/>
    </w:pPr>
    <w:tblPr>
      <w:tblStyleRowBandSize w:val="1"/>
      <w:tblStyleColBandSize w:val="1"/>
      <w:tblBorders>
        <w:top w:color="9BB7D9" w:space="0" w:sz="4" w:themeColor="accent1" w:themeTint="90" w:val="single"/>
        <w:left w:color="9BB7D9" w:space="0" w:sz="4" w:themeColor="accent1" w:themeTint="90" w:val="single"/>
        <w:bottom w:color="9BB7D9" w:space="0" w:sz="4" w:themeColor="accent1" w:themeTint="90" w:val="single"/>
        <w:right w:color="9BB7D9" w:space="0" w:sz="4" w:themeColor="accent1" w:themeTint="90" w:val="single"/>
        <w:insideH w:color="9BB7D9" w:space="0" w:sz="4" w:themeColor="accent1" w:themeTint="90" w:val="single"/>
      </w:tblBorders>
    </w:tblPr>
    <w:tblStylePr w:type="firstRow">
      <w:rPr>
        <w:rFonts w:ascii="Arial" w:hAnsi="Arial"/>
        <w:b/>
        <w:color w:val="FFFFFF"/>
        <w:sz w:val="22"/>
      </w:rPr>
      <w:tblPr/>
      <w:tcPr>
        <w:shd w:color="4F81BD" w:fill="4F81BD" w:themeColor="accent1" w:themeFill="accent1"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D2DFEE" w:fill="D2DFEE" w:themeColor="accent1" w:themeFill="accent1" w:themeFillTint="40" w:themeTint="40" w:val="clear"/>
      </w:tcPr>
    </w:tblStylePr>
    <w:tblStylePr w:type="band1Horz">
      <w:rPr>
        <w:rFonts w:ascii="Arial" w:hAnsi="Arial"/>
        <w:color w:val="404040"/>
        <w:sz w:val="22"/>
      </w:rPr>
      <w:tblPr/>
      <w:tcPr>
        <w:shd w:color="D2DFEE" w:fill="D2DFEE" w:themeColor="accent1" w:themeFill="accent1" w:themeFillTint="40" w:themeTint="40" w:val="clear"/>
      </w:tcPr>
    </w:tblStylePr>
  </w:style>
  <w:style w:styleId="ListTable4-Accent2" w:type="table">
    <w:name w:val="List Table 4 Accent 2"/>
    <w:basedOn w:val="TableNormal"/>
    <w:uiPriority w:val="99"/>
    <w:pPr>
      <w:spacing w:after="0"/>
    </w:pPr>
    <w:tblPr>
      <w:tblStyleRowBandSize w:val="1"/>
      <w:tblStyleColBandSize w:val="1"/>
      <w:tblBorders>
        <w:top w:color="DB9B9A" w:space="0" w:sz="4" w:themeColor="accent2" w:themeTint="90" w:val="single"/>
        <w:left w:color="DB9B9A" w:space="0" w:sz="4" w:themeColor="accent2" w:themeTint="90" w:val="single"/>
        <w:bottom w:color="DB9B9A" w:space="0" w:sz="4" w:themeColor="accent2" w:themeTint="90" w:val="single"/>
        <w:right w:color="DB9B9A" w:space="0" w:sz="4" w:themeColor="accent2" w:themeTint="90" w:val="single"/>
        <w:insideH w:color="DB9B9A" w:space="0" w:sz="4" w:themeColor="accent2" w:themeTint="90" w:val="single"/>
      </w:tblBorders>
    </w:tblPr>
    <w:tblStylePr w:type="firstRow">
      <w:rPr>
        <w:rFonts w:ascii="Arial" w:hAnsi="Arial"/>
        <w:b/>
        <w:color w:val="FFFFFF"/>
        <w:sz w:val="22"/>
      </w:rPr>
      <w:tblPr/>
      <w:tcPr>
        <w:shd w:color="C0504D" w:fill="C0504D" w:themeColor="accent2" w:themeFill="accent2"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EFD2D2" w:fill="EFD2D2" w:themeColor="accent2" w:themeFill="accent2" w:themeFillTint="40" w:themeTint="40" w:val="clear"/>
      </w:tcPr>
    </w:tblStylePr>
    <w:tblStylePr w:type="band1Horz">
      <w:rPr>
        <w:rFonts w:ascii="Arial" w:hAnsi="Arial"/>
        <w:color w:val="404040"/>
        <w:sz w:val="22"/>
      </w:rPr>
      <w:tblPr/>
      <w:tcPr>
        <w:shd w:color="EFD2D2" w:fill="EFD2D2" w:themeColor="accent2" w:themeFill="accent2" w:themeFillTint="40" w:themeTint="40" w:val="clear"/>
      </w:tcPr>
    </w:tblStylePr>
  </w:style>
  <w:style w:styleId="ListTable4-Accent3" w:type="table">
    <w:name w:val="List Table 4 Accent 3"/>
    <w:basedOn w:val="TableNormal"/>
    <w:uiPriority w:val="99"/>
    <w:pPr>
      <w:spacing w:after="0"/>
    </w:pPr>
    <w:tblPr>
      <w:tblStyleRowBandSize w:val="1"/>
      <w:tblStyleColBandSize w:val="1"/>
      <w:tblBorders>
        <w:top w:color="C6D8A1" w:space="0" w:sz="4" w:themeColor="accent3" w:themeTint="90" w:val="single"/>
        <w:left w:color="C6D8A1" w:space="0" w:sz="4" w:themeColor="accent3" w:themeTint="90" w:val="single"/>
        <w:bottom w:color="C6D8A1" w:space="0" w:sz="4" w:themeColor="accent3" w:themeTint="90" w:val="single"/>
        <w:right w:color="C6D8A1" w:space="0" w:sz="4" w:themeColor="accent3" w:themeTint="90" w:val="single"/>
        <w:insideH w:color="C6D8A1" w:space="0" w:sz="4" w:themeColor="accent3" w:themeTint="90" w:val="single"/>
      </w:tblBorders>
    </w:tblPr>
    <w:tblStylePr w:type="firstRow">
      <w:rPr>
        <w:rFonts w:ascii="Arial" w:hAnsi="Arial"/>
        <w:b/>
        <w:color w:val="FFFFFF"/>
        <w:sz w:val="22"/>
      </w:rPr>
      <w:tblPr/>
      <w:tcPr>
        <w:shd w:color="9BBB59" w:fill="9BBB59" w:themeColor="accent3" w:themeFill="accent3"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E5EED5" w:fill="E5EED5" w:themeColor="accent3" w:themeFill="accent3" w:themeFillTint="40" w:themeTint="40" w:val="clear"/>
      </w:tcPr>
    </w:tblStylePr>
    <w:tblStylePr w:type="band1Horz">
      <w:rPr>
        <w:rFonts w:ascii="Arial" w:hAnsi="Arial"/>
        <w:color w:val="404040"/>
        <w:sz w:val="22"/>
      </w:rPr>
      <w:tblPr/>
      <w:tcPr>
        <w:shd w:color="E5EED5" w:fill="E5EED5" w:themeColor="accent3" w:themeFill="accent3" w:themeFillTint="40" w:themeTint="40" w:val="clear"/>
      </w:tcPr>
    </w:tblStylePr>
  </w:style>
  <w:style w:styleId="ListTable4-Accent4" w:type="table">
    <w:name w:val="List Table 4 Accent 4"/>
    <w:basedOn w:val="TableNormal"/>
    <w:uiPriority w:val="99"/>
    <w:pPr>
      <w:spacing w:after="0"/>
    </w:pPr>
    <w:tblPr>
      <w:tblStyleRowBandSize w:val="1"/>
      <w:tblStyleColBandSize w:val="1"/>
      <w:tblBorders>
        <w:top w:color="B7A7CA" w:space="0" w:sz="4" w:themeColor="accent4" w:themeTint="90" w:val="single"/>
        <w:left w:color="B7A7CA" w:space="0" w:sz="4" w:themeColor="accent4" w:themeTint="90" w:val="single"/>
        <w:bottom w:color="B7A7CA" w:space="0" w:sz="4" w:themeColor="accent4" w:themeTint="90" w:val="single"/>
        <w:right w:color="B7A7CA" w:space="0" w:sz="4" w:themeColor="accent4" w:themeTint="90" w:val="single"/>
        <w:insideH w:color="B7A7CA" w:space="0" w:sz="4" w:themeColor="accent4" w:themeTint="90" w:val="single"/>
      </w:tblBorders>
    </w:tblPr>
    <w:tblStylePr w:type="firstRow">
      <w:rPr>
        <w:rFonts w:ascii="Arial" w:hAnsi="Arial"/>
        <w:b/>
        <w:color w:val="FFFFFF"/>
        <w:sz w:val="22"/>
      </w:rPr>
      <w:tblPr/>
      <w:tcPr>
        <w:shd w:color="8064A2" w:fill="8064A2" w:themeColor="accent4" w:themeFill="accent4"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DFD8E7" w:fill="DFD8E7" w:themeColor="accent4" w:themeFill="accent4" w:themeFillTint="40" w:themeTint="40" w:val="clear"/>
      </w:tcPr>
    </w:tblStylePr>
    <w:tblStylePr w:type="band1Horz">
      <w:rPr>
        <w:rFonts w:ascii="Arial" w:hAnsi="Arial"/>
        <w:color w:val="404040"/>
        <w:sz w:val="22"/>
      </w:rPr>
      <w:tblPr/>
      <w:tcPr>
        <w:shd w:color="DFD8E7" w:fill="DFD8E7" w:themeColor="accent4" w:themeFill="accent4" w:themeFillTint="40" w:themeTint="40" w:val="clear"/>
      </w:tcPr>
    </w:tblStylePr>
  </w:style>
  <w:style w:styleId="ListTable4-Accent5" w:type="table">
    <w:name w:val="List Table 4 Accent 5"/>
    <w:basedOn w:val="TableNormal"/>
    <w:uiPriority w:val="99"/>
    <w:pPr>
      <w:spacing w:after="0"/>
    </w:pPr>
    <w:tblPr>
      <w:tblStyleRowBandSize w:val="1"/>
      <w:tblStyleColBandSize w:val="1"/>
      <w:tblBorders>
        <w:top w:color="99D0DE" w:space="0" w:sz="4" w:themeColor="accent5" w:themeTint="90" w:val="single"/>
        <w:left w:color="99D0DE" w:space="0" w:sz="4" w:themeColor="accent5" w:themeTint="90" w:val="single"/>
        <w:bottom w:color="99D0DE" w:space="0" w:sz="4" w:themeColor="accent5" w:themeTint="90" w:val="single"/>
        <w:right w:color="99D0DE" w:space="0" w:sz="4" w:themeColor="accent5" w:themeTint="90" w:val="single"/>
        <w:insideH w:color="99D0DE" w:space="0" w:sz="4" w:themeColor="accent5" w:themeTint="90" w:val="single"/>
      </w:tblBorders>
    </w:tblPr>
    <w:tblStylePr w:type="firstRow">
      <w:rPr>
        <w:rFonts w:ascii="Arial" w:hAnsi="Arial"/>
        <w:b/>
        <w:color w:val="FFFFFF"/>
        <w:sz w:val="22"/>
      </w:rPr>
      <w:tblPr/>
      <w:tcPr>
        <w:shd w:color="4BACC6" w:fill="4BACC6" w:themeColor="accent5" w:themeFill="accent5"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D1EAF0" w:fill="D1EAF0" w:themeColor="accent5" w:themeFill="accent5" w:themeFillTint="40" w:themeTint="40" w:val="clear"/>
      </w:tcPr>
    </w:tblStylePr>
    <w:tblStylePr w:type="band1Horz">
      <w:rPr>
        <w:rFonts w:ascii="Arial" w:hAnsi="Arial"/>
        <w:color w:val="404040"/>
        <w:sz w:val="22"/>
      </w:rPr>
      <w:tblPr/>
      <w:tcPr>
        <w:shd w:color="D1EAF0" w:fill="D1EAF0" w:themeColor="accent5" w:themeFill="accent5" w:themeFillTint="40" w:themeTint="40" w:val="clear"/>
      </w:tcPr>
    </w:tblStylePr>
  </w:style>
  <w:style w:styleId="ListTable4-Accent6" w:type="table">
    <w:name w:val="List Table 4 Accent 6"/>
    <w:basedOn w:val="TableNormal"/>
    <w:uiPriority w:val="99"/>
    <w:pPr>
      <w:spacing w:after="0"/>
    </w:pPr>
    <w:tblPr>
      <w:tblStyleRowBandSize w:val="1"/>
      <w:tblStyleColBandSize w:val="1"/>
      <w:tblBorders>
        <w:top w:color="FAC396" w:space="0" w:sz="4" w:themeColor="accent6" w:themeTint="90" w:val="single"/>
        <w:left w:color="FAC396" w:space="0" w:sz="4" w:themeColor="accent6" w:themeTint="90" w:val="single"/>
        <w:bottom w:color="FAC396" w:space="0" w:sz="4" w:themeColor="accent6" w:themeTint="90" w:val="single"/>
        <w:right w:color="FAC396" w:space="0" w:sz="4" w:themeColor="accent6" w:themeTint="90" w:val="single"/>
        <w:insideH w:color="FAC396" w:space="0" w:sz="4" w:themeColor="accent6" w:themeTint="90" w:val="single"/>
      </w:tblBorders>
    </w:tblPr>
    <w:tblStylePr w:type="firstRow">
      <w:rPr>
        <w:rFonts w:ascii="Arial" w:hAnsi="Arial"/>
        <w:b/>
        <w:color w:val="FFFFFF"/>
        <w:sz w:val="22"/>
      </w:rPr>
      <w:tblPr/>
      <w:tcPr>
        <w:shd w:color="F79646" w:fill="F79646" w:themeColor="accent6" w:themeFill="accent6"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FDE4D0" w:fill="FDE4D0" w:themeColor="accent6" w:themeFill="accent6" w:themeFillTint="40" w:themeTint="40" w:val="clear"/>
      </w:tcPr>
    </w:tblStylePr>
    <w:tblStylePr w:type="band1Horz">
      <w:rPr>
        <w:rFonts w:ascii="Arial" w:hAnsi="Arial"/>
        <w:color w:val="404040"/>
        <w:sz w:val="22"/>
      </w:rPr>
      <w:tblPr/>
      <w:tcPr>
        <w:shd w:color="FDE4D0" w:fill="FDE4D0" w:themeColor="accent6" w:themeFill="accent6" w:themeFillTint="40" w:themeTint="40" w:val="clear"/>
      </w:tcPr>
    </w:tblStylePr>
  </w:style>
  <w:style w:styleId="ListTable5Dark" w:type="table">
    <w:name w:val="List Table 5 Dark"/>
    <w:basedOn w:val="TableNormal"/>
    <w:uiPriority w:val="99"/>
    <w:pPr>
      <w:spacing w:after="0"/>
    </w:pPr>
    <w:tblPr>
      <w:tblStyleRowBandSize w:val="1"/>
      <w:tblStyleColBandSize w:val="1"/>
      <w:tblBorders>
        <w:top w:color="7F7F7F" w:space="0" w:sz="32" w:themeColor="text1" w:themeTint="80" w:val="single"/>
        <w:left w:color="7F7F7F" w:space="0" w:sz="32" w:themeColor="text1" w:themeTint="80" w:val="single"/>
        <w:bottom w:color="7F7F7F" w:space="0" w:sz="32" w:themeColor="text1" w:themeTint="80" w:val="single"/>
        <w:right w:color="7F7F7F" w:space="0" w:sz="32" w:themeColor="text1" w:themeTint="80" w:val="single"/>
      </w:tblBorders>
      <w:shd w:color="7F7F7F" w:fill="7F7F7F" w:themeColor="text1" w:themeFill="text1" w:themeFillTint="80" w:themeTint="80" w:val="clear"/>
    </w:tblPr>
    <w:tblStylePr w:type="firstRow">
      <w:rPr>
        <w:rFonts w:ascii="Arial" w:hAnsi="Arial"/>
        <w:b/>
        <w:color w:themeColor="light1" w:val="FFFFFF"/>
        <w:sz w:val="22"/>
      </w:rPr>
      <w:tblPr/>
      <w:tcPr>
        <w:tcBorders>
          <w:top w:color="7F7F7F" w:space="0" w:sz="32" w:themeColor="text1" w:themeTint="80" w:val="single"/>
          <w:bottom w:color="FFFFFF" w:space="0" w:sz="12" w:themeColor="light1" w:val="single"/>
        </w:tcBorders>
        <w:shd w:color="7F7F7F" w:fill="7F7F7F" w:themeColor="text1" w:themeFill="text1" w:themeFillTint="80" w:themeTint="80"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7F7F7F" w:space="0" w:sz="32" w:themeColor="text1" w:themeTint="80" w:val="single"/>
          <w:right w:color="FFFFFF" w:space="0" w:sz="4" w:themeColor="light1" w:val="single"/>
        </w:tcBorders>
      </w:tcPr>
    </w:tblStylePr>
    <w:tblStylePr w:type="lastCol">
      <w:tblPr/>
      <w:tcPr>
        <w:tcBorders>
          <w:left w:color="FFFFFF" w:space="0" w:sz="4" w:themeColor="light1" w:val="single"/>
          <w:right w:color="7F7F7F" w:space="0" w:sz="32" w:themeColor="text1" w:themeTint="80" w:val="single"/>
        </w:tcBorders>
      </w:tcPr>
    </w:tblStylePr>
    <w:tblStylePr w:type="band1Vert">
      <w:tblPr/>
      <w:tcPr>
        <w:tcBorders>
          <w:left w:color="FFFFFF" w:space="0" w:sz="4" w:themeColor="light1" w:val="single"/>
          <w:right w:color="FFFFFF" w:space="0" w:sz="4" w:themeColor="light1" w:val="single"/>
        </w:tcBorders>
        <w:shd w:color="7F7F7F" w:fill="7F7F7F" w:themeColor="text1" w:themeFill="text1" w:themeFillTint="80" w:themeTint="80"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7F7F7F" w:fill="7F7F7F" w:themeColor="text1" w:themeFill="text1" w:themeFillTint="80" w:themeTint="80" w:val="clear"/>
      </w:tcPr>
    </w:tblStylePr>
    <w:tblStylePr w:type="band2Horz">
      <w:tblPr/>
      <w:tcPr>
        <w:tcBorders>
          <w:top w:color="FFFFFF" w:space="0" w:sz="4" w:themeColor="light1" w:val="single"/>
          <w:bottom w:color="FFFFFF" w:space="0" w:sz="4" w:themeColor="light1" w:val="single"/>
        </w:tcBorders>
        <w:shd w:color="7F7F7F" w:fill="7F7F7F" w:themeColor="text1" w:themeFill="text1" w:themeFillTint="80" w:themeTint="80" w:val="clear"/>
      </w:tcPr>
    </w:tblStylePr>
  </w:style>
  <w:style w:styleId="ListTable5Dark-Accent1" w:type="table">
    <w:name w:val="List Table 5 Dark Accent 1"/>
    <w:basedOn w:val="TableNormal"/>
    <w:uiPriority w:val="99"/>
    <w:pPr>
      <w:spacing w:after="0"/>
    </w:pPr>
    <w:tblPr>
      <w:tblStyleRowBandSize w:val="1"/>
      <w:tblStyleColBandSize w:val="1"/>
      <w:tblBorders>
        <w:top w:color="4F81BD" w:space="0" w:sz="32" w:themeColor="accent1" w:val="single"/>
        <w:left w:color="4F81BD" w:space="0" w:sz="32" w:themeColor="accent1" w:val="single"/>
        <w:bottom w:color="4F81BD" w:space="0" w:sz="32" w:themeColor="accent1" w:val="single"/>
        <w:right w:color="4F81BD" w:space="0" w:sz="32" w:themeColor="accent1" w:val="single"/>
      </w:tblBorders>
      <w:shd w:color="4F81BD" w:fill="4F81BD" w:themeColor="accent1" w:themeFill="accent1" w:val="clear"/>
    </w:tblPr>
    <w:tblStylePr w:type="firstRow">
      <w:rPr>
        <w:rFonts w:ascii="Arial" w:hAnsi="Arial"/>
        <w:b/>
        <w:color w:themeColor="light1" w:val="FFFFFF"/>
        <w:sz w:val="22"/>
      </w:rPr>
      <w:tblPr/>
      <w:tcPr>
        <w:tcBorders>
          <w:top w:color="4F81BD" w:space="0" w:sz="32" w:themeColor="accent1" w:val="single"/>
          <w:bottom w:color="FFFFFF" w:space="0" w:sz="12" w:themeColor="light1" w:val="single"/>
        </w:tcBorders>
        <w:shd w:color="4F81BD" w:fill="4F81BD" w:themeColor="accent1" w:themeFill="accent1"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4F81BD" w:space="0" w:sz="32" w:themeColor="accent1" w:val="single"/>
          <w:right w:color="FFFFFF" w:space="0" w:sz="4" w:themeColor="light1" w:val="single"/>
        </w:tcBorders>
      </w:tcPr>
    </w:tblStylePr>
    <w:tblStylePr w:type="lastCol">
      <w:tblPr/>
      <w:tcPr>
        <w:tcBorders>
          <w:left w:color="FFFFFF" w:space="0" w:sz="4" w:themeColor="light1" w:val="single"/>
          <w:right w:color="4F81BD" w:space="0" w:sz="32" w:themeColor="accent1" w:val="single"/>
        </w:tcBorders>
      </w:tcPr>
    </w:tblStylePr>
    <w:tblStylePr w:type="band1Vert">
      <w:tblPr/>
      <w:tcPr>
        <w:tcBorders>
          <w:left w:color="FFFFFF" w:space="0" w:sz="4" w:themeColor="light1" w:val="single"/>
          <w:right w:color="FFFFFF" w:space="0" w:sz="4" w:themeColor="light1" w:val="single"/>
        </w:tcBorders>
        <w:shd w:color="4F81BD" w:fill="4F81BD" w:themeColor="accent1" w:themeFill="accent1"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4F81BD" w:fill="4F81BD" w:themeColor="accent1" w:themeFill="accent1" w:val="clear"/>
      </w:tcPr>
    </w:tblStylePr>
    <w:tblStylePr w:type="band2Horz">
      <w:tblPr/>
      <w:tcPr>
        <w:tcBorders>
          <w:top w:color="FFFFFF" w:space="0" w:sz="4" w:themeColor="light1" w:val="single"/>
          <w:bottom w:color="FFFFFF" w:space="0" w:sz="4" w:themeColor="light1" w:val="single"/>
        </w:tcBorders>
        <w:shd w:color="4F81BD" w:fill="4F81BD" w:themeColor="accent1" w:themeFill="accent1" w:val="clear"/>
      </w:tcPr>
    </w:tblStylePr>
  </w:style>
  <w:style w:styleId="ListTable5Dark-Accent2" w:type="table">
    <w:name w:val="List Table 5 Dark Accent 2"/>
    <w:basedOn w:val="TableNormal"/>
    <w:uiPriority w:val="99"/>
    <w:pPr>
      <w:spacing w:after="0"/>
    </w:pPr>
    <w:tblPr>
      <w:tblStyleRowBandSize w:val="1"/>
      <w:tblStyleColBandSize w:val="1"/>
      <w:tblBorders>
        <w:top w:color="D99695" w:space="0" w:sz="32" w:themeColor="accent2" w:themeTint="97" w:val="single"/>
        <w:left w:color="D99695" w:space="0" w:sz="32" w:themeColor="accent2" w:themeTint="97" w:val="single"/>
        <w:bottom w:color="D99695" w:space="0" w:sz="32" w:themeColor="accent2" w:themeTint="97" w:val="single"/>
        <w:right w:color="D99695" w:space="0" w:sz="32" w:themeColor="accent2" w:themeTint="97" w:val="single"/>
      </w:tblBorders>
      <w:shd w:color="D99695" w:fill="D99695" w:themeColor="accent2" w:themeFill="accent2" w:themeFillTint="97" w:themeTint="97" w:val="clear"/>
    </w:tblPr>
    <w:tblStylePr w:type="firstRow">
      <w:rPr>
        <w:rFonts w:ascii="Arial" w:hAnsi="Arial"/>
        <w:b/>
        <w:color w:themeColor="light1" w:val="FFFFFF"/>
        <w:sz w:val="22"/>
      </w:rPr>
      <w:tblPr/>
      <w:tcPr>
        <w:tcBorders>
          <w:top w:color="D99695" w:space="0" w:sz="32" w:themeColor="accent2" w:themeTint="97" w:val="single"/>
          <w:bottom w:color="FFFFFF" w:space="0" w:sz="12" w:themeColor="light1" w:val="single"/>
        </w:tcBorders>
        <w:shd w:color="D99695" w:fill="D99695" w:themeColor="accent2" w:themeFill="accent2" w:themeFillTint="97" w:themeTint="97"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D99695" w:space="0" w:sz="32" w:themeColor="accent2" w:themeTint="97" w:val="single"/>
          <w:right w:color="FFFFFF" w:space="0" w:sz="4" w:themeColor="light1" w:val="single"/>
        </w:tcBorders>
      </w:tcPr>
    </w:tblStylePr>
    <w:tblStylePr w:type="lastCol">
      <w:tblPr/>
      <w:tcPr>
        <w:tcBorders>
          <w:left w:color="FFFFFF" w:space="0" w:sz="4" w:themeColor="light1" w:val="single"/>
          <w:right w:color="D99695" w:space="0" w:sz="32" w:themeColor="accent2" w:themeTint="97" w:val="single"/>
        </w:tcBorders>
      </w:tcPr>
    </w:tblStylePr>
    <w:tblStylePr w:type="band1Vert">
      <w:tblPr/>
      <w:tcPr>
        <w:tcBorders>
          <w:left w:color="FFFFFF" w:space="0" w:sz="4" w:themeColor="light1" w:val="single"/>
          <w:right w:color="FFFFFF" w:space="0" w:sz="4" w:themeColor="light1" w:val="single"/>
        </w:tcBorders>
        <w:shd w:color="D99695" w:fill="D99695" w:themeColor="accent2" w:themeFill="accent2" w:themeFillTint="97" w:themeTint="97"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D99695" w:fill="D99695" w:themeColor="accent2" w:themeFill="accent2" w:themeFillTint="97" w:themeTint="97" w:val="clear"/>
      </w:tcPr>
    </w:tblStylePr>
    <w:tblStylePr w:type="band2Horz">
      <w:tblPr/>
      <w:tcPr>
        <w:tcBorders>
          <w:top w:color="FFFFFF" w:space="0" w:sz="4" w:themeColor="light1" w:val="single"/>
          <w:bottom w:color="FFFFFF" w:space="0" w:sz="4" w:themeColor="light1" w:val="single"/>
        </w:tcBorders>
        <w:shd w:color="D99695" w:fill="D99695" w:themeColor="accent2" w:themeFill="accent2" w:themeFillTint="97" w:themeTint="97" w:val="clear"/>
      </w:tcPr>
    </w:tblStylePr>
  </w:style>
  <w:style w:styleId="ListTable5Dark-Accent3" w:type="table">
    <w:name w:val="List Table 5 Dark Accent 3"/>
    <w:basedOn w:val="TableNormal"/>
    <w:uiPriority w:val="99"/>
    <w:pPr>
      <w:spacing w:after="0"/>
    </w:pPr>
    <w:tblPr>
      <w:tblStyleRowBandSize w:val="1"/>
      <w:tblStyleColBandSize w:val="1"/>
      <w:tblBorders>
        <w:top w:color="C3D69B" w:space="0" w:sz="32" w:themeColor="accent3" w:themeTint="98" w:val="single"/>
        <w:left w:color="C3D69B" w:space="0" w:sz="32" w:themeColor="accent3" w:themeTint="98" w:val="single"/>
        <w:bottom w:color="C3D69B" w:space="0" w:sz="32" w:themeColor="accent3" w:themeTint="98" w:val="single"/>
        <w:right w:color="C3D69B" w:space="0" w:sz="32" w:themeColor="accent3" w:themeTint="98" w:val="single"/>
      </w:tblBorders>
      <w:shd w:color="C3D69B" w:fill="C3D69B" w:themeColor="accent3" w:themeFill="accent3" w:themeFillTint="98" w:themeTint="98" w:val="clear"/>
    </w:tblPr>
    <w:tblStylePr w:type="firstRow">
      <w:rPr>
        <w:rFonts w:ascii="Arial" w:hAnsi="Arial"/>
        <w:b/>
        <w:color w:themeColor="light1" w:val="FFFFFF"/>
        <w:sz w:val="22"/>
      </w:rPr>
      <w:tblPr/>
      <w:tcPr>
        <w:tcBorders>
          <w:top w:color="C3D69B" w:space="0" w:sz="32" w:themeColor="accent3" w:themeTint="98" w:val="single"/>
          <w:bottom w:color="FFFFFF" w:space="0" w:sz="12" w:themeColor="light1" w:val="single"/>
        </w:tcBorders>
        <w:shd w:color="C3D69B" w:fill="C3D69B" w:themeColor="accent3" w:themeFill="accent3" w:themeFillTint="98" w:themeTint="98"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C3D69B" w:space="0" w:sz="32" w:themeColor="accent3" w:themeTint="98" w:val="single"/>
          <w:right w:color="FFFFFF" w:space="0" w:sz="4" w:themeColor="light1" w:val="single"/>
        </w:tcBorders>
      </w:tcPr>
    </w:tblStylePr>
    <w:tblStylePr w:type="lastCol">
      <w:tblPr/>
      <w:tcPr>
        <w:tcBorders>
          <w:left w:color="FFFFFF" w:space="0" w:sz="4" w:themeColor="light1" w:val="single"/>
          <w:right w:color="C3D69B" w:space="0" w:sz="32" w:themeColor="accent3" w:themeTint="98" w:val="single"/>
        </w:tcBorders>
      </w:tcPr>
    </w:tblStylePr>
    <w:tblStylePr w:type="band1Vert">
      <w:tblPr/>
      <w:tcPr>
        <w:tcBorders>
          <w:left w:color="FFFFFF" w:space="0" w:sz="4" w:themeColor="light1" w:val="single"/>
          <w:right w:color="FFFFFF" w:space="0" w:sz="4" w:themeColor="light1" w:val="single"/>
        </w:tcBorders>
        <w:shd w:color="C3D69B" w:fill="C3D69B" w:themeColor="accent3" w:themeFill="accent3" w:themeFillTint="98" w:themeTint="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C3D69B" w:fill="C3D69B" w:themeColor="accent3" w:themeFill="accent3" w:themeFillTint="98" w:themeTint="98" w:val="clear"/>
      </w:tcPr>
    </w:tblStylePr>
    <w:tblStylePr w:type="band2Horz">
      <w:tblPr/>
      <w:tcPr>
        <w:tcBorders>
          <w:top w:color="FFFFFF" w:space="0" w:sz="4" w:themeColor="light1" w:val="single"/>
          <w:bottom w:color="FFFFFF" w:space="0" w:sz="4" w:themeColor="light1" w:val="single"/>
        </w:tcBorders>
        <w:shd w:color="C3D69B" w:fill="C3D69B" w:themeColor="accent3" w:themeFill="accent3" w:themeFillTint="98" w:themeTint="98" w:val="clear"/>
      </w:tcPr>
    </w:tblStylePr>
  </w:style>
  <w:style w:styleId="ListTable5Dark-Accent4" w:type="table">
    <w:name w:val="List Table 5 Dark Accent 4"/>
    <w:basedOn w:val="TableNormal"/>
    <w:uiPriority w:val="99"/>
    <w:pPr>
      <w:spacing w:after="0"/>
    </w:pPr>
    <w:tblPr>
      <w:tblStyleRowBandSize w:val="1"/>
      <w:tblStyleColBandSize w:val="1"/>
      <w:tblBorders>
        <w:top w:color="B2A1C6" w:space="0" w:sz="32" w:themeColor="accent4" w:themeTint="9A" w:val="single"/>
        <w:left w:color="B2A1C6" w:space="0" w:sz="32" w:themeColor="accent4" w:themeTint="9A" w:val="single"/>
        <w:bottom w:color="B2A1C6" w:space="0" w:sz="32" w:themeColor="accent4" w:themeTint="9A" w:val="single"/>
        <w:right w:color="B2A1C6" w:space="0" w:sz="32" w:themeColor="accent4" w:themeTint="9A" w:val="single"/>
      </w:tblBorders>
      <w:shd w:color="B2A1C6" w:fill="B2A1C6" w:themeColor="accent4" w:themeFill="accent4" w:themeFillTint="9A" w:themeTint="9A" w:val="clear"/>
    </w:tblPr>
    <w:tblStylePr w:type="firstRow">
      <w:rPr>
        <w:rFonts w:ascii="Arial" w:hAnsi="Arial"/>
        <w:b/>
        <w:color w:themeColor="light1" w:val="FFFFFF"/>
        <w:sz w:val="22"/>
      </w:rPr>
      <w:tblPr/>
      <w:tcPr>
        <w:tcBorders>
          <w:top w:color="B2A1C6" w:space="0" w:sz="32" w:themeColor="accent4" w:themeTint="9A" w:val="single"/>
          <w:bottom w:color="FFFFFF" w:space="0" w:sz="12" w:themeColor="light1" w:val="single"/>
        </w:tcBorders>
        <w:shd w:color="B2A1C6" w:fill="B2A1C6" w:themeColor="accent4" w:themeFill="accent4" w:themeFillTint="9A" w:themeTint="9A"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B2A1C6" w:space="0" w:sz="32" w:themeColor="accent4" w:themeTint="9A" w:val="single"/>
          <w:right w:color="FFFFFF" w:space="0" w:sz="4" w:themeColor="light1" w:val="single"/>
        </w:tcBorders>
      </w:tcPr>
    </w:tblStylePr>
    <w:tblStylePr w:type="lastCol">
      <w:tblPr/>
      <w:tcPr>
        <w:tcBorders>
          <w:left w:color="FFFFFF" w:space="0" w:sz="4" w:themeColor="light1" w:val="single"/>
          <w:right w:color="B2A1C6" w:space="0" w:sz="32" w:themeColor="accent4" w:themeTint="9A" w:val="single"/>
        </w:tcBorders>
      </w:tcPr>
    </w:tblStylePr>
    <w:tblStylePr w:type="band1Vert">
      <w:tblPr/>
      <w:tcPr>
        <w:tcBorders>
          <w:left w:color="FFFFFF" w:space="0" w:sz="4" w:themeColor="light1" w:val="single"/>
          <w:right w:color="FFFFFF" w:space="0" w:sz="4" w:themeColor="light1" w:val="single"/>
        </w:tcBorders>
        <w:shd w:color="B2A1C6" w:fill="B2A1C6" w:themeColor="accent4" w:themeFill="accent4" w:themeFillTint="9A" w:themeTint="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B2A1C6" w:fill="B2A1C6" w:themeColor="accent4" w:themeFill="accent4" w:themeFillTint="9A" w:themeTint="9A" w:val="clear"/>
      </w:tcPr>
    </w:tblStylePr>
    <w:tblStylePr w:type="band2Horz">
      <w:tblPr/>
      <w:tcPr>
        <w:tcBorders>
          <w:top w:color="FFFFFF" w:space="0" w:sz="4" w:themeColor="light1" w:val="single"/>
          <w:bottom w:color="FFFFFF" w:space="0" w:sz="4" w:themeColor="light1" w:val="single"/>
        </w:tcBorders>
        <w:shd w:color="B2A1C6" w:fill="B2A1C6" w:themeColor="accent4" w:themeFill="accent4" w:themeFillTint="9A" w:themeTint="9A" w:val="clear"/>
      </w:tcPr>
    </w:tblStylePr>
  </w:style>
  <w:style w:styleId="ListTable5Dark-Accent5" w:type="table">
    <w:name w:val="List Table 5 Dark Accent 5"/>
    <w:basedOn w:val="TableNormal"/>
    <w:uiPriority w:val="99"/>
    <w:pPr>
      <w:spacing w:after="0"/>
    </w:pPr>
    <w:tblPr>
      <w:tblStyleRowBandSize w:val="1"/>
      <w:tblStyleColBandSize w:val="1"/>
      <w:tblBorders>
        <w:top w:color="92CCDC" w:space="0" w:sz="32" w:themeColor="accent5" w:themeTint="9A" w:val="single"/>
        <w:left w:color="92CCDC" w:space="0" w:sz="32" w:themeColor="accent5" w:themeTint="9A" w:val="single"/>
        <w:bottom w:color="92CCDC" w:space="0" w:sz="32" w:themeColor="accent5" w:themeTint="9A" w:val="single"/>
        <w:right w:color="92CCDC" w:space="0" w:sz="32" w:themeColor="accent5" w:themeTint="9A" w:val="single"/>
      </w:tblBorders>
      <w:shd w:color="92CCDC" w:fill="92CCDC" w:themeColor="accent5" w:themeFill="accent5" w:themeFillTint="9A" w:themeTint="9A" w:val="clear"/>
    </w:tblPr>
    <w:tblStylePr w:type="firstRow">
      <w:rPr>
        <w:rFonts w:ascii="Arial" w:hAnsi="Arial"/>
        <w:b/>
        <w:color w:themeColor="light1" w:val="FFFFFF"/>
        <w:sz w:val="22"/>
      </w:rPr>
      <w:tblPr/>
      <w:tcPr>
        <w:tcBorders>
          <w:top w:color="92CCDC" w:space="0" w:sz="32" w:themeColor="accent5" w:themeTint="9A" w:val="single"/>
          <w:bottom w:color="FFFFFF" w:space="0" w:sz="12" w:themeColor="light1" w:val="single"/>
        </w:tcBorders>
        <w:shd w:color="92CCDC" w:fill="92CCDC" w:themeColor="accent5" w:themeFill="accent5" w:themeFillTint="9A" w:themeTint="9A"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92CCDC" w:space="0" w:sz="32" w:themeColor="accent5" w:themeTint="9A" w:val="single"/>
          <w:right w:color="FFFFFF" w:space="0" w:sz="4" w:themeColor="light1" w:val="single"/>
        </w:tcBorders>
      </w:tcPr>
    </w:tblStylePr>
    <w:tblStylePr w:type="lastCol">
      <w:tblPr/>
      <w:tcPr>
        <w:tcBorders>
          <w:left w:color="FFFFFF" w:space="0" w:sz="4" w:themeColor="light1" w:val="single"/>
          <w:right w:color="92CCDC" w:space="0" w:sz="32" w:themeColor="accent5" w:themeTint="9A" w:val="single"/>
        </w:tcBorders>
      </w:tcPr>
    </w:tblStylePr>
    <w:tblStylePr w:type="band1Vert">
      <w:tblPr/>
      <w:tcPr>
        <w:tcBorders>
          <w:left w:color="FFFFFF" w:space="0" w:sz="4" w:themeColor="light1" w:val="single"/>
          <w:right w:color="FFFFFF" w:space="0" w:sz="4" w:themeColor="light1" w:val="single"/>
        </w:tcBorders>
        <w:shd w:color="92CCDC" w:fill="92CCDC" w:themeColor="accent5" w:themeFill="accent5" w:themeFillTint="9A" w:themeTint="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92CCDC" w:fill="92CCDC" w:themeColor="accent5" w:themeFill="accent5" w:themeFillTint="9A" w:themeTint="9A" w:val="clear"/>
      </w:tcPr>
    </w:tblStylePr>
    <w:tblStylePr w:type="band2Horz">
      <w:tblPr/>
      <w:tcPr>
        <w:tcBorders>
          <w:top w:color="FFFFFF" w:space="0" w:sz="4" w:themeColor="light1" w:val="single"/>
          <w:bottom w:color="FFFFFF" w:space="0" w:sz="4" w:themeColor="light1" w:val="single"/>
        </w:tcBorders>
        <w:shd w:color="92CCDC" w:fill="92CCDC" w:themeColor="accent5" w:themeFill="accent5" w:themeFillTint="9A" w:themeTint="9A" w:val="clear"/>
      </w:tcPr>
    </w:tblStylePr>
  </w:style>
  <w:style w:styleId="ListTable5Dark-Accent6" w:type="table">
    <w:name w:val="List Table 5 Dark Accent 6"/>
    <w:basedOn w:val="TableNormal"/>
    <w:uiPriority w:val="99"/>
    <w:pPr>
      <w:spacing w:after="0"/>
    </w:pPr>
    <w:tblPr>
      <w:tblStyleRowBandSize w:val="1"/>
      <w:tblStyleColBandSize w:val="1"/>
      <w:tblBorders>
        <w:top w:color="FAC090" w:space="0" w:sz="32" w:themeColor="accent6" w:themeTint="98" w:val="single"/>
        <w:left w:color="FAC090" w:space="0" w:sz="32" w:themeColor="accent6" w:themeTint="98" w:val="single"/>
        <w:bottom w:color="FAC090" w:space="0" w:sz="32" w:themeColor="accent6" w:themeTint="98" w:val="single"/>
        <w:right w:color="FAC090" w:space="0" w:sz="32" w:themeColor="accent6" w:themeTint="98" w:val="single"/>
      </w:tblBorders>
      <w:shd w:color="FAC090" w:fill="FAC090" w:themeColor="accent6" w:themeFill="accent6" w:themeFillTint="98" w:themeTint="98" w:val="clear"/>
    </w:tblPr>
    <w:tblStylePr w:type="firstRow">
      <w:rPr>
        <w:rFonts w:ascii="Arial" w:hAnsi="Arial"/>
        <w:b/>
        <w:color w:themeColor="light1" w:val="FFFFFF"/>
        <w:sz w:val="22"/>
      </w:rPr>
      <w:tblPr/>
      <w:tcPr>
        <w:tcBorders>
          <w:top w:color="FAC090" w:space="0" w:sz="32" w:themeColor="accent6" w:themeTint="98" w:val="single"/>
          <w:bottom w:color="FFFFFF" w:space="0" w:sz="12" w:themeColor="light1" w:val="single"/>
        </w:tcBorders>
        <w:shd w:color="FAC090" w:fill="FAC090" w:themeColor="accent6" w:themeFill="accent6" w:themeFillTint="98" w:themeTint="98"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FAC090" w:space="0" w:sz="32" w:themeColor="accent6" w:themeTint="98" w:val="single"/>
          <w:right w:color="FFFFFF" w:space="0" w:sz="4" w:themeColor="light1" w:val="single"/>
        </w:tcBorders>
      </w:tcPr>
    </w:tblStylePr>
    <w:tblStylePr w:type="lastCol">
      <w:tblPr/>
      <w:tcPr>
        <w:tcBorders>
          <w:left w:color="FFFFFF" w:space="0" w:sz="4" w:themeColor="light1" w:val="single"/>
          <w:right w:color="FAC090" w:space="0" w:sz="32" w:themeColor="accent6" w:themeTint="98" w:val="single"/>
        </w:tcBorders>
      </w:tcPr>
    </w:tblStylePr>
    <w:tblStylePr w:type="band1Vert">
      <w:tblPr/>
      <w:tcPr>
        <w:tcBorders>
          <w:left w:color="FFFFFF" w:space="0" w:sz="4" w:themeColor="light1" w:val="single"/>
          <w:right w:color="FFFFFF" w:space="0" w:sz="4" w:themeColor="light1" w:val="single"/>
        </w:tcBorders>
        <w:shd w:color="FAC090" w:fill="FAC090" w:themeColor="accent6" w:themeFill="accent6" w:themeFillTint="98" w:themeTint="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FAC090" w:fill="FAC090" w:themeColor="accent6" w:themeFill="accent6" w:themeFillTint="98" w:themeTint="98" w:val="clear"/>
      </w:tcPr>
    </w:tblStylePr>
    <w:tblStylePr w:type="band2Horz">
      <w:tblPr/>
      <w:tcPr>
        <w:tcBorders>
          <w:top w:color="FFFFFF" w:space="0" w:sz="4" w:themeColor="light1" w:val="single"/>
          <w:bottom w:color="FFFFFF" w:space="0" w:sz="4" w:themeColor="light1" w:val="single"/>
        </w:tcBorders>
        <w:shd w:color="FAC090" w:fill="FAC090" w:themeColor="accent6" w:themeFill="accent6" w:themeFillTint="98" w:themeTint="98" w:val="clear"/>
      </w:tcPr>
    </w:tblStylePr>
  </w:style>
  <w:style w:styleId="ListTable6Colorful" w:type="table">
    <w:name w:val="List Table 6 Colorful"/>
    <w:basedOn w:val="TableNormal"/>
    <w:uiPriority w:val="99"/>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color w:themeColor="text1" w:val="000000"/>
      </w:rPr>
      <w:tblPr/>
      <w:tcPr>
        <w:tcBorders>
          <w:bottom w:color="7F7F7F" w:space="0" w:sz="4" w:themeColor="text1" w:themeTint="80" w:val="single"/>
        </w:tcBorders>
      </w:tcPr>
    </w:tblStylePr>
    <w:tblStylePr w:type="lastRow">
      <w:rPr>
        <w:b/>
        <w:color w:themeColor="text1" w:val="000000"/>
      </w:rPr>
      <w:tblPr/>
      <w:tcPr>
        <w:tcBorders>
          <w:top w:color="7F7F7F" w:space="0" w:sz="4" w:themeColor="text1" w:themeTint="80" w:val="single"/>
        </w:tcBorders>
      </w:tcPr>
    </w:tblStylePr>
    <w:tblStylePr w:type="firstCol">
      <w:rPr>
        <w:b/>
        <w:color w:themeColor="text1" w:val="000000"/>
      </w:rPr>
    </w:tblStylePr>
    <w:tblStylePr w:type="lastCol">
      <w:rPr>
        <w:b/>
        <w:color w:themeColor="text1" w:val="000000"/>
      </w:rPr>
    </w:tblStylePr>
    <w:tblStylePr w:type="band1Vert">
      <w:tblPr/>
      <w:tcPr>
        <w:shd w:color="BFBFBF" w:fill="BFBFBF" w:themeColor="text1" w:themeFill="text1" w:themeFillTint="40" w:themeTint="40" w:val="clear"/>
      </w:tcPr>
    </w:tblStylePr>
    <w:tblStylePr w:type="band1Horz">
      <w:rPr>
        <w:rFonts w:ascii="Arial" w:hAnsi="Arial"/>
        <w:color w:themeColor="text1" w:val="000000"/>
        <w:sz w:val="22"/>
      </w:rPr>
      <w:tblPr/>
      <w:tcPr>
        <w:shd w:color="BFBFBF" w:fill="BFBFBF" w:themeColor="text1" w:themeFill="text1" w:themeFillTint="40" w:themeTint="40" w:val="clear"/>
      </w:tcPr>
    </w:tblStylePr>
    <w:tblStylePr w:type="band2Horz">
      <w:rPr>
        <w:rFonts w:ascii="Arial" w:hAnsi="Arial"/>
        <w:color w:themeColor="text1" w:val="000000"/>
        <w:sz w:val="22"/>
      </w:rPr>
    </w:tblStylePr>
  </w:style>
  <w:style w:styleId="ListTable6Colorful-Accent1" w:type="table">
    <w:name w:val="List Table 6 Colorful Accent 1"/>
    <w:basedOn w:val="TableNormal"/>
    <w:uiPriority w:val="99"/>
    <w:pPr>
      <w:spacing w:after="0"/>
    </w:pPr>
    <w:tblPr>
      <w:tblStyleRowBandSize w:val="1"/>
      <w:tblStyleColBandSize w:val="1"/>
      <w:tblBorders>
        <w:top w:color="4F81BD" w:space="0" w:sz="4" w:themeColor="accent1" w:val="single"/>
        <w:bottom w:color="4F81BD" w:space="0" w:sz="4" w:themeColor="accent1" w:val="single"/>
      </w:tblBorders>
    </w:tblPr>
    <w:tblStylePr w:type="firstRow">
      <w:rPr>
        <w:b/>
        <w:color w:themeColor="accent1" w:themeShade="95" w:val="2A4A71"/>
      </w:rPr>
      <w:tblPr/>
      <w:tcPr>
        <w:tcBorders>
          <w:bottom w:color="4F81BD" w:space="0" w:sz="4" w:themeColor="accent1" w:val="single"/>
        </w:tcBorders>
      </w:tcPr>
    </w:tblStylePr>
    <w:tblStylePr w:type="lastRow">
      <w:rPr>
        <w:b/>
        <w:color w:themeColor="accent1" w:themeShade="95" w:val="2A4A71"/>
      </w:rPr>
      <w:tblPr/>
      <w:tcPr>
        <w:tcBorders>
          <w:top w:color="4F81BD" w:space="0" w:sz="4" w:themeColor="accent1" w:val="single"/>
        </w:tcBorders>
      </w:tcPr>
    </w:tblStylePr>
    <w:tblStylePr w:type="firstCol">
      <w:rPr>
        <w:b/>
        <w:color w:themeColor="accent1" w:themeShade="95" w:val="2A4A71"/>
      </w:rPr>
    </w:tblStylePr>
    <w:tblStylePr w:type="lastCol">
      <w:rPr>
        <w:b/>
        <w:color w:themeColor="accent1" w:themeShade="95" w:val="2A4A71"/>
      </w:rPr>
    </w:tblStylePr>
    <w:tblStylePr w:type="band1Vert">
      <w:tblPr/>
      <w:tcPr>
        <w:shd w:color="D2DFEE" w:fill="D2DFEE" w:themeColor="accent1" w:themeFill="accent1" w:themeFillTint="40" w:themeTint="40" w:val="clear"/>
      </w:tcPr>
    </w:tblStylePr>
    <w:tblStylePr w:type="band1Horz">
      <w:rPr>
        <w:rFonts w:ascii="Arial" w:hAnsi="Arial"/>
        <w:color w:themeColor="accent1" w:themeShade="95" w:val="2A4A71"/>
        <w:sz w:val="22"/>
      </w:rPr>
      <w:tblPr/>
      <w:tcPr>
        <w:shd w:color="D2DFEE" w:fill="D2DFEE" w:themeColor="accent1" w:themeFill="accent1" w:themeFillTint="40" w:themeTint="40" w:val="clear"/>
      </w:tcPr>
    </w:tblStylePr>
    <w:tblStylePr w:type="band2Horz">
      <w:rPr>
        <w:rFonts w:ascii="Arial" w:hAnsi="Arial"/>
        <w:color w:themeColor="accent1" w:themeShade="95" w:val="2A4A71"/>
        <w:sz w:val="22"/>
      </w:rPr>
    </w:tblStylePr>
  </w:style>
  <w:style w:styleId="ListTable6Colorful-Accent2" w:type="table">
    <w:name w:val="List Table 6 Colorful Accent 2"/>
    <w:basedOn w:val="TableNormal"/>
    <w:uiPriority w:val="99"/>
    <w:pPr>
      <w:spacing w:after="0"/>
    </w:pPr>
    <w:tblPr>
      <w:tblStyleRowBandSize w:val="1"/>
      <w:tblStyleColBandSize w:val="1"/>
      <w:tblBorders>
        <w:top w:color="D99695" w:space="0" w:sz="4" w:themeColor="accent2" w:themeTint="97" w:val="single"/>
        <w:bottom w:color="D99695" w:space="0" w:sz="4" w:themeColor="accent2" w:themeTint="97" w:val="single"/>
      </w:tblBorders>
    </w:tblPr>
    <w:tblStylePr w:type="firstRow">
      <w:rPr>
        <w:b/>
        <w:color w:themeColor="accent2" w:themeShade="95" w:themeTint="97" w:val="D99695"/>
      </w:rPr>
      <w:tblPr/>
      <w:tcPr>
        <w:tcBorders>
          <w:bottom w:color="D99695" w:space="0" w:sz="4" w:themeColor="accent2" w:themeTint="97" w:val="single"/>
        </w:tcBorders>
      </w:tcPr>
    </w:tblStylePr>
    <w:tblStylePr w:type="lastRow">
      <w:rPr>
        <w:b/>
        <w:color w:themeColor="accent2" w:themeShade="95" w:themeTint="97" w:val="D99695"/>
      </w:rPr>
      <w:tblPr/>
      <w:tcPr>
        <w:tcBorders>
          <w:top w:color="D99695" w:space="0" w:sz="4" w:themeColor="accent2" w:themeTint="97" w:val="single"/>
        </w:tcBorders>
      </w:tcPr>
    </w:tblStylePr>
    <w:tblStylePr w:type="firstCol">
      <w:rPr>
        <w:b/>
        <w:color w:themeColor="accent2" w:themeShade="95" w:themeTint="97" w:val="D99695"/>
      </w:rPr>
    </w:tblStylePr>
    <w:tblStylePr w:type="lastCol">
      <w:rPr>
        <w:b/>
        <w:color w:themeColor="accent2" w:themeShade="95" w:themeTint="97" w:val="D99695"/>
      </w:rPr>
    </w:tblStylePr>
    <w:tblStylePr w:type="band1Vert">
      <w:tblPr/>
      <w:tcPr>
        <w:shd w:color="EFD2D2" w:fill="EFD2D2" w:themeColor="accent2" w:themeFill="accent2" w:themeFillTint="40" w:themeTint="40" w:val="clear"/>
      </w:tcPr>
    </w:tblStylePr>
    <w:tblStylePr w:type="band1Horz">
      <w:rPr>
        <w:rFonts w:ascii="Arial" w:hAnsi="Arial"/>
        <w:color w:themeColor="accent2" w:themeShade="95" w:themeTint="97" w:val="D99695"/>
        <w:sz w:val="22"/>
      </w:rPr>
      <w:tblPr/>
      <w:tcPr>
        <w:shd w:color="EFD2D2" w:fill="EFD2D2" w:themeColor="accent2" w:themeFill="accent2" w:themeFillTint="40" w:themeTint="40" w:val="clear"/>
      </w:tcPr>
    </w:tblStylePr>
    <w:tblStylePr w:type="band2Horz">
      <w:rPr>
        <w:rFonts w:ascii="Arial" w:hAnsi="Arial"/>
        <w:color w:themeColor="accent2" w:themeShade="95" w:themeTint="97" w:val="D99695"/>
        <w:sz w:val="22"/>
      </w:rPr>
    </w:tblStylePr>
  </w:style>
  <w:style w:styleId="ListTable6Colorful-Accent3" w:type="table">
    <w:name w:val="List Table 6 Colorful Accent 3"/>
    <w:basedOn w:val="TableNormal"/>
    <w:uiPriority w:val="99"/>
    <w:pPr>
      <w:spacing w:after="0"/>
    </w:pPr>
    <w:tblPr>
      <w:tblStyleRowBandSize w:val="1"/>
      <w:tblStyleColBandSize w:val="1"/>
      <w:tblBorders>
        <w:top w:color="C3D69B" w:space="0" w:sz="4" w:themeColor="accent3" w:themeTint="98" w:val="single"/>
        <w:bottom w:color="C3D69B" w:space="0" w:sz="4" w:themeColor="accent3" w:themeTint="98" w:val="single"/>
      </w:tblBorders>
    </w:tblPr>
    <w:tblStylePr w:type="firstRow">
      <w:rPr>
        <w:b/>
        <w:color w:themeColor="accent3" w:themeShade="95" w:themeTint="98" w:val="C3D69B"/>
      </w:rPr>
      <w:tblPr/>
      <w:tcPr>
        <w:tcBorders>
          <w:bottom w:color="C3D69B" w:space="0" w:sz="4" w:themeColor="accent3" w:themeTint="98" w:val="single"/>
        </w:tcBorders>
      </w:tcPr>
    </w:tblStylePr>
    <w:tblStylePr w:type="lastRow">
      <w:rPr>
        <w:b/>
        <w:color w:themeColor="accent3" w:themeShade="95" w:themeTint="98" w:val="C3D69B"/>
      </w:rPr>
      <w:tblPr/>
      <w:tcPr>
        <w:tcBorders>
          <w:top w:color="C3D69B" w:space="0" w:sz="4" w:themeColor="accent3" w:themeTint="98" w:val="single"/>
        </w:tcBorders>
      </w:tcPr>
    </w:tblStylePr>
    <w:tblStylePr w:type="firstCol">
      <w:rPr>
        <w:b/>
        <w:color w:themeColor="accent3" w:themeShade="95" w:themeTint="98" w:val="C3D69B"/>
      </w:rPr>
    </w:tblStylePr>
    <w:tblStylePr w:type="lastCol">
      <w:rPr>
        <w:b/>
        <w:color w:themeColor="accent3" w:themeShade="95" w:themeTint="98" w:val="C3D69B"/>
      </w:rPr>
    </w:tblStylePr>
    <w:tblStylePr w:type="band1Vert">
      <w:tblPr/>
      <w:tcPr>
        <w:shd w:color="E5EED5" w:fill="E5EED5" w:themeColor="accent3" w:themeFill="accent3" w:themeFillTint="40" w:themeTint="40" w:val="clear"/>
      </w:tcPr>
    </w:tblStylePr>
    <w:tblStylePr w:type="band1Horz">
      <w:rPr>
        <w:rFonts w:ascii="Arial" w:hAnsi="Arial"/>
        <w:color w:themeColor="accent3" w:themeShade="95" w:themeTint="98" w:val="C3D69B"/>
        <w:sz w:val="22"/>
      </w:rPr>
      <w:tblPr/>
      <w:tcPr>
        <w:shd w:color="E5EED5" w:fill="E5EED5" w:themeColor="accent3" w:themeFill="accent3" w:themeFillTint="40" w:themeTint="40" w:val="clear"/>
      </w:tcPr>
    </w:tblStylePr>
    <w:tblStylePr w:type="band2Horz">
      <w:rPr>
        <w:rFonts w:ascii="Arial" w:hAnsi="Arial"/>
        <w:color w:themeColor="accent3" w:themeShade="95" w:themeTint="98" w:val="C3D69B"/>
        <w:sz w:val="22"/>
      </w:rPr>
    </w:tblStylePr>
  </w:style>
  <w:style w:styleId="ListTable6Colorful-Accent4" w:type="table">
    <w:name w:val="List Table 6 Colorful Accent 4"/>
    <w:basedOn w:val="TableNormal"/>
    <w:uiPriority w:val="99"/>
    <w:pPr>
      <w:spacing w:after="0"/>
    </w:pPr>
    <w:tblPr>
      <w:tblStyleRowBandSize w:val="1"/>
      <w:tblStyleColBandSize w:val="1"/>
      <w:tblBorders>
        <w:top w:color="B2A1C6" w:space="0" w:sz="4" w:themeColor="accent4" w:themeTint="9A" w:val="single"/>
        <w:bottom w:color="B2A1C6" w:space="0" w:sz="4" w:themeColor="accent4" w:themeTint="9A" w:val="single"/>
      </w:tblBorders>
    </w:tblPr>
    <w:tblStylePr w:type="firstRow">
      <w:rPr>
        <w:b/>
        <w:color w:themeColor="accent4" w:themeShade="95" w:themeTint="9A" w:val="B2A1C6"/>
      </w:rPr>
      <w:tblPr/>
      <w:tcPr>
        <w:tcBorders>
          <w:bottom w:color="B2A1C6" w:space="0" w:sz="4" w:themeColor="accent4" w:themeTint="9A" w:val="single"/>
        </w:tcBorders>
      </w:tcPr>
    </w:tblStylePr>
    <w:tblStylePr w:type="lastRow">
      <w:rPr>
        <w:b/>
        <w:color w:themeColor="accent4" w:themeShade="95" w:themeTint="9A" w:val="B2A1C6"/>
      </w:rPr>
      <w:tblPr/>
      <w:tcPr>
        <w:tcBorders>
          <w:top w:color="B2A1C6" w:space="0" w:sz="4" w:themeColor="accent4" w:themeTint="9A" w:val="single"/>
        </w:tcBorders>
      </w:tcPr>
    </w:tblStylePr>
    <w:tblStylePr w:type="firstCol">
      <w:rPr>
        <w:b/>
        <w:color w:themeColor="accent4" w:themeShade="95" w:themeTint="9A" w:val="B2A1C6"/>
      </w:rPr>
    </w:tblStylePr>
    <w:tblStylePr w:type="lastCol">
      <w:rPr>
        <w:b/>
        <w:color w:themeColor="accent4" w:themeShade="95" w:themeTint="9A" w:val="B2A1C6"/>
      </w:rPr>
    </w:tblStylePr>
    <w:tblStylePr w:type="band1Vert">
      <w:tblPr/>
      <w:tcPr>
        <w:shd w:color="DFD8E7" w:fill="DFD8E7" w:themeColor="accent4" w:themeFill="accent4" w:themeFillTint="40" w:themeTint="40" w:val="clear"/>
      </w:tcPr>
    </w:tblStylePr>
    <w:tblStylePr w:type="band1Horz">
      <w:rPr>
        <w:rFonts w:ascii="Arial" w:hAnsi="Arial"/>
        <w:color w:themeColor="accent4" w:themeShade="95" w:themeTint="9A" w:val="B2A1C6"/>
        <w:sz w:val="22"/>
      </w:rPr>
      <w:tblPr/>
      <w:tcPr>
        <w:shd w:color="DFD8E7" w:fill="DFD8E7" w:themeColor="accent4" w:themeFill="accent4" w:themeFillTint="40" w:themeTint="40" w:val="clear"/>
      </w:tcPr>
    </w:tblStylePr>
    <w:tblStylePr w:type="band2Horz">
      <w:rPr>
        <w:rFonts w:ascii="Arial" w:hAnsi="Arial"/>
        <w:color w:themeColor="accent4" w:themeShade="95" w:themeTint="9A" w:val="B2A1C6"/>
        <w:sz w:val="22"/>
      </w:rPr>
    </w:tblStylePr>
  </w:style>
  <w:style w:styleId="ListTable6Colorful-Accent5" w:type="table">
    <w:name w:val="List Table 6 Colorful Accent 5"/>
    <w:basedOn w:val="TableNormal"/>
    <w:uiPriority w:val="99"/>
    <w:pPr>
      <w:spacing w:after="0"/>
    </w:pPr>
    <w:tblPr>
      <w:tblStyleRowBandSize w:val="1"/>
      <w:tblStyleColBandSize w:val="1"/>
      <w:tblBorders>
        <w:top w:color="92CCDC" w:space="0" w:sz="4" w:themeColor="accent5" w:themeTint="9A" w:val="single"/>
        <w:bottom w:color="92CCDC" w:space="0" w:sz="4" w:themeColor="accent5" w:themeTint="9A" w:val="single"/>
      </w:tblBorders>
    </w:tblPr>
    <w:tblStylePr w:type="firstRow">
      <w:rPr>
        <w:b/>
        <w:color w:themeColor="accent5" w:themeShade="95" w:themeTint="9A" w:val="92CCDC"/>
      </w:rPr>
      <w:tblPr/>
      <w:tcPr>
        <w:tcBorders>
          <w:bottom w:color="92CCDC" w:space="0" w:sz="4" w:themeColor="accent5" w:themeTint="9A" w:val="single"/>
        </w:tcBorders>
      </w:tcPr>
    </w:tblStylePr>
    <w:tblStylePr w:type="lastRow">
      <w:rPr>
        <w:b/>
        <w:color w:themeColor="accent5" w:themeShade="95" w:themeTint="9A" w:val="92CCDC"/>
      </w:rPr>
      <w:tblPr/>
      <w:tcPr>
        <w:tcBorders>
          <w:top w:color="92CCDC" w:space="0" w:sz="4" w:themeColor="accent5" w:themeTint="9A" w:val="single"/>
        </w:tcBorders>
      </w:tcPr>
    </w:tblStylePr>
    <w:tblStylePr w:type="firstCol">
      <w:rPr>
        <w:b/>
        <w:color w:themeColor="accent5" w:themeShade="95" w:themeTint="9A" w:val="92CCDC"/>
      </w:rPr>
    </w:tblStylePr>
    <w:tblStylePr w:type="lastCol">
      <w:rPr>
        <w:b/>
        <w:color w:themeColor="accent5" w:themeShade="95" w:themeTint="9A" w:val="92CCDC"/>
      </w:rPr>
    </w:tblStylePr>
    <w:tblStylePr w:type="band1Vert">
      <w:tblPr/>
      <w:tcPr>
        <w:shd w:color="D1EAF0" w:fill="D1EAF0" w:themeColor="accent5" w:themeFill="accent5" w:themeFillTint="40" w:themeTint="40" w:val="clear"/>
      </w:tcPr>
    </w:tblStylePr>
    <w:tblStylePr w:type="band1Horz">
      <w:rPr>
        <w:rFonts w:ascii="Arial" w:hAnsi="Arial"/>
        <w:color w:themeColor="accent5" w:themeShade="95" w:themeTint="9A" w:val="92CCDC"/>
        <w:sz w:val="22"/>
      </w:rPr>
      <w:tblPr/>
      <w:tcPr>
        <w:shd w:color="D1EAF0" w:fill="D1EAF0" w:themeColor="accent5" w:themeFill="accent5" w:themeFillTint="40" w:themeTint="40" w:val="clear"/>
      </w:tcPr>
    </w:tblStylePr>
    <w:tblStylePr w:type="band2Horz">
      <w:rPr>
        <w:rFonts w:ascii="Arial" w:hAnsi="Arial"/>
        <w:color w:themeColor="accent5" w:themeShade="95" w:themeTint="9A" w:val="92CCDC"/>
        <w:sz w:val="22"/>
      </w:rPr>
    </w:tblStylePr>
  </w:style>
  <w:style w:styleId="ListTable6Colorful-Accent6" w:type="table">
    <w:name w:val="List Table 6 Colorful Accent 6"/>
    <w:basedOn w:val="TableNormal"/>
    <w:uiPriority w:val="99"/>
    <w:pPr>
      <w:spacing w:after="0"/>
    </w:pPr>
    <w:tblPr>
      <w:tblStyleRowBandSize w:val="1"/>
      <w:tblStyleColBandSize w:val="1"/>
      <w:tblBorders>
        <w:top w:color="FAC090" w:space="0" w:sz="4" w:themeColor="accent6" w:themeTint="98" w:val="single"/>
        <w:bottom w:color="FAC090" w:space="0" w:sz="4" w:themeColor="accent6" w:themeTint="98" w:val="single"/>
      </w:tblBorders>
    </w:tblPr>
    <w:tblStylePr w:type="firstRow">
      <w:rPr>
        <w:b/>
        <w:color w:themeColor="accent6" w:themeShade="95" w:themeTint="98" w:val="FAC090"/>
      </w:rPr>
      <w:tblPr/>
      <w:tcPr>
        <w:tcBorders>
          <w:bottom w:color="FAC090" w:space="0" w:sz="4" w:themeColor="accent6" w:themeTint="98" w:val="single"/>
        </w:tcBorders>
      </w:tcPr>
    </w:tblStylePr>
    <w:tblStylePr w:type="lastRow">
      <w:rPr>
        <w:b/>
        <w:color w:themeColor="accent6" w:themeShade="95" w:themeTint="98" w:val="FAC090"/>
      </w:rPr>
      <w:tblPr/>
      <w:tcPr>
        <w:tcBorders>
          <w:top w:color="FAC090" w:space="0" w:sz="4" w:themeColor="accent6" w:themeTint="98" w:val="single"/>
        </w:tcBorders>
      </w:tcPr>
    </w:tblStylePr>
    <w:tblStylePr w:type="firstCol">
      <w:rPr>
        <w:b/>
        <w:color w:themeColor="accent6" w:themeShade="95" w:themeTint="98" w:val="FAC090"/>
      </w:rPr>
    </w:tblStylePr>
    <w:tblStylePr w:type="lastCol">
      <w:rPr>
        <w:b/>
        <w:color w:themeColor="accent6" w:themeShade="95" w:themeTint="98" w:val="FAC090"/>
      </w:rPr>
    </w:tblStylePr>
    <w:tblStylePr w:type="band1Vert">
      <w:tblPr/>
      <w:tcPr>
        <w:shd w:color="FDE4D0" w:fill="FDE4D0" w:themeColor="accent6" w:themeFill="accent6" w:themeFillTint="40" w:themeTint="40" w:val="clear"/>
      </w:tcPr>
    </w:tblStylePr>
    <w:tblStylePr w:type="band1Horz">
      <w:rPr>
        <w:rFonts w:ascii="Arial" w:hAnsi="Arial"/>
        <w:color w:themeColor="accent6" w:themeShade="95" w:themeTint="98" w:val="FAC090"/>
        <w:sz w:val="22"/>
      </w:rPr>
      <w:tblPr/>
      <w:tcPr>
        <w:shd w:color="FDE4D0" w:fill="FDE4D0" w:themeColor="accent6" w:themeFill="accent6" w:themeFillTint="40" w:themeTint="40" w:val="clear"/>
      </w:tcPr>
    </w:tblStylePr>
    <w:tblStylePr w:type="band2Horz">
      <w:rPr>
        <w:rFonts w:ascii="Arial" w:hAnsi="Arial"/>
        <w:color w:themeColor="accent6" w:themeShade="95" w:themeTint="98" w:val="FAC090"/>
        <w:sz w:val="22"/>
      </w:rPr>
    </w:tblStylePr>
  </w:style>
  <w:style w:styleId="ListTable7Colorful" w:type="table">
    <w:name w:val="List Table 7 Colorful"/>
    <w:basedOn w:val="TableNormal"/>
    <w:uiPriority w:val="99"/>
    <w:pPr>
      <w:spacing w:after="0"/>
    </w:pPr>
    <w:tblPr>
      <w:tblStyleRowBandSize w:val="1"/>
      <w:tblStyleColBandSize w:val="1"/>
      <w:tblBorders>
        <w:right w:color="7F7F7F" w:space="0" w:sz="4" w:themeColor="text1" w:themeTint="80" w:val="single"/>
      </w:tblBorders>
    </w:tblPr>
    <w:tblStylePr w:type="firstRow">
      <w:rPr>
        <w:rFonts w:ascii="Arial" w:hAnsi="Arial"/>
        <w:i/>
        <w:color w:themeColor="text1" w:themeShade="95" w:themeTint="80" w:val="7F7F7F"/>
        <w:sz w:val="22"/>
      </w:rPr>
      <w:tblPr/>
      <w:tcPr>
        <w:tcBorders>
          <w:top w:color="auto" w:space="0" w:sz="0" w:val="none"/>
          <w:left w:color="auto" w:space="0" w:sz="0" w:val="none"/>
          <w:bottom w:color="7F7F7F" w:space="0" w:sz="4" w:themeColor="text1" w:themeTint="80" w:val="single"/>
          <w:right w:color="auto" w:space="0" w:sz="0" w:val="none"/>
        </w:tcBorders>
        <w:shd w:color="FFFFFF" w:fill="FFFFFF" w:themeColor="light1" w:themeFill="light1" w:val="clear"/>
      </w:tcPr>
    </w:tblStylePr>
    <w:tblStylePr w:type="lastRow">
      <w:rPr>
        <w:rFonts w:ascii="Arial" w:hAnsi="Arial"/>
        <w:i/>
        <w:color w:themeColor="text1" w:themeShade="95" w:themeTint="80" w:val="7F7F7F"/>
        <w:sz w:val="22"/>
      </w:rPr>
      <w:tblPr/>
      <w:tcPr>
        <w:tcBorders>
          <w:top w:color="7F7F7F" w:space="0" w:sz="4" w:themeColor="text1" w:themeTint="8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text1" w:themeShade="95" w:themeTint="80" w:val="7F7F7F"/>
        <w:sz w:val="22"/>
      </w:rPr>
      <w:tblPr/>
      <w:tcPr>
        <w:tcBorders>
          <w:top w:color="auto" w:space="0" w:sz="0" w:val="none"/>
          <w:left w:color="auto" w:space="0" w:sz="0" w:val="none"/>
          <w:bottom w:color="auto" w:space="0" w:sz="0" w:val="none"/>
          <w:right w:color="7F7F7F" w:space="0" w:sz="4" w:themeColor="text1" w:themeTint="80" w:val="single"/>
        </w:tcBorders>
        <w:shd w:color="FFFFFF" w:fill="auto" w:val="clear"/>
      </w:tcPr>
    </w:tblStylePr>
    <w:tblStylePr w:type="lastCol">
      <w:rPr>
        <w:rFonts w:ascii="Arial" w:hAnsi="Arial"/>
        <w:i/>
        <w:color w:themeColor="text1" w:themeShade="95" w:themeTint="80" w:val="7F7F7F"/>
        <w:sz w:val="22"/>
      </w:rPr>
      <w:tblPr/>
      <w:tcPr>
        <w:tcBorders>
          <w:top w:color="auto" w:space="0" w:sz="0" w:val="none"/>
          <w:left w:color="7F7F7F" w:space="0" w:sz="4" w:themeColor="text1" w:themeTint="80" w:val="single"/>
          <w:bottom w:color="auto" w:space="0" w:sz="0" w:val="none"/>
          <w:right w:color="auto" w:space="0" w:sz="0" w:val="none"/>
        </w:tcBorders>
        <w:shd w:color="FFFFFF" w:fill="auto" w:val="clear"/>
      </w:tcPr>
    </w:tblStylePr>
    <w:tblStylePr w:type="band1Vert">
      <w:tblPr/>
      <w:tcPr>
        <w:shd w:color="BFBFBF" w:fill="BFBFBF" w:themeColor="text1" w:themeFill="text1" w:themeFillTint="40" w:themeTint="40" w:val="clear"/>
      </w:tcPr>
    </w:tblStylePr>
    <w:tblStylePr w:type="band1Horz">
      <w:rPr>
        <w:rFonts w:ascii="Arial" w:hAnsi="Arial"/>
        <w:color w:themeColor="text1" w:themeShade="95" w:themeTint="80" w:val="7F7F7F"/>
        <w:sz w:val="22"/>
      </w:rPr>
      <w:tblPr/>
      <w:tcPr>
        <w:shd w:color="BFBFBF" w:fill="BFBFBF" w:themeColor="text1" w:themeFill="text1" w:themeFillTint="40" w:themeTint="40" w:val="clear"/>
      </w:tcPr>
    </w:tblStylePr>
    <w:tblStylePr w:type="band2Horz">
      <w:rPr>
        <w:rFonts w:ascii="Arial" w:hAnsi="Arial"/>
        <w:color w:themeColor="text1" w:themeShade="95" w:themeTint="80" w:val="7F7F7F"/>
        <w:sz w:val="22"/>
      </w:rPr>
    </w:tblStylePr>
  </w:style>
  <w:style w:styleId="ListTable7Colorful-Accent1" w:type="table">
    <w:name w:val="List Table 7 Colorful Accent 1"/>
    <w:basedOn w:val="TableNormal"/>
    <w:uiPriority w:val="99"/>
    <w:pPr>
      <w:spacing w:after="0"/>
    </w:pPr>
    <w:tblPr>
      <w:tblStyleRowBandSize w:val="1"/>
      <w:tblStyleColBandSize w:val="1"/>
      <w:tblBorders>
        <w:right w:color="4F81BD" w:space="0" w:sz="4" w:themeColor="accent1" w:val="single"/>
      </w:tblBorders>
    </w:tblPr>
    <w:tblStylePr w:type="firstRow">
      <w:rPr>
        <w:rFonts w:ascii="Arial" w:hAnsi="Arial"/>
        <w:i/>
        <w:color w:themeColor="accent1" w:themeShade="95" w:val="2A4A71"/>
        <w:sz w:val="22"/>
      </w:rPr>
      <w:tblPr/>
      <w:tcPr>
        <w:tcBorders>
          <w:top w:color="auto" w:space="0" w:sz="0" w:val="none"/>
          <w:left w:color="auto" w:space="0" w:sz="0" w:val="none"/>
          <w:bottom w:color="4F81BD" w:space="0" w:sz="4" w:themeColor="accent1" w:val="single"/>
          <w:right w:color="auto" w:space="0" w:sz="0" w:val="none"/>
        </w:tcBorders>
        <w:shd w:color="FFFFFF" w:fill="FFFFFF" w:themeColor="light1" w:themeFill="light1" w:val="clear"/>
      </w:tcPr>
    </w:tblStylePr>
    <w:tblStylePr w:type="lastRow">
      <w:rPr>
        <w:rFonts w:ascii="Arial" w:hAnsi="Arial"/>
        <w:i/>
        <w:color w:themeColor="accent1" w:themeShade="95" w:val="2A4A71"/>
        <w:sz w:val="22"/>
      </w:rPr>
      <w:tblPr/>
      <w:tcPr>
        <w:tcBorders>
          <w:top w:color="4F81BD" w:space="0" w:sz="4" w:themeColor="accent1"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1" w:themeShade="95" w:val="2A4A71"/>
        <w:sz w:val="22"/>
      </w:rPr>
      <w:tblPr/>
      <w:tcPr>
        <w:tcBorders>
          <w:top w:color="auto" w:space="0" w:sz="0" w:val="none"/>
          <w:left w:color="auto" w:space="0" w:sz="0" w:val="none"/>
          <w:bottom w:color="auto" w:space="0" w:sz="0" w:val="none"/>
          <w:right w:color="4F81BD" w:space="0" w:sz="4" w:themeColor="accent1" w:val="single"/>
        </w:tcBorders>
        <w:shd w:color="FFFFFF" w:fill="auto" w:val="clear"/>
      </w:tcPr>
    </w:tblStylePr>
    <w:tblStylePr w:type="lastCol">
      <w:rPr>
        <w:rFonts w:ascii="Arial" w:hAnsi="Arial"/>
        <w:i/>
        <w:color w:themeColor="accent1" w:themeShade="95" w:val="2A4A71"/>
        <w:sz w:val="22"/>
      </w:rPr>
      <w:tblPr/>
      <w:tcPr>
        <w:tcBorders>
          <w:top w:color="auto" w:space="0" w:sz="0" w:val="none"/>
          <w:left w:color="4F81BD" w:space="0" w:sz="4" w:themeColor="accent1" w:val="single"/>
          <w:bottom w:color="auto" w:space="0" w:sz="0" w:val="none"/>
          <w:right w:color="auto" w:space="0" w:sz="0" w:val="none"/>
        </w:tcBorders>
        <w:shd w:color="FFFFFF" w:fill="auto" w:val="clear"/>
      </w:tcPr>
    </w:tblStylePr>
    <w:tblStylePr w:type="band1Vert">
      <w:tblPr/>
      <w:tcPr>
        <w:shd w:color="D2DFEE" w:fill="D2DFEE" w:themeColor="accent1" w:themeFill="accent1" w:themeFillTint="40" w:themeTint="40" w:val="clear"/>
      </w:tcPr>
    </w:tblStylePr>
    <w:tblStylePr w:type="band1Horz">
      <w:rPr>
        <w:rFonts w:ascii="Arial" w:hAnsi="Arial"/>
        <w:color w:themeColor="accent1" w:themeShade="95" w:val="2A4A71"/>
        <w:sz w:val="22"/>
      </w:rPr>
      <w:tblPr/>
      <w:tcPr>
        <w:shd w:color="D2DFEE" w:fill="D2DFEE" w:themeColor="accent1" w:themeFill="accent1" w:themeFillTint="40" w:themeTint="40" w:val="clear"/>
      </w:tcPr>
    </w:tblStylePr>
    <w:tblStylePr w:type="band2Horz">
      <w:rPr>
        <w:rFonts w:ascii="Arial" w:hAnsi="Arial"/>
        <w:color w:themeColor="accent1" w:themeShade="95" w:val="2A4A71"/>
        <w:sz w:val="22"/>
      </w:rPr>
    </w:tblStylePr>
  </w:style>
  <w:style w:styleId="ListTable7Colorful-Accent2" w:type="table">
    <w:name w:val="List Table 7 Colorful Accent 2"/>
    <w:basedOn w:val="TableNormal"/>
    <w:uiPriority w:val="99"/>
    <w:pPr>
      <w:spacing w:after="0"/>
    </w:pPr>
    <w:tblPr>
      <w:tblStyleRowBandSize w:val="1"/>
      <w:tblStyleColBandSize w:val="1"/>
      <w:tblBorders>
        <w:right w:color="D99695" w:space="0" w:sz="4" w:themeColor="accent2" w:themeTint="97" w:val="single"/>
      </w:tblBorders>
    </w:tblPr>
    <w:tblStylePr w:type="firstRow">
      <w:rPr>
        <w:rFonts w:ascii="Arial" w:hAnsi="Arial"/>
        <w:i/>
        <w:color w:themeColor="accent2" w:themeShade="95" w:themeTint="97" w:val="D99695"/>
        <w:sz w:val="22"/>
      </w:rPr>
      <w:tblPr/>
      <w:tcPr>
        <w:tcBorders>
          <w:top w:color="auto" w:space="0" w:sz="0" w:val="none"/>
          <w:left w:color="auto" w:space="0" w:sz="0" w:val="none"/>
          <w:bottom w:color="D99695" w:space="0" w:sz="4" w:themeColor="accent2" w:themeTint="97" w:val="single"/>
          <w:right w:color="auto" w:space="0" w:sz="0" w:val="none"/>
        </w:tcBorders>
        <w:shd w:color="FFFFFF" w:fill="FFFFFF" w:themeColor="light1" w:themeFill="light1" w:val="clear"/>
      </w:tcPr>
    </w:tblStylePr>
    <w:tblStylePr w:type="lastRow">
      <w:rPr>
        <w:rFonts w:ascii="Arial" w:hAnsi="Arial"/>
        <w:i/>
        <w:color w:themeColor="accent2" w:themeShade="95" w:themeTint="97" w:val="D99695"/>
        <w:sz w:val="22"/>
      </w:rPr>
      <w:tblPr/>
      <w:tcPr>
        <w:tcBorders>
          <w:top w:color="D99695" w:space="0" w:sz="4" w:themeColor="accent2" w:themeTint="97"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2" w:themeShade="95" w:themeTint="97" w:val="D99695"/>
        <w:sz w:val="22"/>
      </w:rPr>
      <w:tblPr/>
      <w:tcPr>
        <w:tcBorders>
          <w:top w:color="auto" w:space="0" w:sz="0" w:val="none"/>
          <w:left w:color="auto" w:space="0" w:sz="0" w:val="none"/>
          <w:bottom w:color="auto" w:space="0" w:sz="0" w:val="none"/>
          <w:right w:color="D99695" w:space="0" w:sz="4" w:themeColor="accent2" w:themeTint="97" w:val="single"/>
        </w:tcBorders>
        <w:shd w:color="FFFFFF" w:fill="auto" w:val="clear"/>
      </w:tcPr>
    </w:tblStylePr>
    <w:tblStylePr w:type="lastCol">
      <w:rPr>
        <w:rFonts w:ascii="Arial" w:hAnsi="Arial"/>
        <w:i/>
        <w:color w:themeColor="accent2" w:themeShade="95" w:themeTint="97" w:val="D99695"/>
        <w:sz w:val="22"/>
      </w:rPr>
      <w:tblPr/>
      <w:tcPr>
        <w:tcBorders>
          <w:top w:color="auto" w:space="0" w:sz="0" w:val="none"/>
          <w:left w:color="D99695" w:space="0" w:sz="4" w:themeColor="accent2" w:themeTint="97" w:val="single"/>
          <w:bottom w:color="auto" w:space="0" w:sz="0" w:val="none"/>
          <w:right w:color="auto" w:space="0" w:sz="0" w:val="none"/>
        </w:tcBorders>
        <w:shd w:color="FFFFFF" w:fill="auto" w:val="clear"/>
      </w:tcPr>
    </w:tblStylePr>
    <w:tblStylePr w:type="band1Vert">
      <w:tblPr/>
      <w:tcPr>
        <w:shd w:color="EFD2D2" w:fill="EFD2D2" w:themeColor="accent2" w:themeFill="accent2" w:themeFillTint="40" w:themeTint="40" w:val="clear"/>
      </w:tcPr>
    </w:tblStylePr>
    <w:tblStylePr w:type="band1Horz">
      <w:rPr>
        <w:rFonts w:ascii="Arial" w:hAnsi="Arial"/>
        <w:color w:themeColor="accent2" w:themeShade="95" w:themeTint="97" w:val="D99695"/>
        <w:sz w:val="22"/>
      </w:rPr>
      <w:tblPr/>
      <w:tcPr>
        <w:shd w:color="EFD2D2" w:fill="EFD2D2" w:themeColor="accent2" w:themeFill="accent2" w:themeFillTint="40" w:themeTint="40" w:val="clear"/>
      </w:tcPr>
    </w:tblStylePr>
    <w:tblStylePr w:type="band2Horz">
      <w:rPr>
        <w:rFonts w:ascii="Arial" w:hAnsi="Arial"/>
        <w:color w:themeColor="accent2" w:themeShade="95" w:themeTint="97" w:val="D99695"/>
        <w:sz w:val="22"/>
      </w:rPr>
    </w:tblStylePr>
  </w:style>
  <w:style w:styleId="ListTable7Colorful-Accent3" w:type="table">
    <w:name w:val="List Table 7 Colorful Accent 3"/>
    <w:basedOn w:val="TableNormal"/>
    <w:uiPriority w:val="99"/>
    <w:pPr>
      <w:spacing w:after="0"/>
    </w:pPr>
    <w:tblPr>
      <w:tblStyleRowBandSize w:val="1"/>
      <w:tblStyleColBandSize w:val="1"/>
      <w:tblBorders>
        <w:right w:color="C3D69B" w:space="0" w:sz="4" w:themeColor="accent3" w:themeTint="98" w:val="single"/>
      </w:tblBorders>
    </w:tblPr>
    <w:tblStylePr w:type="firstRow">
      <w:rPr>
        <w:rFonts w:ascii="Arial" w:hAnsi="Arial"/>
        <w:i/>
        <w:color w:themeColor="accent3" w:themeShade="95" w:themeTint="98" w:val="C3D69B"/>
        <w:sz w:val="22"/>
      </w:rPr>
      <w:tblPr/>
      <w:tcPr>
        <w:tcBorders>
          <w:top w:color="auto" w:space="0" w:sz="0" w:val="none"/>
          <w:left w:color="auto" w:space="0" w:sz="0" w:val="none"/>
          <w:bottom w:color="C3D69B" w:space="0" w:sz="4" w:themeColor="accent3" w:themeTint="98" w:val="single"/>
          <w:right w:color="auto" w:space="0" w:sz="0" w:val="none"/>
        </w:tcBorders>
        <w:shd w:color="FFFFFF" w:fill="FFFFFF" w:themeColor="light1" w:themeFill="light1" w:val="clear"/>
      </w:tcPr>
    </w:tblStylePr>
    <w:tblStylePr w:type="lastRow">
      <w:rPr>
        <w:rFonts w:ascii="Arial" w:hAnsi="Arial"/>
        <w:i/>
        <w:color w:themeColor="accent3" w:themeShade="95" w:themeTint="98" w:val="C3D69B"/>
        <w:sz w:val="22"/>
      </w:rPr>
      <w:tblPr/>
      <w:tcPr>
        <w:tcBorders>
          <w:top w:color="C3D69B" w:space="0" w:sz="4" w:themeColor="accent3" w:themeTint="98"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3" w:themeShade="95" w:themeTint="98" w:val="C3D69B"/>
        <w:sz w:val="22"/>
      </w:rPr>
      <w:tblPr/>
      <w:tcPr>
        <w:tcBorders>
          <w:top w:color="auto" w:space="0" w:sz="0" w:val="none"/>
          <w:left w:color="auto" w:space="0" w:sz="0" w:val="none"/>
          <w:bottom w:color="auto" w:space="0" w:sz="0" w:val="none"/>
          <w:right w:color="C3D69B" w:space="0" w:sz="4" w:themeColor="accent3" w:themeTint="98" w:val="single"/>
        </w:tcBorders>
        <w:shd w:color="FFFFFF" w:fill="auto" w:val="clear"/>
      </w:tcPr>
    </w:tblStylePr>
    <w:tblStylePr w:type="lastCol">
      <w:rPr>
        <w:rFonts w:ascii="Arial" w:hAnsi="Arial"/>
        <w:i/>
        <w:color w:themeColor="accent3" w:themeShade="95" w:themeTint="98" w:val="C3D69B"/>
        <w:sz w:val="22"/>
      </w:rPr>
      <w:tblPr/>
      <w:tcPr>
        <w:tcBorders>
          <w:top w:color="auto" w:space="0" w:sz="0" w:val="none"/>
          <w:left w:color="C3D69B" w:space="0" w:sz="4" w:themeColor="accent3" w:themeTint="98" w:val="single"/>
          <w:bottom w:color="auto" w:space="0" w:sz="0" w:val="none"/>
          <w:right w:color="auto" w:space="0" w:sz="0" w:val="none"/>
        </w:tcBorders>
        <w:shd w:color="FFFFFF" w:fill="auto" w:val="clear"/>
      </w:tcPr>
    </w:tblStylePr>
    <w:tblStylePr w:type="band1Vert">
      <w:tblPr/>
      <w:tcPr>
        <w:shd w:color="E5EED5" w:fill="E5EED5" w:themeColor="accent3" w:themeFill="accent3" w:themeFillTint="40" w:themeTint="40" w:val="clear"/>
      </w:tcPr>
    </w:tblStylePr>
    <w:tblStylePr w:type="band1Horz">
      <w:rPr>
        <w:rFonts w:ascii="Arial" w:hAnsi="Arial"/>
        <w:color w:themeColor="accent3" w:themeShade="95" w:themeTint="98" w:val="C3D69B"/>
        <w:sz w:val="22"/>
      </w:rPr>
      <w:tblPr/>
      <w:tcPr>
        <w:shd w:color="E5EED5" w:fill="E5EED5" w:themeColor="accent3" w:themeFill="accent3" w:themeFillTint="40" w:themeTint="40" w:val="clear"/>
      </w:tcPr>
    </w:tblStylePr>
    <w:tblStylePr w:type="band2Horz">
      <w:rPr>
        <w:rFonts w:ascii="Arial" w:hAnsi="Arial"/>
        <w:color w:themeColor="accent3" w:themeShade="95" w:themeTint="98" w:val="C3D69B"/>
        <w:sz w:val="22"/>
      </w:rPr>
    </w:tblStylePr>
  </w:style>
  <w:style w:styleId="ListTable7Colorful-Accent4" w:type="table">
    <w:name w:val="List Table 7 Colorful Accent 4"/>
    <w:basedOn w:val="TableNormal"/>
    <w:uiPriority w:val="99"/>
    <w:pPr>
      <w:spacing w:after="0"/>
    </w:pPr>
    <w:tblPr>
      <w:tblStyleRowBandSize w:val="1"/>
      <w:tblStyleColBandSize w:val="1"/>
      <w:tblBorders>
        <w:right w:color="B2A1C6" w:space="0" w:sz="4" w:themeColor="accent4" w:themeTint="9A" w:val="single"/>
      </w:tblBorders>
    </w:tblPr>
    <w:tblStylePr w:type="firstRow">
      <w:rPr>
        <w:rFonts w:ascii="Arial" w:hAnsi="Arial"/>
        <w:i/>
        <w:color w:themeColor="accent4" w:themeShade="95" w:themeTint="9A" w:val="B2A1C6"/>
        <w:sz w:val="22"/>
      </w:rPr>
      <w:tblPr/>
      <w:tcPr>
        <w:tcBorders>
          <w:top w:color="auto" w:space="0" w:sz="0" w:val="none"/>
          <w:left w:color="auto" w:space="0" w:sz="0" w:val="none"/>
          <w:bottom w:color="B2A1C6" w:space="0" w:sz="4" w:themeColor="accent4" w:themeTint="9A" w:val="single"/>
          <w:right w:color="auto" w:space="0" w:sz="0" w:val="none"/>
        </w:tcBorders>
        <w:shd w:color="FFFFFF" w:fill="FFFFFF" w:themeColor="light1" w:themeFill="light1" w:val="clear"/>
      </w:tcPr>
    </w:tblStylePr>
    <w:tblStylePr w:type="lastRow">
      <w:rPr>
        <w:rFonts w:ascii="Arial" w:hAnsi="Arial"/>
        <w:i/>
        <w:color w:themeColor="accent4" w:themeShade="95" w:themeTint="9A" w:val="B2A1C6"/>
        <w:sz w:val="22"/>
      </w:rPr>
      <w:tblPr/>
      <w:tcPr>
        <w:tcBorders>
          <w:top w:color="B2A1C6" w:space="0" w:sz="4" w:themeColor="accent4" w:themeTint="9A"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4" w:themeShade="95" w:themeTint="9A" w:val="B2A1C6"/>
        <w:sz w:val="22"/>
      </w:rPr>
      <w:tblPr/>
      <w:tcPr>
        <w:tcBorders>
          <w:top w:color="auto" w:space="0" w:sz="0" w:val="none"/>
          <w:left w:color="auto" w:space="0" w:sz="0" w:val="none"/>
          <w:bottom w:color="auto" w:space="0" w:sz="0" w:val="none"/>
          <w:right w:color="B2A1C6" w:space="0" w:sz="4" w:themeColor="accent4" w:themeTint="9A" w:val="single"/>
        </w:tcBorders>
        <w:shd w:color="FFFFFF" w:fill="auto" w:val="clear"/>
      </w:tcPr>
    </w:tblStylePr>
    <w:tblStylePr w:type="lastCol">
      <w:rPr>
        <w:rFonts w:ascii="Arial" w:hAnsi="Arial"/>
        <w:i/>
        <w:color w:themeColor="accent4" w:themeShade="95" w:themeTint="9A" w:val="B2A1C6"/>
        <w:sz w:val="22"/>
      </w:rPr>
      <w:tblPr/>
      <w:tcPr>
        <w:tcBorders>
          <w:top w:color="auto" w:space="0" w:sz="0" w:val="none"/>
          <w:left w:color="B2A1C6" w:space="0" w:sz="4" w:themeColor="accent4" w:themeTint="9A" w:val="single"/>
          <w:bottom w:color="auto" w:space="0" w:sz="0" w:val="none"/>
          <w:right w:color="auto" w:space="0" w:sz="0" w:val="none"/>
        </w:tcBorders>
        <w:shd w:color="FFFFFF" w:fill="auto" w:val="clear"/>
      </w:tcPr>
    </w:tblStylePr>
    <w:tblStylePr w:type="band1Vert">
      <w:tblPr/>
      <w:tcPr>
        <w:shd w:color="DFD8E7" w:fill="DFD8E7" w:themeColor="accent4" w:themeFill="accent4" w:themeFillTint="40" w:themeTint="40" w:val="clear"/>
      </w:tcPr>
    </w:tblStylePr>
    <w:tblStylePr w:type="band1Horz">
      <w:rPr>
        <w:rFonts w:ascii="Arial" w:hAnsi="Arial"/>
        <w:color w:themeColor="accent4" w:themeShade="95" w:themeTint="9A" w:val="B2A1C6"/>
        <w:sz w:val="22"/>
      </w:rPr>
      <w:tblPr/>
      <w:tcPr>
        <w:shd w:color="DFD8E7" w:fill="DFD8E7" w:themeColor="accent4" w:themeFill="accent4" w:themeFillTint="40" w:themeTint="40" w:val="clear"/>
      </w:tcPr>
    </w:tblStylePr>
    <w:tblStylePr w:type="band2Horz">
      <w:rPr>
        <w:rFonts w:ascii="Arial" w:hAnsi="Arial"/>
        <w:color w:themeColor="accent4" w:themeShade="95" w:themeTint="9A" w:val="B2A1C6"/>
        <w:sz w:val="22"/>
      </w:rPr>
    </w:tblStylePr>
  </w:style>
  <w:style w:styleId="ListTable7Colorful-Accent5" w:type="table">
    <w:name w:val="List Table 7 Colorful Accent 5"/>
    <w:basedOn w:val="TableNormal"/>
    <w:uiPriority w:val="99"/>
    <w:pPr>
      <w:spacing w:after="0"/>
    </w:pPr>
    <w:tblPr>
      <w:tblStyleRowBandSize w:val="1"/>
      <w:tblStyleColBandSize w:val="1"/>
      <w:tblBorders>
        <w:right w:color="92CCDC" w:space="0" w:sz="4" w:themeColor="accent5" w:themeTint="9A" w:val="single"/>
      </w:tblBorders>
    </w:tblPr>
    <w:tblStylePr w:type="firstRow">
      <w:rPr>
        <w:rFonts w:ascii="Arial" w:hAnsi="Arial"/>
        <w:i/>
        <w:color w:themeColor="accent5" w:themeShade="95" w:themeTint="9A" w:val="92CCDC"/>
        <w:sz w:val="22"/>
      </w:rPr>
      <w:tblPr/>
      <w:tcPr>
        <w:tcBorders>
          <w:top w:color="auto" w:space="0" w:sz="0" w:val="none"/>
          <w:left w:color="auto" w:space="0" w:sz="0" w:val="none"/>
          <w:bottom w:color="92CCDC" w:space="0" w:sz="4" w:themeColor="accent5" w:themeTint="9A" w:val="single"/>
          <w:right w:color="auto" w:space="0" w:sz="0" w:val="none"/>
        </w:tcBorders>
        <w:shd w:color="FFFFFF" w:fill="FFFFFF" w:themeColor="light1" w:themeFill="light1" w:val="clear"/>
      </w:tcPr>
    </w:tblStylePr>
    <w:tblStylePr w:type="lastRow">
      <w:rPr>
        <w:rFonts w:ascii="Arial" w:hAnsi="Arial"/>
        <w:i/>
        <w:color w:themeColor="accent5" w:themeShade="95" w:themeTint="9A" w:val="92CCDC"/>
        <w:sz w:val="22"/>
      </w:rPr>
      <w:tblPr/>
      <w:tcPr>
        <w:tcBorders>
          <w:top w:color="92CCDC" w:space="0" w:sz="4" w:themeColor="accent5" w:themeTint="9A"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5" w:themeShade="95" w:themeTint="9A" w:val="92CCDC"/>
        <w:sz w:val="22"/>
      </w:rPr>
      <w:tblPr/>
      <w:tcPr>
        <w:tcBorders>
          <w:top w:color="auto" w:space="0" w:sz="0" w:val="none"/>
          <w:left w:color="auto" w:space="0" w:sz="0" w:val="none"/>
          <w:bottom w:color="auto" w:space="0" w:sz="0" w:val="none"/>
          <w:right w:color="92CCDC" w:space="0" w:sz="4" w:themeColor="accent5" w:themeTint="9A" w:val="single"/>
        </w:tcBorders>
        <w:shd w:color="FFFFFF" w:fill="auto" w:val="clear"/>
      </w:tcPr>
    </w:tblStylePr>
    <w:tblStylePr w:type="lastCol">
      <w:rPr>
        <w:rFonts w:ascii="Arial" w:hAnsi="Arial"/>
        <w:i/>
        <w:color w:themeColor="accent5" w:themeShade="95" w:themeTint="9A" w:val="92CCDC"/>
        <w:sz w:val="22"/>
      </w:rPr>
      <w:tblPr/>
      <w:tcPr>
        <w:tcBorders>
          <w:top w:color="auto" w:space="0" w:sz="0" w:val="none"/>
          <w:left w:color="92CCDC" w:space="0" w:sz="4" w:themeColor="accent5" w:themeTint="9A" w:val="single"/>
          <w:bottom w:color="auto" w:space="0" w:sz="0" w:val="none"/>
          <w:right w:color="auto" w:space="0" w:sz="0" w:val="none"/>
        </w:tcBorders>
        <w:shd w:color="FFFFFF" w:fill="auto" w:val="clear"/>
      </w:tcPr>
    </w:tblStylePr>
    <w:tblStylePr w:type="band1Vert">
      <w:tblPr/>
      <w:tcPr>
        <w:shd w:color="D1EAF0" w:fill="D1EAF0" w:themeColor="accent5" w:themeFill="accent5" w:themeFillTint="40" w:themeTint="40" w:val="clear"/>
      </w:tcPr>
    </w:tblStylePr>
    <w:tblStylePr w:type="band1Horz">
      <w:rPr>
        <w:rFonts w:ascii="Arial" w:hAnsi="Arial"/>
        <w:color w:themeColor="accent5" w:themeShade="95" w:themeTint="9A" w:val="92CCDC"/>
        <w:sz w:val="22"/>
      </w:rPr>
      <w:tblPr/>
      <w:tcPr>
        <w:shd w:color="D1EAF0" w:fill="D1EAF0" w:themeColor="accent5" w:themeFill="accent5" w:themeFillTint="40" w:themeTint="40" w:val="clear"/>
      </w:tcPr>
    </w:tblStylePr>
    <w:tblStylePr w:type="band2Horz">
      <w:rPr>
        <w:rFonts w:ascii="Arial" w:hAnsi="Arial"/>
        <w:color w:themeColor="accent5" w:themeShade="95" w:themeTint="9A" w:val="92CCDC"/>
        <w:sz w:val="22"/>
      </w:rPr>
    </w:tblStylePr>
  </w:style>
  <w:style w:styleId="ListTable7Colorful-Accent6" w:type="table">
    <w:name w:val="List Table 7 Colorful Accent 6"/>
    <w:basedOn w:val="TableNormal"/>
    <w:uiPriority w:val="99"/>
    <w:pPr>
      <w:spacing w:after="0"/>
    </w:pPr>
    <w:tblPr>
      <w:tblStyleRowBandSize w:val="1"/>
      <w:tblStyleColBandSize w:val="1"/>
      <w:tblBorders>
        <w:right w:color="FAC090" w:space="0" w:sz="4" w:themeColor="accent6" w:themeTint="98" w:val="single"/>
      </w:tblBorders>
    </w:tblPr>
    <w:tblStylePr w:type="firstRow">
      <w:rPr>
        <w:rFonts w:ascii="Arial" w:hAnsi="Arial"/>
        <w:i/>
        <w:color w:themeColor="accent6" w:themeShade="95" w:themeTint="98" w:val="FAC090"/>
        <w:sz w:val="22"/>
      </w:rPr>
      <w:tblPr/>
      <w:tcPr>
        <w:tcBorders>
          <w:top w:color="auto" w:space="0" w:sz="0" w:val="none"/>
          <w:left w:color="auto" w:space="0" w:sz="0" w:val="none"/>
          <w:bottom w:color="FAC090" w:space="0" w:sz="4" w:themeColor="accent6" w:themeTint="98" w:val="single"/>
          <w:right w:color="auto" w:space="0" w:sz="0" w:val="none"/>
        </w:tcBorders>
        <w:shd w:color="FFFFFF" w:fill="FFFFFF" w:themeColor="light1" w:themeFill="light1" w:val="clear"/>
      </w:tcPr>
    </w:tblStylePr>
    <w:tblStylePr w:type="lastRow">
      <w:rPr>
        <w:rFonts w:ascii="Arial" w:hAnsi="Arial"/>
        <w:i/>
        <w:color w:themeColor="accent6" w:themeShade="95" w:themeTint="98" w:val="FAC090"/>
        <w:sz w:val="22"/>
      </w:rPr>
      <w:tblPr/>
      <w:tcPr>
        <w:tcBorders>
          <w:top w:color="FAC090" w:space="0" w:sz="4" w:themeColor="accent6" w:themeTint="98"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6" w:themeShade="95" w:themeTint="98" w:val="FAC090"/>
        <w:sz w:val="22"/>
      </w:rPr>
      <w:tblPr/>
      <w:tcPr>
        <w:tcBorders>
          <w:top w:color="auto" w:space="0" w:sz="0" w:val="none"/>
          <w:left w:color="auto" w:space="0" w:sz="0" w:val="none"/>
          <w:bottom w:color="auto" w:space="0" w:sz="0" w:val="none"/>
          <w:right w:color="FAC090" w:space="0" w:sz="4" w:themeColor="accent6" w:themeTint="98" w:val="single"/>
        </w:tcBorders>
        <w:shd w:color="FFFFFF" w:fill="auto" w:val="clear"/>
      </w:tcPr>
    </w:tblStylePr>
    <w:tblStylePr w:type="lastCol">
      <w:rPr>
        <w:rFonts w:ascii="Arial" w:hAnsi="Arial"/>
        <w:i/>
        <w:color w:themeColor="accent6" w:themeShade="95" w:themeTint="98" w:val="FAC090"/>
        <w:sz w:val="22"/>
      </w:rPr>
      <w:tblPr/>
      <w:tcPr>
        <w:tcBorders>
          <w:top w:color="auto" w:space="0" w:sz="0" w:val="none"/>
          <w:left w:color="FAC090" w:space="0" w:sz="4" w:themeColor="accent6" w:themeTint="98" w:val="single"/>
          <w:bottom w:color="auto" w:space="0" w:sz="0" w:val="none"/>
          <w:right w:color="auto" w:space="0" w:sz="0" w:val="none"/>
        </w:tcBorders>
        <w:shd w:color="FFFFFF" w:fill="auto" w:val="clear"/>
      </w:tcPr>
    </w:tblStylePr>
    <w:tblStylePr w:type="band1Vert">
      <w:tblPr/>
      <w:tcPr>
        <w:shd w:color="FDE4D0" w:fill="FDE4D0" w:themeColor="accent6" w:themeFill="accent6" w:themeFillTint="40" w:themeTint="40" w:val="clear"/>
      </w:tcPr>
    </w:tblStylePr>
    <w:tblStylePr w:type="band1Horz">
      <w:rPr>
        <w:rFonts w:ascii="Arial" w:hAnsi="Arial"/>
        <w:color w:themeColor="accent6" w:themeShade="95" w:themeTint="98" w:val="FAC090"/>
        <w:sz w:val="22"/>
      </w:rPr>
      <w:tblPr/>
      <w:tcPr>
        <w:shd w:color="FDE4D0" w:fill="FDE4D0" w:themeColor="accent6" w:themeFill="accent6" w:themeFillTint="40" w:themeTint="40" w:val="clear"/>
      </w:tcPr>
    </w:tblStylePr>
    <w:tblStylePr w:type="band2Horz">
      <w:rPr>
        <w:rFonts w:ascii="Arial" w:hAnsi="Arial"/>
        <w:color w:themeColor="accent6" w:themeShade="95" w:themeTint="98" w:val="FAC090"/>
        <w:sz w:val="22"/>
      </w:rPr>
    </w:tblStylePr>
  </w:style>
  <w:style w:customStyle="1" w:styleId="Lined-Accent" w:type="table">
    <w:name w:val="Lined - Accent"/>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7F7F7F" w:fill="7F7F7F" w:themeColor="text1" w:themeFill="text1" w:themeFillTint="80" w:themeTint="80" w:val="clear"/>
      </w:tcPr>
    </w:tblStylePr>
    <w:tblStylePr w:type="lastRow">
      <w:rPr>
        <w:rFonts w:ascii="Arial" w:hAnsi="Arial"/>
        <w:color w:val="F2F2F2"/>
        <w:sz w:val="22"/>
      </w:rPr>
      <w:tblPr/>
      <w:tcPr>
        <w:shd w:color="7F7F7F" w:fill="7F7F7F" w:themeColor="text1" w:themeFill="text1" w:themeFillTint="80" w:themeTint="80" w:val="clear"/>
      </w:tcPr>
    </w:tblStylePr>
    <w:tblStylePr w:type="firstCol">
      <w:rPr>
        <w:rFonts w:ascii="Arial" w:hAnsi="Arial"/>
        <w:color w:val="F2F2F2"/>
        <w:sz w:val="22"/>
      </w:rPr>
      <w:tblPr/>
      <w:tcPr>
        <w:shd w:color="7F7F7F" w:fill="7F7F7F" w:themeColor="text1" w:themeFill="text1" w:themeFillTint="80" w:themeTint="80" w:val="clear"/>
      </w:tcPr>
    </w:tblStylePr>
    <w:tblStylePr w:type="lastCol">
      <w:rPr>
        <w:rFonts w:ascii="Arial" w:hAnsi="Arial"/>
        <w:color w:val="F2F2F2"/>
        <w:sz w:val="22"/>
      </w:rPr>
      <w:tblPr/>
      <w:tcPr>
        <w:shd w:color="7F7F7F" w:fill="7F7F7F" w:themeColor="text1" w:themeFill="text1" w:themeFillTint="80" w:themeTint="80" w:val="clear"/>
      </w:tcPr>
    </w:tblStylePr>
    <w:tblStylePr w:type="band1Vert">
      <w:rPr>
        <w:rFonts w:ascii="Arial" w:hAnsi="Arial"/>
        <w:color w:val="404040"/>
        <w:sz w:val="22"/>
      </w:rPr>
    </w:tblStylePr>
    <w:tblStylePr w:type="band2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StylePr>
    <w:tblStylePr w:type="band2Horz">
      <w:rPr>
        <w:rFonts w:ascii="Arial" w:hAnsi="Arial"/>
        <w:color w:val="404040"/>
        <w:sz w:val="22"/>
      </w:rPr>
      <w:tblPr/>
      <w:tcPr>
        <w:shd w:color="F2F2F2" w:fill="F2F2F2" w:themeColor="text1" w:themeFill="text1" w:themeFillTint="0D" w:themeTint="0D" w:val="clear"/>
      </w:tcPr>
    </w:tblStylePr>
  </w:style>
  <w:style w:customStyle="1" w:styleId="Lined-Accent1" w:type="table">
    <w:name w:val="Lined - Accent 1"/>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5D8AC2" w:fill="5D8AC2" w:themeColor="accent1" w:themeFill="accent1" w:themeFillTint="EA" w:themeTint="EA" w:val="clear"/>
      </w:tcPr>
    </w:tblStylePr>
    <w:tblStylePr w:type="lastRow">
      <w:rPr>
        <w:rFonts w:ascii="Arial" w:hAnsi="Arial"/>
        <w:color w:val="F2F2F2"/>
        <w:sz w:val="22"/>
      </w:rPr>
      <w:tblPr/>
      <w:tcPr>
        <w:shd w:color="5D8AC2" w:fill="5D8AC2" w:themeColor="accent1" w:themeFill="accent1" w:themeFillTint="EA" w:themeTint="EA" w:val="clear"/>
      </w:tcPr>
    </w:tblStylePr>
    <w:tblStylePr w:type="firstCol">
      <w:rPr>
        <w:rFonts w:ascii="Arial" w:hAnsi="Arial"/>
        <w:color w:val="F2F2F2"/>
        <w:sz w:val="22"/>
      </w:rPr>
      <w:tblPr/>
      <w:tcPr>
        <w:shd w:color="5D8AC2" w:fill="5D8AC2" w:themeColor="accent1" w:themeFill="accent1" w:themeFillTint="EA" w:themeTint="EA" w:val="clear"/>
      </w:tcPr>
    </w:tblStylePr>
    <w:tblStylePr w:type="lastCol">
      <w:rPr>
        <w:rFonts w:ascii="Arial" w:hAnsi="Arial"/>
        <w:color w:val="F2F2F2"/>
        <w:sz w:val="22"/>
      </w:rPr>
      <w:tblPr/>
      <w:tcPr>
        <w:shd w:color="5D8AC2" w:fill="5D8AC2" w:themeColor="accent1" w:themeFill="accent1" w:themeFillTint="EA" w:themeTint="EA" w:val="clear"/>
      </w:tcPr>
    </w:tblStylePr>
    <w:tblStylePr w:type="band1Vert">
      <w:rPr>
        <w:rFonts w:ascii="Arial" w:hAnsi="Arial"/>
        <w:color w:val="404040"/>
        <w:sz w:val="22"/>
      </w:rPr>
    </w:tblStylePr>
    <w:tblStylePr w:type="band2Vert">
      <w:rPr>
        <w:rFonts w:ascii="Arial" w:hAnsi="Arial"/>
        <w:color w:val="404040"/>
        <w:sz w:val="22"/>
      </w:rPr>
      <w:tblPr/>
      <w:tcPr>
        <w:shd w:color="C7D7EA" w:fill="C7D7EA" w:themeColor="accent1" w:themeFill="accent1" w:themeFillTint="50" w:themeTint="50" w:val="clear"/>
      </w:tcPr>
    </w:tblStylePr>
    <w:tblStylePr w:type="band1Horz">
      <w:rPr>
        <w:rFonts w:ascii="Arial" w:hAnsi="Arial"/>
        <w:color w:val="404040"/>
        <w:sz w:val="22"/>
      </w:rPr>
    </w:tblStylePr>
    <w:tblStylePr w:type="band2Horz">
      <w:rPr>
        <w:rFonts w:ascii="Arial" w:hAnsi="Arial"/>
        <w:color w:val="404040"/>
        <w:sz w:val="22"/>
      </w:rPr>
      <w:tblPr/>
      <w:tcPr>
        <w:shd w:color="C7D7EA" w:fill="C7D7EA" w:themeColor="accent1" w:themeFill="accent1" w:themeFillTint="50" w:themeTint="50" w:val="clear"/>
      </w:tcPr>
    </w:tblStylePr>
  </w:style>
  <w:style w:customStyle="1" w:styleId="Lined-Accent2" w:type="table">
    <w:name w:val="Lined - Accent 2"/>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D99695" w:fill="D99695" w:themeColor="accent2" w:themeFill="accent2" w:themeFillTint="97" w:themeTint="97" w:val="clear"/>
      </w:tcPr>
    </w:tblStylePr>
    <w:tblStylePr w:type="lastRow">
      <w:rPr>
        <w:rFonts w:ascii="Arial" w:hAnsi="Arial"/>
        <w:color w:val="F2F2F2"/>
        <w:sz w:val="22"/>
      </w:rPr>
      <w:tblPr/>
      <w:tcPr>
        <w:shd w:color="D99695" w:fill="D99695" w:themeColor="accent2" w:themeFill="accent2" w:themeFillTint="97" w:themeTint="97" w:val="clear"/>
      </w:tcPr>
    </w:tblStylePr>
    <w:tblStylePr w:type="firstCol">
      <w:rPr>
        <w:rFonts w:ascii="Arial" w:hAnsi="Arial"/>
        <w:color w:val="F2F2F2"/>
        <w:sz w:val="22"/>
      </w:rPr>
      <w:tblPr/>
      <w:tcPr>
        <w:shd w:color="D99695" w:fill="D99695" w:themeColor="accent2" w:themeFill="accent2" w:themeFillTint="97" w:themeTint="97" w:val="clear"/>
      </w:tcPr>
    </w:tblStylePr>
    <w:tblStylePr w:type="lastCol">
      <w:rPr>
        <w:rFonts w:ascii="Arial" w:hAnsi="Arial"/>
        <w:color w:val="F2F2F2"/>
        <w:sz w:val="22"/>
      </w:rPr>
      <w:tblPr/>
      <w:tcPr>
        <w:shd w:color="D99695" w:fill="D99695" w:themeColor="accent2" w:themeFill="accent2" w:themeFillTint="97" w:themeTint="97" w:val="clear"/>
      </w:tcPr>
    </w:tblStylePr>
    <w:tblStylePr w:type="band1Vert">
      <w:rPr>
        <w:rFonts w:ascii="Arial" w:hAnsi="Arial"/>
        <w:color w:val="404040"/>
        <w:sz w:val="22"/>
      </w:rPr>
    </w:tblStylePr>
    <w:tblStylePr w:type="band2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StylePr>
    <w:tblStylePr w:type="band2Horz">
      <w:rPr>
        <w:rFonts w:ascii="Arial" w:hAnsi="Arial"/>
        <w:color w:val="404040"/>
        <w:sz w:val="22"/>
      </w:rPr>
      <w:tblPr/>
      <w:tcPr>
        <w:shd w:color="F2DCDC" w:fill="F2DCDC" w:themeColor="accent2" w:themeFill="accent2" w:themeFillTint="32" w:themeTint="32" w:val="clear"/>
      </w:tcPr>
    </w:tblStylePr>
  </w:style>
  <w:style w:customStyle="1" w:styleId="Lined-Accent3" w:type="table">
    <w:name w:val="Lined - Accent 3"/>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9ABB59" w:fill="9ABB59" w:themeColor="accent3" w:themeFill="accent3" w:themeFillTint="FE" w:themeTint="FE" w:val="clear"/>
      </w:tcPr>
    </w:tblStylePr>
    <w:tblStylePr w:type="lastRow">
      <w:rPr>
        <w:rFonts w:ascii="Arial" w:hAnsi="Arial"/>
        <w:color w:val="F2F2F2"/>
        <w:sz w:val="22"/>
      </w:rPr>
      <w:tblPr/>
      <w:tcPr>
        <w:shd w:color="9ABB59" w:fill="9ABB59" w:themeColor="accent3" w:themeFill="accent3" w:themeFillTint="FE" w:themeTint="FE" w:val="clear"/>
      </w:tcPr>
    </w:tblStylePr>
    <w:tblStylePr w:type="firstCol">
      <w:rPr>
        <w:rFonts w:ascii="Arial" w:hAnsi="Arial"/>
        <w:color w:val="F2F2F2"/>
        <w:sz w:val="22"/>
      </w:rPr>
      <w:tblPr/>
      <w:tcPr>
        <w:shd w:color="9ABB59" w:fill="9ABB59" w:themeColor="accent3" w:themeFill="accent3" w:themeFillTint="FE" w:themeTint="FE" w:val="clear"/>
      </w:tcPr>
    </w:tblStylePr>
    <w:tblStylePr w:type="lastCol">
      <w:rPr>
        <w:rFonts w:ascii="Arial" w:hAnsi="Arial"/>
        <w:color w:val="F2F2F2"/>
        <w:sz w:val="22"/>
      </w:rPr>
      <w:tblPr/>
      <w:tcPr>
        <w:shd w:color="9ABB59" w:fill="9ABB59" w:themeColor="accent3" w:themeFill="accent3" w:themeFillTint="FE" w:themeTint="FE" w:val="clear"/>
      </w:tcPr>
    </w:tblStylePr>
    <w:tblStylePr w:type="band1Vert">
      <w:rPr>
        <w:rFonts w:ascii="Arial" w:hAnsi="Arial"/>
        <w:color w:val="404040"/>
        <w:sz w:val="22"/>
      </w:rPr>
    </w:tblStylePr>
    <w:tblStylePr w:type="band2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EAF1DC" w:fill="EAF1DC" w:themeColor="accent3" w:themeFill="accent3" w:themeFillTint="34" w:themeTint="34" w:val="clear"/>
      </w:tcPr>
    </w:tblStylePr>
  </w:style>
  <w:style w:customStyle="1" w:styleId="Lined-Accent4" w:type="table">
    <w:name w:val="Lined - Accent 4"/>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B2A1C6" w:fill="B2A1C6" w:themeColor="accent4" w:themeFill="accent4" w:themeFillTint="9A" w:themeTint="9A" w:val="clear"/>
      </w:tcPr>
    </w:tblStylePr>
    <w:tblStylePr w:type="lastRow">
      <w:rPr>
        <w:rFonts w:ascii="Arial" w:hAnsi="Arial"/>
        <w:color w:val="F2F2F2"/>
        <w:sz w:val="22"/>
      </w:rPr>
      <w:tblPr/>
      <w:tcPr>
        <w:shd w:color="B2A1C6" w:fill="B2A1C6" w:themeColor="accent4" w:themeFill="accent4" w:themeFillTint="9A" w:themeTint="9A" w:val="clear"/>
      </w:tcPr>
    </w:tblStylePr>
    <w:tblStylePr w:type="firstCol">
      <w:rPr>
        <w:rFonts w:ascii="Arial" w:hAnsi="Arial"/>
        <w:color w:val="F2F2F2"/>
        <w:sz w:val="22"/>
      </w:rPr>
      <w:tblPr/>
      <w:tcPr>
        <w:shd w:color="B2A1C6" w:fill="B2A1C6" w:themeColor="accent4" w:themeFill="accent4" w:themeFillTint="9A" w:themeTint="9A" w:val="clear"/>
      </w:tcPr>
    </w:tblStylePr>
    <w:tblStylePr w:type="lastCol">
      <w:rPr>
        <w:rFonts w:ascii="Arial" w:hAnsi="Arial"/>
        <w:color w:val="F2F2F2"/>
        <w:sz w:val="22"/>
      </w:rPr>
      <w:tblPr/>
      <w:tcPr>
        <w:shd w:color="B2A1C6" w:fill="B2A1C6" w:themeColor="accent4" w:themeFill="accent4" w:themeFillTint="9A" w:themeTint="9A" w:val="clear"/>
      </w:tcPr>
    </w:tblStylePr>
    <w:tblStylePr w:type="band1Vert">
      <w:rPr>
        <w:rFonts w:ascii="Arial" w:hAnsi="Arial"/>
        <w:color w:val="404040"/>
        <w:sz w:val="22"/>
      </w:rPr>
    </w:tblStylePr>
    <w:tblStylePr w:type="band2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E5DFEC" w:fill="E5DFEC" w:themeColor="accent4" w:themeFill="accent4" w:themeFillTint="34" w:themeTint="34" w:val="clear"/>
      </w:tcPr>
    </w:tblStylePr>
  </w:style>
  <w:style w:customStyle="1" w:styleId="Lined-Accent5" w:type="table">
    <w:name w:val="Lined - Accent 5"/>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4BACC6" w:fill="4BACC6" w:themeColor="accent5" w:themeFill="accent5" w:val="clear"/>
      </w:tcPr>
    </w:tblStylePr>
    <w:tblStylePr w:type="lastRow">
      <w:rPr>
        <w:rFonts w:ascii="Arial" w:hAnsi="Arial"/>
        <w:color w:val="F2F2F2"/>
        <w:sz w:val="22"/>
      </w:rPr>
      <w:tblPr/>
      <w:tcPr>
        <w:shd w:color="4BACC6" w:fill="4BACC6" w:themeColor="accent5" w:themeFill="accent5" w:val="clear"/>
      </w:tcPr>
    </w:tblStylePr>
    <w:tblStylePr w:type="firstCol">
      <w:rPr>
        <w:rFonts w:ascii="Arial" w:hAnsi="Arial"/>
        <w:color w:val="F2F2F2"/>
        <w:sz w:val="22"/>
      </w:rPr>
      <w:tblPr/>
      <w:tcPr>
        <w:shd w:color="4BACC6" w:fill="4BACC6" w:themeColor="accent5" w:themeFill="accent5" w:val="clear"/>
      </w:tcPr>
    </w:tblStylePr>
    <w:tblStylePr w:type="lastCol">
      <w:rPr>
        <w:rFonts w:ascii="Arial" w:hAnsi="Arial"/>
        <w:color w:val="F2F2F2"/>
        <w:sz w:val="22"/>
      </w:rPr>
      <w:tblPr/>
      <w:tcPr>
        <w:shd w:color="4BACC6" w:fill="4BACC6" w:themeColor="accent5" w:themeFill="accent5" w:val="clear"/>
      </w:tcPr>
    </w:tblStylePr>
    <w:tblStylePr w:type="band1Vert">
      <w:rPr>
        <w:rFonts w:ascii="Arial" w:hAnsi="Arial"/>
        <w:color w:val="404040"/>
        <w:sz w:val="22"/>
      </w:rPr>
    </w:tblStylePr>
    <w:tblStylePr w:type="band2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DAEEF3" w:fill="DAEEF3" w:themeColor="accent5" w:themeFill="accent5" w:themeFillTint="34" w:themeTint="34" w:val="clear"/>
      </w:tcPr>
    </w:tblStylePr>
  </w:style>
  <w:style w:customStyle="1" w:styleId="Lined-Accent6" w:type="table">
    <w:name w:val="Lined - Accent 6"/>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F79646" w:fill="F79646" w:themeColor="accent6" w:themeFill="accent6" w:val="clear"/>
      </w:tcPr>
    </w:tblStylePr>
    <w:tblStylePr w:type="lastRow">
      <w:rPr>
        <w:rFonts w:ascii="Arial" w:hAnsi="Arial"/>
        <w:color w:val="F2F2F2"/>
        <w:sz w:val="22"/>
      </w:rPr>
      <w:tblPr/>
      <w:tcPr>
        <w:shd w:color="F79646" w:fill="F79646" w:themeColor="accent6" w:themeFill="accent6" w:val="clear"/>
      </w:tcPr>
    </w:tblStylePr>
    <w:tblStylePr w:type="firstCol">
      <w:rPr>
        <w:rFonts w:ascii="Arial" w:hAnsi="Arial"/>
        <w:color w:val="F2F2F2"/>
        <w:sz w:val="22"/>
      </w:rPr>
      <w:tblPr/>
      <w:tcPr>
        <w:shd w:color="F79646" w:fill="F79646" w:themeColor="accent6" w:themeFill="accent6" w:val="clear"/>
      </w:tcPr>
    </w:tblStylePr>
    <w:tblStylePr w:type="lastCol">
      <w:rPr>
        <w:rFonts w:ascii="Arial" w:hAnsi="Arial"/>
        <w:color w:val="F2F2F2"/>
        <w:sz w:val="22"/>
      </w:rPr>
      <w:tblPr/>
      <w:tcPr>
        <w:shd w:color="F79646" w:fill="F79646" w:themeColor="accent6" w:themeFill="accent6" w:val="clear"/>
      </w:tcPr>
    </w:tblStylePr>
    <w:tblStylePr w:type="band1Vert">
      <w:rPr>
        <w:rFonts w:ascii="Arial" w:hAnsi="Arial"/>
        <w:color w:val="404040"/>
        <w:sz w:val="22"/>
      </w:rPr>
    </w:tblStylePr>
    <w:tblStylePr w:type="band2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FDE9D8" w:fill="FDE9D8" w:themeColor="accent6" w:themeFill="accent6" w:themeFillTint="34" w:themeTint="34" w:val="clear"/>
      </w:tcPr>
    </w:tblStylePr>
  </w:style>
  <w:style w:customStyle="1" w:styleId="BorderedLined-Accent" w:type="table">
    <w:name w:val="Bordered &amp; Lined - Accent"/>
    <w:basedOn w:val="TableNormal"/>
    <w:uiPriority w:val="99"/>
    <w:pPr>
      <w:spacing w:after="0"/>
    </w:pPr>
    <w:rPr>
      <w:color w:val="404040"/>
    </w:rPr>
    <w:tblPr>
      <w:tblStyleRowBandSize w:val="1"/>
      <w:tblStyleColBandSize w:val="1"/>
      <w:tblBorders>
        <w:top w:color="595959" w:space="0" w:sz="4" w:themeColor="text1" w:themeTint="A6" w:val="single"/>
        <w:left w:color="595959" w:space="0" w:sz="4" w:themeColor="text1" w:themeTint="A6" w:val="single"/>
        <w:bottom w:color="595959" w:space="0" w:sz="4" w:themeColor="text1" w:themeTint="A6" w:val="single"/>
        <w:right w:color="595959" w:space="0" w:sz="4" w:themeColor="text1" w:themeTint="A6" w:val="single"/>
        <w:insideH w:color="595959" w:space="0" w:sz="4" w:themeColor="text1" w:themeTint="A6" w:val="single"/>
        <w:insideV w:color="595959" w:space="0" w:sz="4" w:themeColor="text1" w:themeTint="A6" w:val="single"/>
      </w:tblBorders>
    </w:tblPr>
    <w:tblStylePr w:type="firstRow">
      <w:rPr>
        <w:rFonts w:ascii="Arial" w:hAnsi="Arial"/>
        <w:color w:val="F2F2F2"/>
        <w:sz w:val="22"/>
      </w:rPr>
      <w:tblPr/>
      <w:tcPr>
        <w:shd w:color="7F7F7F" w:fill="7F7F7F" w:themeColor="text1" w:themeFill="text1" w:themeFillTint="80" w:themeTint="80" w:val="clear"/>
      </w:tcPr>
    </w:tblStylePr>
    <w:tblStylePr w:type="lastRow">
      <w:rPr>
        <w:rFonts w:ascii="Arial" w:hAnsi="Arial"/>
        <w:color w:val="F2F2F2"/>
        <w:sz w:val="22"/>
      </w:rPr>
      <w:tblPr/>
      <w:tcPr>
        <w:shd w:color="7F7F7F" w:fill="7F7F7F" w:themeColor="text1" w:themeFill="text1" w:themeFillTint="80" w:themeTint="80" w:val="clear"/>
      </w:tcPr>
    </w:tblStylePr>
    <w:tblStylePr w:type="firstCol">
      <w:rPr>
        <w:rFonts w:ascii="Arial" w:hAnsi="Arial"/>
        <w:color w:val="F2F2F2"/>
        <w:sz w:val="22"/>
      </w:rPr>
      <w:tblPr/>
      <w:tcPr>
        <w:shd w:color="7F7F7F" w:fill="7F7F7F" w:themeColor="text1" w:themeFill="text1" w:themeFillTint="80" w:themeTint="80" w:val="clear"/>
      </w:tcPr>
    </w:tblStylePr>
    <w:tblStylePr w:type="lastCol">
      <w:rPr>
        <w:rFonts w:ascii="Arial" w:hAnsi="Arial"/>
        <w:color w:val="F2F2F2"/>
        <w:sz w:val="22"/>
      </w:rPr>
      <w:tblPr/>
      <w:tcPr>
        <w:shd w:color="7F7F7F" w:fill="7F7F7F" w:themeColor="text1" w:themeFill="text1" w:themeFillTint="80" w:themeTint="80" w:val="clear"/>
      </w:tcPr>
    </w:tblStylePr>
    <w:tblStylePr w:type="band1Vert">
      <w:rPr>
        <w:rFonts w:ascii="Arial" w:hAnsi="Arial"/>
        <w:color w:val="404040"/>
        <w:sz w:val="22"/>
      </w:rPr>
    </w:tblStylePr>
    <w:tblStylePr w:type="band2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StylePr>
    <w:tblStylePr w:type="band2Horz">
      <w:rPr>
        <w:rFonts w:ascii="Arial" w:hAnsi="Arial"/>
        <w:color w:val="404040"/>
        <w:sz w:val="22"/>
      </w:rPr>
      <w:tblPr/>
      <w:tcPr>
        <w:shd w:color="F2F2F2" w:fill="F2F2F2" w:themeColor="text1" w:themeFill="text1" w:themeFillTint="0D" w:themeTint="0D" w:val="clear"/>
      </w:tcPr>
    </w:tblStylePr>
  </w:style>
  <w:style w:customStyle="1" w:styleId="BorderedLined-Accent1" w:type="table">
    <w:name w:val="Bordered &amp; Lined - Accent 1"/>
    <w:basedOn w:val="TableNormal"/>
    <w:uiPriority w:val="99"/>
    <w:pPr>
      <w:spacing w:after="0"/>
    </w:pPr>
    <w:rPr>
      <w:color w:val="404040"/>
    </w:rPr>
    <w:tblPr>
      <w:tblStyleRowBandSize w:val="1"/>
      <w:tblStyleColBandSize w:val="1"/>
      <w:tblBorders>
        <w:top w:color="2A4A71" w:space="0" w:sz="4" w:themeColor="accent1" w:themeShade="95" w:val="single"/>
        <w:left w:color="2A4A71" w:space="0" w:sz="4" w:themeColor="accent1" w:themeShade="95" w:val="single"/>
        <w:bottom w:color="2A4A71" w:space="0" w:sz="4" w:themeColor="accent1" w:themeShade="95" w:val="single"/>
        <w:right w:color="2A4A71" w:space="0" w:sz="4" w:themeColor="accent1" w:themeShade="95" w:val="single"/>
        <w:insideH w:color="2A4A71" w:space="0" w:sz="4" w:themeColor="accent1" w:themeShade="95" w:val="single"/>
        <w:insideV w:color="2A4A71" w:space="0" w:sz="4" w:themeColor="accent1" w:themeShade="95" w:val="single"/>
      </w:tblBorders>
    </w:tblPr>
    <w:tblStylePr w:type="firstRow">
      <w:rPr>
        <w:rFonts w:ascii="Arial" w:hAnsi="Arial"/>
        <w:color w:val="F2F2F2"/>
        <w:sz w:val="22"/>
      </w:rPr>
      <w:tblPr/>
      <w:tcPr>
        <w:shd w:color="5D8AC2" w:fill="5D8AC2" w:themeColor="accent1" w:themeFill="accent1" w:themeFillTint="EA" w:themeTint="EA" w:val="clear"/>
      </w:tcPr>
    </w:tblStylePr>
    <w:tblStylePr w:type="lastRow">
      <w:rPr>
        <w:rFonts w:ascii="Arial" w:hAnsi="Arial"/>
        <w:color w:val="F2F2F2"/>
        <w:sz w:val="22"/>
      </w:rPr>
      <w:tblPr/>
      <w:tcPr>
        <w:shd w:color="5D8AC2" w:fill="5D8AC2" w:themeColor="accent1" w:themeFill="accent1" w:themeFillTint="EA" w:themeTint="EA" w:val="clear"/>
      </w:tcPr>
    </w:tblStylePr>
    <w:tblStylePr w:type="firstCol">
      <w:rPr>
        <w:rFonts w:ascii="Arial" w:hAnsi="Arial"/>
        <w:color w:val="F2F2F2"/>
        <w:sz w:val="22"/>
      </w:rPr>
      <w:tblPr/>
      <w:tcPr>
        <w:shd w:color="5D8AC2" w:fill="5D8AC2" w:themeColor="accent1" w:themeFill="accent1" w:themeFillTint="EA" w:themeTint="EA" w:val="clear"/>
      </w:tcPr>
    </w:tblStylePr>
    <w:tblStylePr w:type="lastCol">
      <w:rPr>
        <w:rFonts w:ascii="Arial" w:hAnsi="Arial"/>
        <w:color w:val="F2F2F2"/>
        <w:sz w:val="22"/>
      </w:rPr>
      <w:tblPr/>
      <w:tcPr>
        <w:shd w:color="5D8AC2" w:fill="5D8AC2" w:themeColor="accent1" w:themeFill="accent1" w:themeFillTint="EA" w:themeTint="EA" w:val="clear"/>
      </w:tcPr>
    </w:tblStylePr>
    <w:tblStylePr w:type="band1Vert">
      <w:rPr>
        <w:rFonts w:ascii="Arial" w:hAnsi="Arial"/>
        <w:color w:val="404040"/>
        <w:sz w:val="22"/>
      </w:rPr>
    </w:tblStylePr>
    <w:tblStylePr w:type="band2Vert">
      <w:rPr>
        <w:rFonts w:ascii="Arial" w:hAnsi="Arial"/>
        <w:color w:val="404040"/>
        <w:sz w:val="22"/>
      </w:rPr>
      <w:tblPr/>
      <w:tcPr>
        <w:shd w:color="C7D7EA" w:fill="C7D7EA" w:themeColor="accent1" w:themeFill="accent1" w:themeFillTint="50" w:themeTint="50" w:val="clear"/>
      </w:tcPr>
    </w:tblStylePr>
    <w:tblStylePr w:type="band1Horz">
      <w:rPr>
        <w:rFonts w:ascii="Arial" w:hAnsi="Arial"/>
        <w:color w:val="404040"/>
        <w:sz w:val="22"/>
      </w:rPr>
    </w:tblStylePr>
    <w:tblStylePr w:type="band2Horz">
      <w:rPr>
        <w:rFonts w:ascii="Arial" w:hAnsi="Arial"/>
        <w:color w:val="404040"/>
        <w:sz w:val="22"/>
      </w:rPr>
      <w:tblPr/>
      <w:tcPr>
        <w:shd w:color="C7D7EA" w:fill="C7D7EA" w:themeColor="accent1" w:themeFill="accent1" w:themeFillTint="50" w:themeTint="50" w:val="clear"/>
      </w:tcPr>
    </w:tblStylePr>
  </w:style>
  <w:style w:customStyle="1" w:styleId="BorderedLined-Accent2" w:type="table">
    <w:name w:val="Bordered &amp; Lined - Accent 2"/>
    <w:basedOn w:val="TableNormal"/>
    <w:uiPriority w:val="99"/>
    <w:pPr>
      <w:spacing w:after="0"/>
    </w:pPr>
    <w:rPr>
      <w:color w:val="404040"/>
    </w:rPr>
    <w:tblPr>
      <w:tblStyleRowBandSize w:val="1"/>
      <w:tblStyleColBandSize w:val="1"/>
      <w:tblBorders>
        <w:top w:color="732A29" w:space="0" w:sz="4" w:themeColor="accent2" w:themeShade="95" w:val="single"/>
        <w:left w:color="732A29" w:space="0" w:sz="4" w:themeColor="accent2" w:themeShade="95" w:val="single"/>
        <w:bottom w:color="732A29" w:space="0" w:sz="4" w:themeColor="accent2" w:themeShade="95" w:val="single"/>
        <w:right w:color="732A29" w:space="0" w:sz="4" w:themeColor="accent2" w:themeShade="95" w:val="single"/>
        <w:insideH w:color="732A29" w:space="0" w:sz="4" w:themeColor="accent2" w:themeShade="95" w:val="single"/>
        <w:insideV w:color="732A29" w:space="0" w:sz="4" w:themeColor="accent2" w:themeShade="95" w:val="single"/>
      </w:tblBorders>
    </w:tblPr>
    <w:tblStylePr w:type="firstRow">
      <w:rPr>
        <w:rFonts w:ascii="Arial" w:hAnsi="Arial"/>
        <w:color w:val="F2F2F2"/>
        <w:sz w:val="22"/>
      </w:rPr>
      <w:tblPr/>
      <w:tcPr>
        <w:shd w:color="D99695" w:fill="D99695" w:themeColor="accent2" w:themeFill="accent2" w:themeFillTint="97" w:themeTint="97" w:val="clear"/>
      </w:tcPr>
    </w:tblStylePr>
    <w:tblStylePr w:type="lastRow">
      <w:rPr>
        <w:rFonts w:ascii="Arial" w:hAnsi="Arial"/>
        <w:color w:val="F2F2F2"/>
        <w:sz w:val="22"/>
      </w:rPr>
      <w:tblPr/>
      <w:tcPr>
        <w:shd w:color="D99695" w:fill="D99695" w:themeColor="accent2" w:themeFill="accent2" w:themeFillTint="97" w:themeTint="97" w:val="clear"/>
      </w:tcPr>
    </w:tblStylePr>
    <w:tblStylePr w:type="firstCol">
      <w:rPr>
        <w:rFonts w:ascii="Arial" w:hAnsi="Arial"/>
        <w:color w:val="F2F2F2"/>
        <w:sz w:val="22"/>
      </w:rPr>
      <w:tblPr/>
      <w:tcPr>
        <w:shd w:color="D99695" w:fill="D99695" w:themeColor="accent2" w:themeFill="accent2" w:themeFillTint="97" w:themeTint="97" w:val="clear"/>
      </w:tcPr>
    </w:tblStylePr>
    <w:tblStylePr w:type="lastCol">
      <w:rPr>
        <w:rFonts w:ascii="Arial" w:hAnsi="Arial"/>
        <w:color w:val="F2F2F2"/>
        <w:sz w:val="22"/>
      </w:rPr>
      <w:tblPr/>
      <w:tcPr>
        <w:shd w:color="D99695" w:fill="D99695" w:themeColor="accent2" w:themeFill="accent2" w:themeFillTint="97" w:themeTint="97" w:val="clear"/>
      </w:tcPr>
    </w:tblStylePr>
    <w:tblStylePr w:type="band1Vert">
      <w:rPr>
        <w:rFonts w:ascii="Arial" w:hAnsi="Arial"/>
        <w:color w:val="404040"/>
        <w:sz w:val="22"/>
      </w:rPr>
    </w:tblStylePr>
    <w:tblStylePr w:type="band2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StylePr>
    <w:tblStylePr w:type="band2Horz">
      <w:rPr>
        <w:rFonts w:ascii="Arial" w:hAnsi="Arial"/>
        <w:color w:val="404040"/>
        <w:sz w:val="22"/>
      </w:rPr>
      <w:tblPr/>
      <w:tcPr>
        <w:shd w:color="F2DCDC" w:fill="F2DCDC" w:themeColor="accent2" w:themeFill="accent2" w:themeFillTint="32" w:themeTint="32" w:val="clear"/>
      </w:tcPr>
    </w:tblStylePr>
  </w:style>
  <w:style w:customStyle="1" w:styleId="BorderedLined-Accent3" w:type="table">
    <w:name w:val="Bordered &amp; Lined - Accent 3"/>
    <w:basedOn w:val="TableNormal"/>
    <w:uiPriority w:val="99"/>
    <w:pPr>
      <w:spacing w:after="0"/>
    </w:pPr>
    <w:rPr>
      <w:color w:val="404040"/>
    </w:rPr>
    <w:tblPr>
      <w:tblStyleRowBandSize w:val="1"/>
      <w:tblStyleColBandSize w:val="1"/>
      <w:tblBorders>
        <w:top w:color="5B722E" w:space="0" w:sz="4" w:themeColor="accent3" w:themeShade="95" w:val="single"/>
        <w:left w:color="5B722E" w:space="0" w:sz="4" w:themeColor="accent3" w:themeShade="95" w:val="single"/>
        <w:bottom w:color="5B722E" w:space="0" w:sz="4" w:themeColor="accent3" w:themeShade="95" w:val="single"/>
        <w:right w:color="5B722E" w:space="0" w:sz="4" w:themeColor="accent3" w:themeShade="95" w:val="single"/>
        <w:insideH w:color="5B722E" w:space="0" w:sz="4" w:themeColor="accent3" w:themeShade="95" w:val="single"/>
        <w:insideV w:color="5B722E" w:space="0" w:sz="4" w:themeColor="accent3" w:themeShade="95" w:val="single"/>
      </w:tblBorders>
    </w:tblPr>
    <w:tblStylePr w:type="firstRow">
      <w:rPr>
        <w:rFonts w:ascii="Arial" w:hAnsi="Arial"/>
        <w:color w:val="F2F2F2"/>
        <w:sz w:val="22"/>
      </w:rPr>
      <w:tblPr/>
      <w:tcPr>
        <w:shd w:color="9ABB59" w:fill="9ABB59" w:themeColor="accent3" w:themeFill="accent3" w:themeFillTint="FE" w:themeTint="FE" w:val="clear"/>
      </w:tcPr>
    </w:tblStylePr>
    <w:tblStylePr w:type="lastRow">
      <w:rPr>
        <w:rFonts w:ascii="Arial" w:hAnsi="Arial"/>
        <w:color w:val="F2F2F2"/>
        <w:sz w:val="22"/>
      </w:rPr>
      <w:tblPr/>
      <w:tcPr>
        <w:shd w:color="9ABB59" w:fill="9ABB59" w:themeColor="accent3" w:themeFill="accent3" w:themeFillTint="FE" w:themeTint="FE" w:val="clear"/>
      </w:tcPr>
    </w:tblStylePr>
    <w:tblStylePr w:type="firstCol">
      <w:rPr>
        <w:rFonts w:ascii="Arial" w:hAnsi="Arial"/>
        <w:color w:val="F2F2F2"/>
        <w:sz w:val="22"/>
      </w:rPr>
      <w:tblPr/>
      <w:tcPr>
        <w:shd w:color="9ABB59" w:fill="9ABB59" w:themeColor="accent3" w:themeFill="accent3" w:themeFillTint="FE" w:themeTint="FE" w:val="clear"/>
      </w:tcPr>
    </w:tblStylePr>
    <w:tblStylePr w:type="lastCol">
      <w:rPr>
        <w:rFonts w:ascii="Arial" w:hAnsi="Arial"/>
        <w:color w:val="F2F2F2"/>
        <w:sz w:val="22"/>
      </w:rPr>
      <w:tblPr/>
      <w:tcPr>
        <w:shd w:color="9ABB59" w:fill="9ABB59" w:themeColor="accent3" w:themeFill="accent3" w:themeFillTint="FE" w:themeTint="FE" w:val="clear"/>
      </w:tcPr>
    </w:tblStylePr>
    <w:tblStylePr w:type="band1Vert">
      <w:rPr>
        <w:rFonts w:ascii="Arial" w:hAnsi="Arial"/>
        <w:color w:val="404040"/>
        <w:sz w:val="22"/>
      </w:rPr>
    </w:tblStylePr>
    <w:tblStylePr w:type="band2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EAF1DC" w:fill="EAF1DC" w:themeColor="accent3" w:themeFill="accent3" w:themeFillTint="34" w:themeTint="34" w:val="clear"/>
      </w:tcPr>
    </w:tblStylePr>
  </w:style>
  <w:style w:customStyle="1" w:styleId="BorderedLined-Accent4" w:type="table">
    <w:name w:val="Bordered &amp; Lined - Accent 4"/>
    <w:basedOn w:val="TableNormal"/>
    <w:uiPriority w:val="99"/>
    <w:pPr>
      <w:spacing w:after="0"/>
    </w:pPr>
    <w:rPr>
      <w:color w:val="404040"/>
    </w:rPr>
    <w:tblPr>
      <w:tblStyleRowBandSize w:val="1"/>
      <w:tblStyleColBandSize w:val="1"/>
      <w:tblBorders>
        <w:top w:color="4A395F" w:space="0" w:sz="4" w:themeColor="accent4" w:themeShade="95" w:val="single"/>
        <w:left w:color="4A395F" w:space="0" w:sz="4" w:themeColor="accent4" w:themeShade="95" w:val="single"/>
        <w:bottom w:color="4A395F" w:space="0" w:sz="4" w:themeColor="accent4" w:themeShade="95" w:val="single"/>
        <w:right w:color="4A395F" w:space="0" w:sz="4" w:themeColor="accent4" w:themeShade="95" w:val="single"/>
        <w:insideH w:color="4A395F" w:space="0" w:sz="4" w:themeColor="accent4" w:themeShade="95" w:val="single"/>
        <w:insideV w:color="4A395F" w:space="0" w:sz="4" w:themeColor="accent4" w:themeShade="95" w:val="single"/>
      </w:tblBorders>
    </w:tblPr>
    <w:tblStylePr w:type="firstRow">
      <w:rPr>
        <w:rFonts w:ascii="Arial" w:hAnsi="Arial"/>
        <w:color w:val="F2F2F2"/>
        <w:sz w:val="22"/>
      </w:rPr>
      <w:tblPr/>
      <w:tcPr>
        <w:shd w:color="B2A1C6" w:fill="B2A1C6" w:themeColor="accent4" w:themeFill="accent4" w:themeFillTint="9A" w:themeTint="9A" w:val="clear"/>
      </w:tcPr>
    </w:tblStylePr>
    <w:tblStylePr w:type="lastRow">
      <w:rPr>
        <w:rFonts w:ascii="Arial" w:hAnsi="Arial"/>
        <w:color w:val="F2F2F2"/>
        <w:sz w:val="22"/>
      </w:rPr>
      <w:tblPr/>
      <w:tcPr>
        <w:shd w:color="B2A1C6" w:fill="B2A1C6" w:themeColor="accent4" w:themeFill="accent4" w:themeFillTint="9A" w:themeTint="9A" w:val="clear"/>
      </w:tcPr>
    </w:tblStylePr>
    <w:tblStylePr w:type="firstCol">
      <w:rPr>
        <w:rFonts w:ascii="Arial" w:hAnsi="Arial"/>
        <w:color w:val="F2F2F2"/>
        <w:sz w:val="22"/>
      </w:rPr>
      <w:tblPr/>
      <w:tcPr>
        <w:shd w:color="B2A1C6" w:fill="B2A1C6" w:themeColor="accent4" w:themeFill="accent4" w:themeFillTint="9A" w:themeTint="9A" w:val="clear"/>
      </w:tcPr>
    </w:tblStylePr>
    <w:tblStylePr w:type="lastCol">
      <w:rPr>
        <w:rFonts w:ascii="Arial" w:hAnsi="Arial"/>
        <w:color w:val="F2F2F2"/>
        <w:sz w:val="22"/>
      </w:rPr>
      <w:tblPr/>
      <w:tcPr>
        <w:shd w:color="B2A1C6" w:fill="B2A1C6" w:themeColor="accent4" w:themeFill="accent4" w:themeFillTint="9A" w:themeTint="9A" w:val="clear"/>
      </w:tcPr>
    </w:tblStylePr>
    <w:tblStylePr w:type="band1Vert">
      <w:rPr>
        <w:rFonts w:ascii="Arial" w:hAnsi="Arial"/>
        <w:color w:val="404040"/>
        <w:sz w:val="22"/>
      </w:rPr>
    </w:tblStylePr>
    <w:tblStylePr w:type="band2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E5DFEC" w:fill="E5DFEC" w:themeColor="accent4" w:themeFill="accent4" w:themeFillTint="34" w:themeTint="34" w:val="clear"/>
      </w:tcPr>
    </w:tblStylePr>
  </w:style>
  <w:style w:customStyle="1" w:styleId="BorderedLined-Accent5" w:type="table">
    <w:name w:val="Bordered &amp; Lined - Accent 5"/>
    <w:basedOn w:val="TableNormal"/>
    <w:uiPriority w:val="99"/>
    <w:pPr>
      <w:spacing w:after="0"/>
    </w:pPr>
    <w:rPr>
      <w:color w:val="404040"/>
    </w:rPr>
    <w:tblPr>
      <w:tblStyleRowBandSize w:val="1"/>
      <w:tblStyleColBandSize w:val="1"/>
      <w:tblBorders>
        <w:top w:color="266779" w:space="0" w:sz="4" w:themeColor="accent5" w:themeShade="95" w:val="single"/>
        <w:left w:color="266779" w:space="0" w:sz="4" w:themeColor="accent5" w:themeShade="95" w:val="single"/>
        <w:bottom w:color="266779" w:space="0" w:sz="4" w:themeColor="accent5" w:themeShade="95" w:val="single"/>
        <w:right w:color="266779" w:space="0" w:sz="4" w:themeColor="accent5" w:themeShade="95" w:val="single"/>
        <w:insideH w:color="266779" w:space="0" w:sz="4" w:themeColor="accent5" w:themeShade="95" w:val="single"/>
        <w:insideV w:color="266779" w:space="0" w:sz="4" w:themeColor="accent5" w:themeShade="95" w:val="single"/>
      </w:tblBorders>
    </w:tblPr>
    <w:tblStylePr w:type="firstRow">
      <w:rPr>
        <w:rFonts w:ascii="Arial" w:hAnsi="Arial"/>
        <w:color w:val="F2F2F2"/>
        <w:sz w:val="22"/>
      </w:rPr>
      <w:tblPr/>
      <w:tcPr>
        <w:shd w:color="4BACC6" w:fill="4BACC6" w:themeColor="accent5" w:themeFill="accent5" w:val="clear"/>
      </w:tcPr>
    </w:tblStylePr>
    <w:tblStylePr w:type="lastRow">
      <w:rPr>
        <w:rFonts w:ascii="Arial" w:hAnsi="Arial"/>
        <w:color w:val="F2F2F2"/>
        <w:sz w:val="22"/>
      </w:rPr>
      <w:tblPr/>
      <w:tcPr>
        <w:shd w:color="4BACC6" w:fill="4BACC6" w:themeColor="accent5" w:themeFill="accent5" w:val="clear"/>
      </w:tcPr>
    </w:tblStylePr>
    <w:tblStylePr w:type="firstCol">
      <w:rPr>
        <w:rFonts w:ascii="Arial" w:hAnsi="Arial"/>
        <w:color w:val="F2F2F2"/>
        <w:sz w:val="22"/>
      </w:rPr>
      <w:tblPr/>
      <w:tcPr>
        <w:shd w:color="4BACC6" w:fill="4BACC6" w:themeColor="accent5" w:themeFill="accent5" w:val="clear"/>
      </w:tcPr>
    </w:tblStylePr>
    <w:tblStylePr w:type="lastCol">
      <w:rPr>
        <w:rFonts w:ascii="Arial" w:hAnsi="Arial"/>
        <w:color w:val="F2F2F2"/>
        <w:sz w:val="22"/>
      </w:rPr>
      <w:tblPr/>
      <w:tcPr>
        <w:shd w:color="4BACC6" w:fill="4BACC6" w:themeColor="accent5" w:themeFill="accent5" w:val="clear"/>
      </w:tcPr>
    </w:tblStylePr>
    <w:tblStylePr w:type="band1Vert">
      <w:rPr>
        <w:rFonts w:ascii="Arial" w:hAnsi="Arial"/>
        <w:color w:val="404040"/>
        <w:sz w:val="22"/>
      </w:rPr>
    </w:tblStylePr>
    <w:tblStylePr w:type="band2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DAEEF3" w:fill="DAEEF3" w:themeColor="accent5" w:themeFill="accent5" w:themeFillTint="34" w:themeTint="34" w:val="clear"/>
      </w:tcPr>
    </w:tblStylePr>
  </w:style>
  <w:style w:customStyle="1" w:styleId="BorderedLined-Accent6" w:type="table">
    <w:name w:val="Bordered &amp; Lined - Accent 6"/>
    <w:basedOn w:val="TableNormal"/>
    <w:uiPriority w:val="99"/>
    <w:pPr>
      <w:spacing w:after="0"/>
    </w:pPr>
    <w:rPr>
      <w:color w:val="404040"/>
    </w:rPr>
    <w:tblPr>
      <w:tblStyleRowBandSize w:val="1"/>
      <w:tblStyleColBandSize w:val="1"/>
      <w:tblBorders>
        <w:top w:color="B15407" w:space="0" w:sz="4" w:themeColor="accent6" w:themeShade="95" w:val="single"/>
        <w:left w:color="B15407" w:space="0" w:sz="4" w:themeColor="accent6" w:themeShade="95" w:val="single"/>
        <w:bottom w:color="B15407" w:space="0" w:sz="4" w:themeColor="accent6" w:themeShade="95" w:val="single"/>
        <w:right w:color="B15407" w:space="0" w:sz="4" w:themeColor="accent6" w:themeShade="95" w:val="single"/>
        <w:insideH w:color="B15407" w:space="0" w:sz="4" w:themeColor="accent6" w:themeShade="95" w:val="single"/>
        <w:insideV w:color="B15407" w:space="0" w:sz="4" w:themeColor="accent6" w:themeShade="95" w:val="single"/>
      </w:tblBorders>
    </w:tblPr>
    <w:tblStylePr w:type="firstRow">
      <w:rPr>
        <w:rFonts w:ascii="Arial" w:hAnsi="Arial"/>
        <w:color w:val="F2F2F2"/>
        <w:sz w:val="22"/>
      </w:rPr>
      <w:tblPr/>
      <w:tcPr>
        <w:shd w:color="F79646" w:fill="F79646" w:themeColor="accent6" w:themeFill="accent6" w:val="clear"/>
      </w:tcPr>
    </w:tblStylePr>
    <w:tblStylePr w:type="lastRow">
      <w:rPr>
        <w:rFonts w:ascii="Arial" w:hAnsi="Arial"/>
        <w:color w:val="F2F2F2"/>
        <w:sz w:val="22"/>
      </w:rPr>
      <w:tblPr/>
      <w:tcPr>
        <w:shd w:color="F79646" w:fill="F79646" w:themeColor="accent6" w:themeFill="accent6" w:val="clear"/>
      </w:tcPr>
    </w:tblStylePr>
    <w:tblStylePr w:type="firstCol">
      <w:rPr>
        <w:rFonts w:ascii="Arial" w:hAnsi="Arial"/>
        <w:color w:val="F2F2F2"/>
        <w:sz w:val="22"/>
      </w:rPr>
      <w:tblPr/>
      <w:tcPr>
        <w:shd w:color="F79646" w:fill="F79646" w:themeColor="accent6" w:themeFill="accent6" w:val="clear"/>
      </w:tcPr>
    </w:tblStylePr>
    <w:tblStylePr w:type="lastCol">
      <w:rPr>
        <w:rFonts w:ascii="Arial" w:hAnsi="Arial"/>
        <w:color w:val="F2F2F2"/>
        <w:sz w:val="22"/>
      </w:rPr>
      <w:tblPr/>
      <w:tcPr>
        <w:shd w:color="F79646" w:fill="F79646" w:themeColor="accent6" w:themeFill="accent6" w:val="clear"/>
      </w:tcPr>
    </w:tblStylePr>
    <w:tblStylePr w:type="band1Vert">
      <w:rPr>
        <w:rFonts w:ascii="Arial" w:hAnsi="Arial"/>
        <w:color w:val="404040"/>
        <w:sz w:val="22"/>
      </w:rPr>
    </w:tblStylePr>
    <w:tblStylePr w:type="band2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FDE9D8" w:fill="FDE9D8" w:themeColor="accent6" w:themeFill="accent6" w:themeFillTint="34" w:themeTint="34" w:val="clear"/>
      </w:tcPr>
    </w:tblStylePr>
  </w:style>
  <w:style w:customStyle="1" w:styleId="Bordered" w:type="table">
    <w:name w:val="Bordered"/>
    <w:basedOn w:val="TableNormal"/>
    <w:uiPriority w:val="99"/>
    <w:pPr>
      <w:spacing w:after="0"/>
    </w:pPr>
    <w:tblPr>
      <w:tblStyleRowBandSize w:val="1"/>
      <w:tblStyleColBandSize w:val="1"/>
      <w:tblBorders>
        <w:top w:color="D9D9D9" w:space="0" w:sz="4" w:themeColor="text1" w:themeTint="26" w:val="single"/>
        <w:left w:color="D9D9D9" w:space="0" w:sz="4" w:themeColor="text1" w:themeTint="26" w:val="single"/>
        <w:bottom w:color="D9D9D9" w:space="0" w:sz="4" w:themeColor="text1" w:themeTint="26" w:val="single"/>
        <w:right w:color="D9D9D9" w:space="0" w:sz="4" w:themeColor="text1" w:themeTint="26" w:val="single"/>
        <w:insideH w:color="D9D9D9" w:space="0" w:sz="4" w:themeColor="text1" w:themeTint="26" w:val="single"/>
        <w:insideV w:color="D9D9D9" w:space="0" w:sz="4" w:themeColor="text1" w:themeTint="26" w:val="single"/>
      </w:tblBorders>
    </w:tblPr>
    <w:tblStylePr w:type="firstRow">
      <w:rPr>
        <w:rFonts w:ascii="Arial" w:hAnsi="Arial"/>
        <w:color w:val="404040"/>
        <w:sz w:val="22"/>
      </w:rPr>
      <w:tblPr/>
      <w:tcPr>
        <w:tcBorders>
          <w:bottom w:color="7F7F7F" w:space="0" w:sz="12" w:themeColor="text1" w:themeTint="80" w:val="single"/>
        </w:tcBorders>
      </w:tcPr>
    </w:tblStylePr>
    <w:tblStylePr w:type="lastRow">
      <w:rPr>
        <w:rFonts w:ascii="Arial" w:hAnsi="Arial"/>
        <w:color w:val="404040"/>
        <w:sz w:val="22"/>
      </w:rPr>
      <w:tblPr/>
      <w:tcPr>
        <w:tcBorders>
          <w:top w:color="7F7F7F" w:space="0" w:sz="12" w:themeColor="text1" w:themeTint="80"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7F7F7F" w:space="0" w:sz="12" w:themeColor="text1" w:themeTint="80" w:val="single"/>
        </w:tcBorders>
      </w:tcPr>
    </w:tblStylePr>
    <w:tblStylePr w:type="band1Horz">
      <w:rPr>
        <w:rFonts w:ascii="Arial" w:hAnsi="Arial"/>
        <w:color w:val="404040"/>
        <w:sz w:val="22"/>
      </w:rPr>
      <w:tblPr/>
      <w:tcPr>
        <w:tcBorders>
          <w:top w:color="D9D9D9" w:space="0" w:sz="4" w:themeColor="text1" w:themeTint="26" w:val="single"/>
          <w:left w:color="D9D9D9" w:space="0" w:sz="4" w:themeColor="text1" w:themeTint="26" w:val="single"/>
          <w:bottom w:color="D9D9D9" w:space="0" w:sz="4" w:themeColor="text1" w:themeTint="26" w:val="single"/>
          <w:right w:color="D9D9D9" w:space="0" w:sz="4" w:themeColor="text1" w:themeTint="26" w:val="single"/>
        </w:tcBorders>
      </w:tcPr>
    </w:tblStylePr>
  </w:style>
  <w:style w:customStyle="1" w:styleId="Bordered-Accent1" w:type="table">
    <w:name w:val="Bordered - Accent 1"/>
    <w:basedOn w:val="TableNormal"/>
    <w:uiPriority w:val="99"/>
    <w:pPr>
      <w:spacing w:after="0"/>
    </w:pPr>
    <w:tblPr>
      <w:tblStyleRowBandSize w:val="1"/>
      <w:tblStyleColBandSize w:val="1"/>
      <w:tblBorders>
        <w:top w:color="B7CBE4" w:space="0" w:sz="4" w:themeColor="accent1" w:themeTint="67" w:val="single"/>
        <w:left w:color="B7CBE4" w:space="0" w:sz="4" w:themeColor="accent1" w:themeTint="67" w:val="single"/>
        <w:bottom w:color="B7CBE4" w:space="0" w:sz="4" w:themeColor="accent1" w:themeTint="67" w:val="single"/>
        <w:right w:color="B7CBE4" w:space="0" w:sz="4" w:themeColor="accent1" w:themeTint="67" w:val="single"/>
        <w:insideH w:color="B7CBE4" w:space="0" w:sz="4" w:themeColor="accent1" w:themeTint="67" w:val="single"/>
        <w:insideV w:color="B7CBE4" w:space="0" w:sz="4" w:themeColor="accent1" w:themeTint="67" w:val="single"/>
      </w:tblBorders>
    </w:tblPr>
    <w:tblStylePr w:type="firstRow">
      <w:rPr>
        <w:rFonts w:ascii="Arial" w:hAnsi="Arial"/>
        <w:color w:val="404040"/>
        <w:sz w:val="22"/>
      </w:rPr>
      <w:tblPr/>
      <w:tcPr>
        <w:tcBorders>
          <w:bottom w:color="4F81BD" w:space="0" w:sz="12" w:themeColor="accent1" w:val="single"/>
        </w:tcBorders>
      </w:tcPr>
    </w:tblStylePr>
    <w:tblStylePr w:type="lastRow">
      <w:rPr>
        <w:rFonts w:ascii="Arial" w:hAnsi="Arial"/>
        <w:color w:val="404040"/>
        <w:sz w:val="22"/>
      </w:rPr>
      <w:tblPr/>
      <w:tcPr>
        <w:tcBorders>
          <w:top w:color="4F81BD" w:space="0" w:sz="12" w:themeColor="accent1"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4F81BD" w:space="0" w:sz="12" w:themeColor="accent1" w:val="single"/>
        </w:tcBorders>
      </w:tcPr>
    </w:tblStylePr>
    <w:tblStylePr w:type="band1Horz">
      <w:rPr>
        <w:rFonts w:ascii="Arial" w:hAnsi="Arial"/>
        <w:color w:val="404040"/>
        <w:sz w:val="22"/>
      </w:rPr>
      <w:tblPr/>
      <w:tcPr>
        <w:tcBorders>
          <w:top w:color="B7CBE4" w:space="0" w:sz="4" w:themeColor="accent1" w:themeTint="67" w:val="single"/>
          <w:left w:color="B7CBE4" w:space="0" w:sz="4" w:themeColor="accent1" w:themeTint="67" w:val="single"/>
          <w:bottom w:color="B7CBE4" w:space="0" w:sz="4" w:themeColor="accent1" w:themeTint="67" w:val="single"/>
          <w:right w:color="B7CBE4" w:space="0" w:sz="4" w:themeColor="accent1" w:themeTint="67" w:val="single"/>
        </w:tcBorders>
      </w:tcPr>
    </w:tblStylePr>
  </w:style>
  <w:style w:customStyle="1" w:styleId="Bordered-Accent2" w:type="table">
    <w:name w:val="Bordered - Accent 2"/>
    <w:basedOn w:val="TableNormal"/>
    <w:uiPriority w:val="99"/>
    <w:pPr>
      <w:spacing w:after="0"/>
    </w:pPr>
    <w:tblPr>
      <w:tblStyleRowBandSize w:val="1"/>
      <w:tblStyleColBandSize w:val="1"/>
      <w:tblBorders>
        <w:top w:color="E5B7B6" w:space="0" w:sz="4" w:themeColor="accent2" w:themeTint="67" w:val="single"/>
        <w:left w:color="E5B7B6" w:space="0" w:sz="4" w:themeColor="accent2" w:themeTint="67" w:val="single"/>
        <w:bottom w:color="E5B7B6" w:space="0" w:sz="4" w:themeColor="accent2" w:themeTint="67" w:val="single"/>
        <w:right w:color="E5B7B6" w:space="0" w:sz="4" w:themeColor="accent2" w:themeTint="67" w:val="single"/>
        <w:insideH w:color="E5B7B6" w:space="0" w:sz="4" w:themeColor="accent2" w:themeTint="67" w:val="single"/>
        <w:insideV w:color="E5B7B6" w:space="0" w:sz="4" w:themeColor="accent2" w:themeTint="67" w:val="single"/>
      </w:tblBorders>
    </w:tblPr>
    <w:tblStylePr w:type="firstRow">
      <w:rPr>
        <w:rFonts w:ascii="Arial" w:hAnsi="Arial"/>
        <w:color w:val="404040"/>
        <w:sz w:val="22"/>
      </w:rPr>
      <w:tblPr/>
      <w:tcPr>
        <w:tcBorders>
          <w:bottom w:color="D99695" w:space="0" w:sz="12" w:themeColor="accent2" w:themeTint="97" w:val="single"/>
        </w:tcBorders>
      </w:tcPr>
    </w:tblStylePr>
    <w:tblStylePr w:type="lastRow">
      <w:rPr>
        <w:rFonts w:ascii="Arial" w:hAnsi="Arial"/>
        <w:color w:val="404040"/>
        <w:sz w:val="22"/>
      </w:rPr>
      <w:tblPr/>
      <w:tcPr>
        <w:tcBorders>
          <w:top w:color="D99695" w:space="0" w:sz="12" w:themeColor="accent2" w:themeTint="97"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D99695" w:space="0" w:sz="12" w:themeColor="accent2" w:themeTint="97" w:val="single"/>
        </w:tcBorders>
      </w:tcPr>
    </w:tblStylePr>
    <w:tblStylePr w:type="band1Horz">
      <w:rPr>
        <w:rFonts w:ascii="Arial" w:hAnsi="Arial"/>
        <w:color w:val="404040"/>
        <w:sz w:val="22"/>
      </w:rPr>
      <w:tblPr/>
      <w:tcPr>
        <w:tcBorders>
          <w:top w:color="E5B7B6" w:space="0" w:sz="4" w:themeColor="accent2" w:themeTint="67" w:val="single"/>
          <w:left w:color="E5B7B6" w:space="0" w:sz="4" w:themeColor="accent2" w:themeTint="67" w:val="single"/>
          <w:bottom w:color="E5B7B6" w:space="0" w:sz="4" w:themeColor="accent2" w:themeTint="67" w:val="single"/>
          <w:right w:color="E5B7B6" w:space="0" w:sz="4" w:themeColor="accent2" w:themeTint="67" w:val="single"/>
        </w:tcBorders>
      </w:tcPr>
    </w:tblStylePr>
  </w:style>
  <w:style w:customStyle="1" w:styleId="Bordered-Accent3" w:type="table">
    <w:name w:val="Bordered - Accent 3"/>
    <w:basedOn w:val="TableNormal"/>
    <w:uiPriority w:val="99"/>
    <w:pPr>
      <w:spacing w:after="0"/>
    </w:pPr>
    <w:tblPr>
      <w:tblStyleRowBandSize w:val="1"/>
      <w:tblStyleColBandSize w:val="1"/>
      <w:tblBorders>
        <w:top w:color="D6E3BB" w:space="0" w:sz="4" w:themeColor="accent3" w:themeTint="67" w:val="single"/>
        <w:left w:color="D6E3BB" w:space="0" w:sz="4" w:themeColor="accent3" w:themeTint="67" w:val="single"/>
        <w:bottom w:color="D6E3BB" w:space="0" w:sz="4" w:themeColor="accent3" w:themeTint="67" w:val="single"/>
        <w:right w:color="D6E3BB" w:space="0" w:sz="4" w:themeColor="accent3" w:themeTint="67" w:val="single"/>
        <w:insideH w:color="D6E3BB" w:space="0" w:sz="4" w:themeColor="accent3" w:themeTint="67" w:val="single"/>
        <w:insideV w:color="D6E3BB" w:space="0" w:sz="4" w:themeColor="accent3" w:themeTint="67" w:val="single"/>
      </w:tblBorders>
    </w:tblPr>
    <w:tblStylePr w:type="firstRow">
      <w:rPr>
        <w:rFonts w:ascii="Arial" w:hAnsi="Arial"/>
        <w:color w:val="404040"/>
        <w:sz w:val="22"/>
      </w:rPr>
      <w:tblPr/>
      <w:tcPr>
        <w:tcBorders>
          <w:bottom w:color="C3D69B" w:space="0" w:sz="12" w:themeColor="accent3" w:themeTint="98" w:val="single"/>
        </w:tcBorders>
      </w:tcPr>
    </w:tblStylePr>
    <w:tblStylePr w:type="lastRow">
      <w:rPr>
        <w:rFonts w:ascii="Arial" w:hAnsi="Arial"/>
        <w:color w:val="404040"/>
        <w:sz w:val="22"/>
      </w:rPr>
      <w:tblPr/>
      <w:tcPr>
        <w:tcBorders>
          <w:top w:color="C3D69B" w:space="0" w:sz="12" w:themeColor="accent3" w:themeTint="98"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C3D69B" w:space="0" w:sz="12" w:themeColor="accent3" w:themeTint="98" w:val="single"/>
        </w:tcBorders>
      </w:tcPr>
    </w:tblStylePr>
    <w:tblStylePr w:type="band1Horz">
      <w:rPr>
        <w:rFonts w:ascii="Arial" w:hAnsi="Arial"/>
        <w:color w:val="404040"/>
        <w:sz w:val="22"/>
      </w:rPr>
      <w:tblPr/>
      <w:tcPr>
        <w:tcBorders>
          <w:top w:color="D6E3BB" w:space="0" w:sz="4" w:themeColor="accent3" w:themeTint="67" w:val="single"/>
          <w:left w:color="D6E3BB" w:space="0" w:sz="4" w:themeColor="accent3" w:themeTint="67" w:val="single"/>
          <w:bottom w:color="D6E3BB" w:space="0" w:sz="4" w:themeColor="accent3" w:themeTint="67" w:val="single"/>
          <w:right w:color="D6E3BB" w:space="0" w:sz="4" w:themeColor="accent3" w:themeTint="67" w:val="single"/>
        </w:tcBorders>
      </w:tcPr>
    </w:tblStylePr>
  </w:style>
  <w:style w:customStyle="1" w:styleId="Bordered-Accent4" w:type="table">
    <w:name w:val="Bordered - Accent 4"/>
    <w:basedOn w:val="TableNormal"/>
    <w:uiPriority w:val="99"/>
    <w:pPr>
      <w:spacing w:after="0"/>
    </w:pPr>
    <w:tblPr>
      <w:tblStyleRowBandSize w:val="1"/>
      <w:tblStyleColBandSize w:val="1"/>
      <w:tblBorders>
        <w:top w:color="CBC0D9" w:space="0" w:sz="4" w:themeColor="accent4" w:themeTint="67" w:val="single"/>
        <w:left w:color="CBC0D9" w:space="0" w:sz="4" w:themeColor="accent4" w:themeTint="67" w:val="single"/>
        <w:bottom w:color="CBC0D9" w:space="0" w:sz="4" w:themeColor="accent4" w:themeTint="67" w:val="single"/>
        <w:right w:color="CBC0D9" w:space="0" w:sz="4" w:themeColor="accent4" w:themeTint="67" w:val="single"/>
        <w:insideH w:color="CBC0D9" w:space="0" w:sz="4" w:themeColor="accent4" w:themeTint="67" w:val="single"/>
        <w:insideV w:color="CBC0D9" w:space="0" w:sz="4" w:themeColor="accent4" w:themeTint="67" w:val="single"/>
      </w:tblBorders>
    </w:tblPr>
    <w:tblStylePr w:type="firstRow">
      <w:rPr>
        <w:rFonts w:ascii="Arial" w:hAnsi="Arial"/>
        <w:color w:val="404040"/>
        <w:sz w:val="22"/>
      </w:rPr>
      <w:tblPr/>
      <w:tcPr>
        <w:tcBorders>
          <w:bottom w:color="B2A1C6" w:space="0" w:sz="12" w:themeColor="accent4" w:themeTint="9A" w:val="single"/>
        </w:tcBorders>
      </w:tcPr>
    </w:tblStylePr>
    <w:tblStylePr w:type="lastRow">
      <w:rPr>
        <w:rFonts w:ascii="Arial" w:hAnsi="Arial"/>
        <w:color w:val="404040"/>
        <w:sz w:val="22"/>
      </w:rPr>
      <w:tblPr/>
      <w:tcPr>
        <w:tcBorders>
          <w:top w:color="B2A1C6" w:space="0" w:sz="12" w:themeColor="accent4" w:themeTint="9A"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B2A1C6" w:space="0" w:sz="12" w:themeColor="accent4" w:themeTint="9A" w:val="single"/>
        </w:tcBorders>
      </w:tcPr>
    </w:tblStylePr>
    <w:tblStylePr w:type="band1Horz">
      <w:rPr>
        <w:rFonts w:ascii="Arial" w:hAnsi="Arial"/>
        <w:color w:val="404040"/>
        <w:sz w:val="22"/>
      </w:rPr>
      <w:tblPr/>
      <w:tcPr>
        <w:tcBorders>
          <w:top w:color="CBC0D9" w:space="0" w:sz="4" w:themeColor="accent4" w:themeTint="67" w:val="single"/>
          <w:left w:color="CBC0D9" w:space="0" w:sz="4" w:themeColor="accent4" w:themeTint="67" w:val="single"/>
          <w:bottom w:color="CBC0D9" w:space="0" w:sz="4" w:themeColor="accent4" w:themeTint="67" w:val="single"/>
          <w:right w:color="CBC0D9" w:space="0" w:sz="4" w:themeColor="accent4" w:themeTint="67" w:val="single"/>
        </w:tcBorders>
      </w:tcPr>
    </w:tblStylePr>
  </w:style>
  <w:style w:customStyle="1" w:styleId="Bordered-Accent5" w:type="table">
    <w:name w:val="Bordered - Accent 5"/>
    <w:basedOn w:val="TableNormal"/>
    <w:uiPriority w:val="99"/>
    <w:pPr>
      <w:spacing w:after="0"/>
    </w:pPr>
    <w:tblPr>
      <w:tblStyleRowBandSize w:val="1"/>
      <w:tblStyleColBandSize w:val="1"/>
      <w:tblBorders>
        <w:top w:color="B6DDE8" w:space="0" w:sz="4" w:themeColor="accent5" w:themeTint="67" w:val="single"/>
        <w:left w:color="B6DDE8" w:space="0" w:sz="4" w:themeColor="accent5" w:themeTint="67" w:val="single"/>
        <w:bottom w:color="B6DDE8" w:space="0" w:sz="4" w:themeColor="accent5" w:themeTint="67" w:val="single"/>
        <w:right w:color="B6DDE8" w:space="0" w:sz="4" w:themeColor="accent5" w:themeTint="67" w:val="single"/>
        <w:insideH w:color="B6DDE8" w:space="0" w:sz="4" w:themeColor="accent5" w:themeTint="67" w:val="single"/>
        <w:insideV w:color="B6DDE8" w:space="0" w:sz="4" w:themeColor="accent5" w:themeTint="67" w:val="single"/>
      </w:tblBorders>
    </w:tblPr>
    <w:tblStylePr w:type="firstRow">
      <w:rPr>
        <w:rFonts w:ascii="Arial" w:hAnsi="Arial"/>
        <w:color w:val="404040"/>
        <w:sz w:val="22"/>
      </w:rPr>
      <w:tblPr/>
      <w:tcPr>
        <w:tcBorders>
          <w:bottom w:color="92CCDC" w:space="0" w:sz="12" w:themeColor="accent5" w:themeTint="9A" w:val="single"/>
        </w:tcBorders>
      </w:tcPr>
    </w:tblStylePr>
    <w:tblStylePr w:type="lastRow">
      <w:rPr>
        <w:rFonts w:ascii="Arial" w:hAnsi="Arial"/>
        <w:color w:val="404040"/>
        <w:sz w:val="22"/>
      </w:rPr>
      <w:tblPr/>
      <w:tcPr>
        <w:tcBorders>
          <w:top w:color="92CCDC" w:space="0" w:sz="12" w:themeColor="accent5" w:themeTint="9A"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92CCDC" w:space="0" w:sz="12" w:themeColor="accent5" w:themeTint="9A" w:val="single"/>
        </w:tcBorders>
      </w:tcPr>
    </w:tblStylePr>
    <w:tblStylePr w:type="band1Horz">
      <w:rPr>
        <w:rFonts w:ascii="Arial" w:hAnsi="Arial"/>
        <w:color w:val="404040"/>
        <w:sz w:val="22"/>
      </w:rPr>
      <w:tblPr/>
      <w:tcPr>
        <w:tcBorders>
          <w:top w:color="B6DDE8" w:space="0" w:sz="4" w:themeColor="accent5" w:themeTint="67" w:val="single"/>
          <w:left w:color="B6DDE8" w:space="0" w:sz="4" w:themeColor="accent5" w:themeTint="67" w:val="single"/>
          <w:bottom w:color="B6DDE8" w:space="0" w:sz="4" w:themeColor="accent5" w:themeTint="67" w:val="single"/>
          <w:right w:color="B6DDE8" w:space="0" w:sz="4" w:themeColor="accent5" w:themeTint="67" w:val="single"/>
        </w:tcBorders>
      </w:tcPr>
    </w:tblStylePr>
  </w:style>
  <w:style w:customStyle="1" w:styleId="Bordered-Accent6" w:type="table">
    <w:name w:val="Bordered - Accent 6"/>
    <w:basedOn w:val="TableNormal"/>
    <w:uiPriority w:val="99"/>
    <w:pPr>
      <w:spacing w:after="0"/>
    </w:pPr>
    <w:tblPr>
      <w:tblStyleRowBandSize w:val="1"/>
      <w:tblStyleColBandSize w:val="1"/>
      <w:tblBorders>
        <w:top w:color="FBD4B4" w:space="0" w:sz="4" w:themeColor="accent6" w:themeTint="67" w:val="single"/>
        <w:left w:color="FBD4B4" w:space="0" w:sz="4" w:themeColor="accent6" w:themeTint="67" w:val="single"/>
        <w:bottom w:color="FBD4B4" w:space="0" w:sz="4" w:themeColor="accent6" w:themeTint="67" w:val="single"/>
        <w:right w:color="FBD4B4" w:space="0" w:sz="4" w:themeColor="accent6" w:themeTint="67" w:val="single"/>
        <w:insideH w:color="FBD4B4" w:space="0" w:sz="4" w:themeColor="accent6" w:themeTint="67" w:val="single"/>
        <w:insideV w:color="FBD4B4" w:space="0" w:sz="4" w:themeColor="accent6" w:themeTint="67" w:val="single"/>
      </w:tblBorders>
    </w:tblPr>
    <w:tblStylePr w:type="firstRow">
      <w:rPr>
        <w:rFonts w:ascii="Arial" w:hAnsi="Arial"/>
        <w:color w:val="404040"/>
        <w:sz w:val="22"/>
      </w:rPr>
      <w:tblPr/>
      <w:tcPr>
        <w:tcBorders>
          <w:bottom w:color="FAC090" w:space="0" w:sz="12" w:themeColor="accent6" w:themeTint="98" w:val="single"/>
        </w:tcBorders>
      </w:tcPr>
    </w:tblStylePr>
    <w:tblStylePr w:type="lastRow">
      <w:rPr>
        <w:rFonts w:ascii="Arial" w:hAnsi="Arial"/>
        <w:color w:val="404040"/>
        <w:sz w:val="22"/>
      </w:rPr>
      <w:tblPr/>
      <w:tcPr>
        <w:tcBorders>
          <w:top w:color="FAC090" w:space="0" w:sz="12" w:themeColor="accent6" w:themeTint="98"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FAC090" w:space="0" w:sz="12" w:themeColor="accent6" w:themeTint="98" w:val="single"/>
        </w:tcBorders>
      </w:tcPr>
    </w:tblStylePr>
    <w:tblStylePr w:type="band1Horz">
      <w:rPr>
        <w:rFonts w:ascii="Arial" w:hAnsi="Arial"/>
        <w:color w:val="404040"/>
        <w:sz w:val="22"/>
      </w:rPr>
      <w:tblPr/>
      <w:tcPr>
        <w:tcBorders>
          <w:top w:color="FBD4B4" w:space="0" w:sz="4" w:themeColor="accent6" w:themeTint="67" w:val="single"/>
          <w:left w:color="FBD4B4" w:space="0" w:sz="4" w:themeColor="accent6" w:themeTint="67" w:val="single"/>
          <w:bottom w:color="FBD4B4" w:space="0" w:sz="4" w:themeColor="accent6" w:themeTint="67" w:val="single"/>
          <w:right w:color="FBD4B4" w:space="0" w:sz="4" w:themeColor="accent6" w:themeTint="67" w:val="single"/>
        </w:tcBorders>
      </w:tcPr>
    </w:tblStylePr>
  </w:style>
  <w:style w:customStyle="1" w:styleId="FootnoteTextChar" w:type="character">
    <w:name w:val="Footnote Text Char"/>
    <w:link w:val="FootnoteText"/>
    <w:uiPriority w:val="99"/>
    <w:rPr>
      <w:sz w:val="18"/>
    </w:rPr>
  </w:style>
  <w:style w:styleId="EndnoteText" w:type="paragraph">
    <w:name w:val="endnote text"/>
    <w:basedOn w:val="Normal"/>
    <w:link w:val="EndnoteTextChar"/>
    <w:uiPriority w:val="99"/>
    <w:semiHidden/>
    <w:unhideWhenUsed/>
    <w:pPr>
      <w:spacing w:after="0"/>
    </w:pPr>
    <w:rPr>
      <w:sz w:val="20"/>
    </w:rPr>
  </w:style>
  <w:style w:customStyle="1" w:styleId="EndnoteTextChar" w:type="character">
    <w:name w:val="Endnote Text Char"/>
    <w:link w:val="EndnoteText"/>
    <w:uiPriority w:val="99"/>
    <w:rPr>
      <w:sz w:val="20"/>
    </w:rPr>
  </w:style>
  <w:style w:styleId="EndnoteReference" w:type="character">
    <w:name w:val="endnote reference"/>
    <w:basedOn w:val="DefaultParagraphFont"/>
    <w:uiPriority w:val="99"/>
    <w:semiHidden/>
    <w:unhideWhenUsed/>
    <w:rPr>
      <w:vertAlign w:val="superscript"/>
    </w:rPr>
  </w:style>
  <w:style w:styleId="TOC1" w:type="paragraph">
    <w:name w:val="toc 1"/>
    <w:basedOn w:val="Normal"/>
    <w:next w:val="Normal"/>
    <w:uiPriority w:val="39"/>
    <w:unhideWhenUsed/>
    <w:pPr>
      <w:spacing w:after="57"/>
    </w:pPr>
  </w:style>
  <w:style w:styleId="TOC2" w:type="paragraph">
    <w:name w:val="toc 2"/>
    <w:basedOn w:val="Normal"/>
    <w:next w:val="Normal"/>
    <w:uiPriority w:val="39"/>
    <w:unhideWhenUsed/>
    <w:pPr>
      <w:spacing w:after="57"/>
      <w:ind w:left="283"/>
    </w:pPr>
  </w:style>
  <w:style w:styleId="TOC3" w:type="paragraph">
    <w:name w:val="toc 3"/>
    <w:basedOn w:val="Normal"/>
    <w:next w:val="Normal"/>
    <w:uiPriority w:val="39"/>
    <w:unhideWhenUsed/>
    <w:pPr>
      <w:spacing w:after="57"/>
      <w:ind w:left="567"/>
    </w:pPr>
  </w:style>
  <w:style w:styleId="TOC4" w:type="paragraph">
    <w:name w:val="toc 4"/>
    <w:basedOn w:val="Normal"/>
    <w:next w:val="Normal"/>
    <w:uiPriority w:val="39"/>
    <w:unhideWhenUsed/>
    <w:pPr>
      <w:spacing w:after="57"/>
      <w:ind w:left="850"/>
    </w:pPr>
  </w:style>
  <w:style w:styleId="TOC5" w:type="paragraph">
    <w:name w:val="toc 5"/>
    <w:basedOn w:val="Normal"/>
    <w:next w:val="Normal"/>
    <w:uiPriority w:val="39"/>
    <w:unhideWhenUsed/>
    <w:pPr>
      <w:spacing w:after="57"/>
      <w:ind w:left="1134"/>
    </w:pPr>
  </w:style>
  <w:style w:styleId="TOC6" w:type="paragraph">
    <w:name w:val="toc 6"/>
    <w:basedOn w:val="Normal"/>
    <w:next w:val="Normal"/>
    <w:uiPriority w:val="39"/>
    <w:unhideWhenUsed/>
    <w:pPr>
      <w:spacing w:after="57"/>
      <w:ind w:left="1417"/>
    </w:pPr>
  </w:style>
  <w:style w:styleId="TOC7" w:type="paragraph">
    <w:name w:val="toc 7"/>
    <w:basedOn w:val="Normal"/>
    <w:next w:val="Normal"/>
    <w:uiPriority w:val="39"/>
    <w:unhideWhenUsed/>
    <w:pPr>
      <w:spacing w:after="57"/>
      <w:ind w:left="1701"/>
    </w:pPr>
  </w:style>
  <w:style w:styleId="TOC8" w:type="paragraph">
    <w:name w:val="toc 8"/>
    <w:basedOn w:val="Normal"/>
    <w:next w:val="Normal"/>
    <w:uiPriority w:val="39"/>
    <w:unhideWhenUsed/>
    <w:pPr>
      <w:spacing w:after="57"/>
      <w:ind w:left="1984"/>
    </w:pPr>
  </w:style>
  <w:style w:styleId="TOC9" w:type="paragraph">
    <w:name w:val="toc 9"/>
    <w:basedOn w:val="Normal"/>
    <w:next w:val="Normal"/>
    <w:uiPriority w:val="39"/>
    <w:unhideWhenUsed/>
    <w:pPr>
      <w:spacing w:after="57"/>
      <w:ind w:left="2268"/>
    </w:pPr>
  </w:style>
  <w:style w:styleId="TableofFigures" w:type="paragraph">
    <w:name w:val="table of figures"/>
    <w:basedOn w:val="Normal"/>
    <w:next w:val="Normal"/>
    <w:uiPriority w:val="99"/>
    <w:unhideWhenUsed/>
    <w:pPr>
      <w:spacing w:after="0"/>
    </w:pPr>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qFormat/>
    <w:pPr>
      <w:keepNext/>
      <w:keepLines/>
      <w:spacing w:after="240" w:before="480"/>
      <w:jc w:val="center"/>
    </w:pPr>
    <w:rPr>
      <w:rFonts w:cs="Times New Roman" w:eastAsiaTheme="majorEastAsia"/>
      <w:b/>
      <w:bCs/>
    </w:rPr>
  </w:style>
  <w:style w:styleId="Subtitle" w:type="paragraph">
    <w:name w:val="Subtitle"/>
    <w:basedOn w:val="Title"/>
    <w:next w:val="BodyText"/>
    <w:link w:val="SubtitleChar"/>
    <w:qFormat/>
    <w:pPr>
      <w:spacing w:before="240"/>
    </w:pPr>
  </w:style>
  <w:style w:customStyle="1" w:styleId="Author" w:type="paragraph">
    <w:name w:val="Author"/>
    <w:next w:val="BodyText"/>
    <w:qFormat/>
    <w:rsid w:val="00676F1E"/>
    <w:pPr>
      <w:keepNext/>
      <w:keepLines/>
      <w:jc w:val="center"/>
    </w:pPr>
    <w:rPr>
      <w:rFonts w:ascii="Times New Roman" w:hAnsi="Times New Roman"/>
    </w:rPr>
  </w:style>
  <w:style w:styleId="Date" w:type="paragraph">
    <w:name w:val="Date"/>
    <w:next w:val="BodyText"/>
    <w:qFormat/>
    <w:rsid w:val="00676F1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rFonts w:cs="Times New Roman"/>
    </w:rPr>
  </w:style>
  <w:style w:styleId="Bibliography" w:type="paragraph">
    <w:name w:val="Bibliography"/>
    <w:basedOn w:val="Normal"/>
    <w:qFormat/>
    <w:rsid w:val="00676F1E"/>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link w:val="FootnoteTextChar"/>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000000" w:space="0" w:sz="4"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1"/>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1" w:type="character">
    <w:name w:val="Caption Char1"/>
    <w:basedOn w:val="DefaultParagraphFont"/>
    <w:link w:val="Caption"/>
  </w:style>
  <w:style w:customStyle="1" w:styleId="VerbatimChar" w:type="character">
    <w:name w:val="Verbatim Char"/>
    <w:basedOn w:val="CaptionChar1"/>
    <w:rPr>
      <w:rFonts w:ascii="Consolas" w:hAnsi="Consolas"/>
      <w:sz w:val="22"/>
    </w:rPr>
  </w:style>
  <w:style w:customStyle="1" w:styleId="SectionNumber" w:type="character">
    <w:name w:val="Section Number"/>
    <w:basedOn w:val="CaptionChar1"/>
  </w:style>
  <w:style w:styleId="FootnoteReference" w:type="character">
    <w:name w:val="footnote reference"/>
    <w:basedOn w:val="CaptionChar1"/>
    <w:rPr>
      <w:vertAlign w:val="superscript"/>
    </w:rPr>
  </w:style>
  <w:style w:styleId="Hyperlink" w:type="character">
    <w:name w:val="Hyperlink"/>
    <w:basedOn w:val="CaptionChar1"/>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76" Target="https://doi.org/10.1007/s11109-019-09539-8" TargetMode="External" /><Relationship Type="http://schemas.openxmlformats.org/officeDocument/2006/relationships/hyperlink" Id="rId71" Target="https://doi.org/10.1007/s11109-022-09798-y" TargetMode="External" /><Relationship Type="http://schemas.openxmlformats.org/officeDocument/2006/relationships/hyperlink" Id="rId144" Target="https://doi.org/10.1007/s11109-022-09814-1" TargetMode="External" /><Relationship Type="http://schemas.openxmlformats.org/officeDocument/2006/relationships/hyperlink" Id="rId64" Target="https://doi.org/10.1016/j.ejpoleco.2014.06.005" TargetMode="External" /><Relationship Type="http://schemas.openxmlformats.org/officeDocument/2006/relationships/hyperlink" Id="rId119" Target="https://doi.org/10.1016/j.jeem.2021.102550" TargetMode="External" /><Relationship Type="http://schemas.openxmlformats.org/officeDocument/2006/relationships/hyperlink" Id="rId55" Target="https://doi.org/10.1016/j.joep.2017.01.003" TargetMode="External" /><Relationship Type="http://schemas.openxmlformats.org/officeDocument/2006/relationships/hyperlink" Id="rId86" Target="https://doi.org/10.1017/S0003055409990104" TargetMode="External" /><Relationship Type="http://schemas.openxmlformats.org/officeDocument/2006/relationships/hyperlink" Id="rId142" Target="https://doi.org/10.1017/S1049096513000139" TargetMode="External" /><Relationship Type="http://schemas.openxmlformats.org/officeDocument/2006/relationships/hyperlink" Id="rId57" Target="https://doi.org/10.1017/XPS.2018.13" TargetMode="External" /><Relationship Type="http://schemas.openxmlformats.org/officeDocument/2006/relationships/hyperlink" Id="rId67" Target="https://doi.org/10.1037/0003-066X.36.2.129" TargetMode="External" /><Relationship Type="http://schemas.openxmlformats.org/officeDocument/2006/relationships/hyperlink" Id="rId123" Target="https://doi.org/10.1037/a0032124" TargetMode="External" /><Relationship Type="http://schemas.openxmlformats.org/officeDocument/2006/relationships/hyperlink" Id="rId84" Target="https://doi.org/10.1111/ajps.12053" TargetMode="External" /><Relationship Type="http://schemas.openxmlformats.org/officeDocument/2006/relationships/hyperlink" Id="rId69" Target="https://doi.org/10.1111/ajps.12243" TargetMode="External" /><Relationship Type="http://schemas.openxmlformats.org/officeDocument/2006/relationships/hyperlink" Id="rId138" Target="https://doi.org/10.1111/ajps.12339" TargetMode="External" /><Relationship Type="http://schemas.openxmlformats.org/officeDocument/2006/relationships/hyperlink" Id="rId99" Target="https://doi.org/10.1111/j.1467-9280.2005.01602.x" TargetMode="External" /><Relationship Type="http://schemas.openxmlformats.org/officeDocument/2006/relationships/hyperlink" Id="rId115" Target="https://doi.org/10.1111/j.1468-2508.2006.00381.x" TargetMode="External" /><Relationship Type="http://schemas.openxmlformats.org/officeDocument/2006/relationships/hyperlink" Id="rId90" Target="https://doi.org/10.1146/annurev-polisci-032211-212920" TargetMode="External" /><Relationship Type="http://schemas.openxmlformats.org/officeDocument/2006/relationships/hyperlink" Id="rId51" Target="https://doi.org/10.1146/annurev.polisci.10.050806.155344" TargetMode="External" /><Relationship Type="http://schemas.openxmlformats.org/officeDocument/2006/relationships/hyperlink" Id="rId121" Target="https://doi.org/10.1175/WCAS-D-22-0063.1" TargetMode="External" /><Relationship Type="http://schemas.openxmlformats.org/officeDocument/2006/relationships/hyperlink" Id="rId62" Target="https://doi.org/10.1177/0010414004273856" TargetMode="External" /><Relationship Type="http://schemas.openxmlformats.org/officeDocument/2006/relationships/hyperlink" Id="rId113" Target="https://doi.org/10.1177/0010414013520523" TargetMode="External" /><Relationship Type="http://schemas.openxmlformats.org/officeDocument/2006/relationships/hyperlink" Id="rId94" Target="https://doi.org/10.1177/2233865919888373" TargetMode="External" /><Relationship Type="http://schemas.openxmlformats.org/officeDocument/2006/relationships/hyperlink" Id="rId88" Target="https://doi.org/10.1561/100.00009057" TargetMode="External" /><Relationship Type="http://schemas.openxmlformats.org/officeDocument/2006/relationships/hyperlink" Id="rId59" Target="https://doi.org/10.2139/ssrn.2367702" TargetMode="External" /><Relationship Type="http://schemas.openxmlformats.org/officeDocument/2006/relationships/hyperlink" Id="rId74" Target="https://doi.org/10.2139/ssrn.3780405" TargetMode="External" /><Relationship Type="http://schemas.openxmlformats.org/officeDocument/2006/relationships/hyperlink" Id="rId49" Target="https://doi.org/10.2307/j.ctvc7770q" TargetMode="External" /><Relationship Type="http://schemas.openxmlformats.org/officeDocument/2006/relationships/hyperlink" Id="rId140" Target="https://escholarship.org/uc/item/8r683983" TargetMode="External" /><Relationship Type="http://schemas.openxmlformats.org/officeDocument/2006/relationships/hyperlink" Id="rId26" Target="https://github.com/laboratoriolide/ecuador-temperature-noaa" TargetMode="External" /><Relationship Type="http://schemas.openxmlformats.org/officeDocument/2006/relationships/hyperlink" Id="rId53" Target="https://ideas.repec.org//p/pra/mprapa/25736.html" TargetMode="External" /><Relationship Type="http://schemas.openxmlformats.org/officeDocument/2006/relationships/hyperlink" Id="rId135" Target="https://papers.ssrn.com/abstract=1901673" TargetMode="External" /><Relationship Type="http://schemas.openxmlformats.org/officeDocument/2006/relationships/hyperlink" Id="rId128" Target="https://psl.noaa.gov/data/gridded/data.cpc.globaltemp.html" TargetMode="External" /><Relationship Type="http://schemas.openxmlformats.org/officeDocument/2006/relationships/hyperlink" Id="rId80" Target="https://www.cambridge.org/core/elements/quality-control/8D48763B8D1EEC440BA728B3456F51D1" TargetMode="External" /><Relationship Type="http://schemas.openxmlformats.org/officeDocument/2006/relationships/hyperlink" Id="rId109" Target="https://www.crisisgroup.org/latin-america-caribbean/latin-america-wrestles-new-crime-wave" TargetMode="External" /><Relationship Type="http://schemas.openxmlformats.org/officeDocument/2006/relationships/hyperlink" Id="rId92" Target="https://www.ecuadorencifras.gob.ec/documentos/web-inec/Geografia_Estadistica/Micrositio_geoportal/index.html#clasificador-geog-dpa" TargetMode="External" /><Relationship Type="http://schemas.openxmlformats.org/officeDocument/2006/relationships/hyperlink" Id="rId97" Target="https://www.jstor.org/stable/24718723" TargetMode="External" /><Relationship Type="http://schemas.openxmlformats.org/officeDocument/2006/relationships/hyperlink" Id="rId132" Target="https://www.jstor.org/stable/24720831" TargetMode="External" /><Relationship Type="http://schemas.openxmlformats.org/officeDocument/2006/relationships/hyperlink" Id="rId117" Target="https://www.jstor.org/stable/25193798" TargetMode="External" /><Relationship Type="http://schemas.openxmlformats.org/officeDocument/2006/relationships/hyperlink" Id="rId82" Target="https://www.jstor.org/stable/25708619" TargetMode="External" /><Relationship Type="http://schemas.openxmlformats.org/officeDocument/2006/relationships/hyperlink" Id="rId102" Target="https://www.jstor.org/stable/586342" TargetMode="External" /><Relationship Type="http://schemas.openxmlformats.org/officeDocument/2006/relationships/hyperlink" Id="rId147" Target="https://www.jstor.org/stable/586547" TargetMode="External" /><Relationship Type="http://schemas.openxmlformats.org/officeDocument/2006/relationships/hyperlink" Id="rId111" Target="https://www.vanderbilt.edu/lapop/ab2014/AB2014_Comparative_Report_English_V3_Updated_040517_W.pdf" TargetMode="External" /><Relationship Type="http://schemas.openxmlformats.org/officeDocument/2006/relationships/hyperlink" Id="rId125" Target="https://www.vanderbilt.edu/lapop/ecuador/AB2018-19-Ecuador-Country-Report-Eng-V2-W-200903.pdf" TargetMode="External" /><Relationship Type="http://schemas.openxmlformats.org/officeDocument/2006/relationships/hyperlink" Id="rId105" Target="https://www.vanderbilt.edu/lapop/raw-data.php"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7/s11109-019-09539-8" TargetMode="External" /><Relationship Type="http://schemas.openxmlformats.org/officeDocument/2006/relationships/hyperlink" Id="rId71" Target="https://doi.org/10.1007/s11109-022-09798-y" TargetMode="External" /><Relationship Type="http://schemas.openxmlformats.org/officeDocument/2006/relationships/hyperlink" Id="rId144" Target="https://doi.org/10.1007/s11109-022-09814-1" TargetMode="External" /><Relationship Type="http://schemas.openxmlformats.org/officeDocument/2006/relationships/hyperlink" Id="rId64" Target="https://doi.org/10.1016/j.ejpoleco.2014.06.005" TargetMode="External" /><Relationship Type="http://schemas.openxmlformats.org/officeDocument/2006/relationships/hyperlink" Id="rId119" Target="https://doi.org/10.1016/j.jeem.2021.102550" TargetMode="External" /><Relationship Type="http://schemas.openxmlformats.org/officeDocument/2006/relationships/hyperlink" Id="rId55" Target="https://doi.org/10.1016/j.joep.2017.01.003" TargetMode="External" /><Relationship Type="http://schemas.openxmlformats.org/officeDocument/2006/relationships/hyperlink" Id="rId86" Target="https://doi.org/10.1017/S0003055409990104" TargetMode="External" /><Relationship Type="http://schemas.openxmlformats.org/officeDocument/2006/relationships/hyperlink" Id="rId142" Target="https://doi.org/10.1017/S1049096513000139" TargetMode="External" /><Relationship Type="http://schemas.openxmlformats.org/officeDocument/2006/relationships/hyperlink" Id="rId57" Target="https://doi.org/10.1017/XPS.2018.13" TargetMode="External" /><Relationship Type="http://schemas.openxmlformats.org/officeDocument/2006/relationships/hyperlink" Id="rId67" Target="https://doi.org/10.1037/0003-066X.36.2.129" TargetMode="External" /><Relationship Type="http://schemas.openxmlformats.org/officeDocument/2006/relationships/hyperlink" Id="rId123" Target="https://doi.org/10.1037/a0032124" TargetMode="External" /><Relationship Type="http://schemas.openxmlformats.org/officeDocument/2006/relationships/hyperlink" Id="rId84" Target="https://doi.org/10.1111/ajps.12053" TargetMode="External" /><Relationship Type="http://schemas.openxmlformats.org/officeDocument/2006/relationships/hyperlink" Id="rId69" Target="https://doi.org/10.1111/ajps.12243" TargetMode="External" /><Relationship Type="http://schemas.openxmlformats.org/officeDocument/2006/relationships/hyperlink" Id="rId138" Target="https://doi.org/10.1111/ajps.12339" TargetMode="External" /><Relationship Type="http://schemas.openxmlformats.org/officeDocument/2006/relationships/hyperlink" Id="rId99" Target="https://doi.org/10.1111/j.1467-9280.2005.01602.x" TargetMode="External" /><Relationship Type="http://schemas.openxmlformats.org/officeDocument/2006/relationships/hyperlink" Id="rId115" Target="https://doi.org/10.1111/j.1468-2508.2006.00381.x" TargetMode="External" /><Relationship Type="http://schemas.openxmlformats.org/officeDocument/2006/relationships/hyperlink" Id="rId90" Target="https://doi.org/10.1146/annurev-polisci-032211-212920" TargetMode="External" /><Relationship Type="http://schemas.openxmlformats.org/officeDocument/2006/relationships/hyperlink" Id="rId51" Target="https://doi.org/10.1146/annurev.polisci.10.050806.155344" TargetMode="External" /><Relationship Type="http://schemas.openxmlformats.org/officeDocument/2006/relationships/hyperlink" Id="rId121" Target="https://doi.org/10.1175/WCAS-D-22-0063.1" TargetMode="External" /><Relationship Type="http://schemas.openxmlformats.org/officeDocument/2006/relationships/hyperlink" Id="rId62" Target="https://doi.org/10.1177/0010414004273856" TargetMode="External" /><Relationship Type="http://schemas.openxmlformats.org/officeDocument/2006/relationships/hyperlink" Id="rId113" Target="https://doi.org/10.1177/0010414013520523" TargetMode="External" /><Relationship Type="http://schemas.openxmlformats.org/officeDocument/2006/relationships/hyperlink" Id="rId94" Target="https://doi.org/10.1177/2233865919888373" TargetMode="External" /><Relationship Type="http://schemas.openxmlformats.org/officeDocument/2006/relationships/hyperlink" Id="rId88" Target="https://doi.org/10.1561/100.00009057" TargetMode="External" /><Relationship Type="http://schemas.openxmlformats.org/officeDocument/2006/relationships/hyperlink" Id="rId59" Target="https://doi.org/10.2139/ssrn.2367702" TargetMode="External" /><Relationship Type="http://schemas.openxmlformats.org/officeDocument/2006/relationships/hyperlink" Id="rId74" Target="https://doi.org/10.2139/ssrn.3780405" TargetMode="External" /><Relationship Type="http://schemas.openxmlformats.org/officeDocument/2006/relationships/hyperlink" Id="rId49" Target="https://doi.org/10.2307/j.ctvc7770q" TargetMode="External" /><Relationship Type="http://schemas.openxmlformats.org/officeDocument/2006/relationships/hyperlink" Id="rId140" Target="https://escholarship.org/uc/item/8r683983" TargetMode="External" /><Relationship Type="http://schemas.openxmlformats.org/officeDocument/2006/relationships/hyperlink" Id="rId26" Target="https://github.com/laboratoriolide/ecuador-temperature-noaa" TargetMode="External" /><Relationship Type="http://schemas.openxmlformats.org/officeDocument/2006/relationships/hyperlink" Id="rId53" Target="https://ideas.repec.org//p/pra/mprapa/25736.html" TargetMode="External" /><Relationship Type="http://schemas.openxmlformats.org/officeDocument/2006/relationships/hyperlink" Id="rId135" Target="https://papers.ssrn.com/abstract=1901673" TargetMode="External" /><Relationship Type="http://schemas.openxmlformats.org/officeDocument/2006/relationships/hyperlink" Id="rId128" Target="https://psl.noaa.gov/data/gridded/data.cpc.globaltemp.html" TargetMode="External" /><Relationship Type="http://schemas.openxmlformats.org/officeDocument/2006/relationships/hyperlink" Id="rId80" Target="https://www.cambridge.org/core/elements/quality-control/8D48763B8D1EEC440BA728B3456F51D1" TargetMode="External" /><Relationship Type="http://schemas.openxmlformats.org/officeDocument/2006/relationships/hyperlink" Id="rId109" Target="https://www.crisisgroup.org/latin-america-caribbean/latin-america-wrestles-new-crime-wave" TargetMode="External" /><Relationship Type="http://schemas.openxmlformats.org/officeDocument/2006/relationships/hyperlink" Id="rId92" Target="https://www.ecuadorencifras.gob.ec/documentos/web-inec/Geografia_Estadistica/Micrositio_geoportal/index.html#clasificador-geog-dpa" TargetMode="External" /><Relationship Type="http://schemas.openxmlformats.org/officeDocument/2006/relationships/hyperlink" Id="rId97" Target="https://www.jstor.org/stable/24718723" TargetMode="External" /><Relationship Type="http://schemas.openxmlformats.org/officeDocument/2006/relationships/hyperlink" Id="rId132" Target="https://www.jstor.org/stable/24720831" TargetMode="External" /><Relationship Type="http://schemas.openxmlformats.org/officeDocument/2006/relationships/hyperlink" Id="rId117" Target="https://www.jstor.org/stable/25193798" TargetMode="External" /><Relationship Type="http://schemas.openxmlformats.org/officeDocument/2006/relationships/hyperlink" Id="rId82" Target="https://www.jstor.org/stable/25708619" TargetMode="External" /><Relationship Type="http://schemas.openxmlformats.org/officeDocument/2006/relationships/hyperlink" Id="rId102" Target="https://www.jstor.org/stable/586342" TargetMode="External" /><Relationship Type="http://schemas.openxmlformats.org/officeDocument/2006/relationships/hyperlink" Id="rId147" Target="https://www.jstor.org/stable/586547" TargetMode="External" /><Relationship Type="http://schemas.openxmlformats.org/officeDocument/2006/relationships/hyperlink" Id="rId111" Target="https://www.vanderbilt.edu/lapop/ab2014/AB2014_Comparative_Report_English_V3_Updated_040517_W.pdf" TargetMode="External" /><Relationship Type="http://schemas.openxmlformats.org/officeDocument/2006/relationships/hyperlink" Id="rId125" Target="https://www.vanderbilt.edu/lapop/ecuador/AB2018-19-Ecuador-Country-Report-Eng-V2-W-200903.pdf" TargetMode="External" /><Relationship Type="http://schemas.openxmlformats.org/officeDocument/2006/relationships/hyperlink" Id="rId105" Target="https://www.vanderbilt.edu/lapop/raw-data.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67</Words>
  <Characters>385</Characters>
  <Application>Microsoft Office Word</Application>
  <DocSecurity>0</DocSecurity>
  <Lines>3</Lines>
  <Paragraphs>1</Paragraphs>
  <ScaleCrop>false</ScaleCrop>
  <Company/>
  <LinksUpToDate>false</LinksUpToDate>
  <CharactersWithSpaces>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2024-03-19T10:26:49Z</dcterms:created>
  <dcterms:modified xsi:type="dcterms:W3CDTF">2024-03-19T10:26:49Z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../paper-text/apa7_normal.csl</vt:lpwstr>
  </property>
  <property fmtid="{D5CDD505-2E9C-101B-9397-08002B2CF9AE}" pid="5" name="fig-cap-location">
    <vt:lpwstr>top</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knitr">
    <vt:lpwstr/>
  </property>
  <property fmtid="{D5CDD505-2E9C-101B-9397-08002B2CF9AE}" pid="10" name="labels">
    <vt:lpwstr/>
  </property>
  <property fmtid="{D5CDD505-2E9C-101B-9397-08002B2CF9AE}" pid="11" name="nocite">
    <vt:lpwstr>@*</vt:lpwstr>
  </property>
  <property fmtid="{D5CDD505-2E9C-101B-9397-08002B2CF9AE}" pid="12" name="output-dir">
    <vt:lpwstr>/paper-text/sections/output</vt:lpwstr>
  </property>
  <property fmtid="{D5CDD505-2E9C-101B-9397-08002B2CF9AE}" pid="13" name="suppress-bibliography">
    <vt:lpwstr>False</vt:lpwstr>
  </property>
  <property fmtid="{D5CDD505-2E9C-101B-9397-08002B2CF9AE}" pid="14" name="tbl-cap-location">
    <vt:lpwstr>top</vt:lpwstr>
  </property>
  <property fmtid="{D5CDD505-2E9C-101B-9397-08002B2CF9AE}" pid="15" name="toc-title">
    <vt:lpwstr>Table of contents</vt:lpwstr>
  </property>
</Properties>
</file>