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rPr/>
      </w:pPr>
      <w:r>
        <w:rPr>
          <w:rFonts w:eastAsia="Arial" w:cs="Arial"/>
          <w:b/>
          <w:bCs/>
          <w:color w:val="1F3864"/>
          <w:sz w:val="52"/>
          <w:szCs w:val="52"/>
        </w:rPr>
        <w:t>PrivateFin</w:t>
      </w:r>
    </w:p>
    <w:p>
      <w:pPr>
        <w:pStyle w:val="Normal"/>
        <w:spacing w:before="0" w:after="80"/>
        <w:rPr/>
      </w:pPr>
      <w:r>
        <w:rPr>
          <w:rFonts w:eastAsia="Arial" w:cs="Arial"/>
          <w:i/>
          <w:iCs/>
          <w:color w:val="2E5A9B"/>
          <w:sz w:val="28"/>
          <w:szCs w:val="28"/>
        </w:rPr>
        <w:t>A Privacy-First Explainable Financial Advisory System</w:t>
      </w:r>
    </w:p>
    <w:p>
      <w:pPr>
        <w:pStyle w:val="Normal"/>
        <w:pBdr>
          <w:bottom w:val="single" w:sz="6" w:space="0" w:color="1F3864"/>
        </w:pBdr>
        <w:spacing w:before="0" w:after="240"/>
        <w:rPr/>
      </w:pPr>
      <w:r>
        <w:rPr>
          <w:rFonts w:eastAsia="Arial" w:cs="Arial"/>
          <w:color w:val="555555"/>
          <w:sz w:val="20"/>
          <w:szCs w:val="20"/>
        </w:rPr>
        <w:t>Topic 6 — Implementation Prototype Report  |  University of London  |  Department of Computer Science</w:t>
      </w:r>
    </w:p>
    <w:p>
      <w:pPr>
        <w:pStyle w:val="Normal"/>
        <w:spacing w:before="80" w:after="0"/>
        <w:rPr/>
      </w:pPr>
      <w:r>
        <w:rPr/>
      </w:r>
    </w:p>
    <w:p>
      <w:pPr>
        <w:pStyle w:val="Heading1"/>
        <w:spacing w:before="340" w:after="120"/>
        <w:rPr/>
      </w:pPr>
      <w:r>
        <w:rPr>
          <w:rFonts w:eastAsia="Arial" w:cs="Arial" w:ascii="Arial" w:hAnsi="Arial"/>
          <w:b/>
          <w:bCs/>
          <w:color w:val="1F3864"/>
          <w:sz w:val="28"/>
          <w:szCs w:val="28"/>
        </w:rPr>
        <w:t>1. Template Identification</w:t>
      </w:r>
    </w:p>
    <w:p>
      <w:pPr>
        <w:pStyle w:val="Normal"/>
        <w:spacing w:before="80" w:after="80"/>
        <w:rPr/>
      </w:pPr>
      <w:r>
        <w:rPr>
          <w:rFonts w:eastAsia="Arial" w:cs="Arial"/>
          <w:sz w:val="22"/>
          <w:szCs w:val="22"/>
        </w:rPr>
        <w:t xml:space="preserve">This report documents the Topic 6 prototype implementation of </w:t>
      </w:r>
      <w:r>
        <w:rPr>
          <w:rFonts w:eastAsia="Arial" w:cs="Arial"/>
          <w:b/>
          <w:bCs/>
          <w:sz w:val="22"/>
          <w:szCs w:val="22"/>
        </w:rPr>
        <w:t>PrivateFin</w:t>
      </w:r>
      <w:r>
        <w:rPr>
          <w:rFonts w:eastAsia="Arial" w:cs="Arial"/>
          <w:sz w:val="22"/>
          <w:szCs w:val="22"/>
        </w:rPr>
        <w:t xml:space="preserve">, developed under </w:t>
      </w:r>
      <w:r>
        <w:rPr>
          <w:rFonts w:eastAsia="Arial" w:cs="Arial"/>
          <w:b/>
          <w:bCs/>
          <w:sz w:val="22"/>
          <w:szCs w:val="22"/>
        </w:rPr>
        <w:t>Template: CM3020 Artificial Intelligence — Project Idea 2: Financial Advisor Bot</w:t>
      </w:r>
      <w:r>
        <w:rPr>
          <w:rFonts w:eastAsia="Arial" w:cs="Arial"/>
          <w:sz w:val="22"/>
          <w:szCs w:val="22"/>
        </w:rPr>
        <w:t>, as specified in the project guidelines issued by the University of London Department of Computer Science. The prototype directly realises the four-layer pipeline architecture formalised in the Topic 4 Design Report (</w:t>
      </w:r>
      <w:r>
        <w:rPr>
          <w:rFonts w:eastAsia="Arial" w:cs="Arial"/>
          <w:i/>
          <w:iCs/>
          <w:sz w:val="22"/>
          <w:szCs w:val="22"/>
        </w:rPr>
        <w:t>PrivateFin: Project Design Document</w:t>
      </w:r>
      <w:r>
        <w:rPr>
          <w:rFonts w:eastAsia="Arial" w:cs="Arial"/>
          <w:sz w:val="22"/>
          <w:szCs w:val="22"/>
        </w:rPr>
        <w:t>) and constitutes a fully functional, end-to-end working system at the Topic 6 milestone stage.</w:t>
      </w:r>
    </w:p>
    <w:p>
      <w:pPr>
        <w:pStyle w:val="Normal"/>
        <w:spacing w:before="100" w:after="0"/>
        <w:rPr/>
      </w:pPr>
      <w:r>
        <w:rPr/>
      </w:r>
    </w:p>
    <w:p>
      <w:pPr>
        <w:pStyle w:val="Heading1"/>
        <w:spacing w:before="340" w:after="120"/>
        <w:rPr/>
      </w:pPr>
      <w:r>
        <w:rPr>
          <w:rFonts w:eastAsia="Arial" w:cs="Arial" w:ascii="Arial" w:hAnsi="Arial"/>
          <w:b/>
          <w:bCs/>
          <w:color w:val="1F3864"/>
          <w:sz w:val="28"/>
          <w:szCs w:val="28"/>
        </w:rPr>
        <w:t>2. Project Overview</w:t>
      </w:r>
    </w:p>
    <w:p>
      <w:pPr>
        <w:pStyle w:val="Normal"/>
        <w:spacing w:before="80" w:after="80"/>
        <w:rPr/>
      </w:pPr>
      <w:r>
        <w:rPr>
          <w:rFonts w:eastAsia="Arial" w:cs="Arial"/>
          <w:b/>
          <w:bCs/>
          <w:sz w:val="22"/>
          <w:szCs w:val="22"/>
        </w:rPr>
        <w:t>PrivateFin</w:t>
      </w:r>
      <w:r>
        <w:rPr>
          <w:rFonts w:eastAsia="Arial" w:cs="Arial"/>
          <w:sz w:val="22"/>
          <w:szCs w:val="22"/>
        </w:rPr>
        <w:t xml:space="preserve"> is a locally-executed, explainable AI financial advisory application targeting retail and novice investors. The system generates structured, metric-anchored investment recommendations using Meta’s </w:t>
      </w:r>
      <w:r>
        <w:rPr>
          <w:rFonts w:eastAsia="Arial" w:cs="Arial"/>
          <w:b/>
          <w:bCs/>
          <w:sz w:val="22"/>
          <w:szCs w:val="22"/>
        </w:rPr>
        <w:t>Llama 3</w:t>
      </w:r>
      <w:r>
        <w:rPr>
          <w:rFonts w:eastAsia="Arial" w:cs="Arial"/>
          <w:sz w:val="22"/>
          <w:szCs w:val="22"/>
        </w:rPr>
        <w:t xml:space="preserve"> large language model, served entirely on-device via </w:t>
      </w:r>
      <w:r>
        <w:rPr>
          <w:rFonts w:eastAsia="Arial" w:cs="Arial"/>
          <w:b/>
          <w:bCs/>
          <w:sz w:val="22"/>
          <w:szCs w:val="22"/>
        </w:rPr>
        <w:t>Ollama</w:t>
      </w:r>
      <w:r>
        <w:rPr>
          <w:rFonts w:eastAsia="Arial" w:cs="Arial"/>
          <w:sz w:val="22"/>
          <w:szCs w:val="22"/>
        </w:rPr>
        <w:t xml:space="preserve"> on Apple M1 hardware. A core design principle is </w:t>
      </w:r>
      <w:r>
        <w:rPr>
          <w:rFonts w:eastAsia="Arial" w:cs="Arial"/>
          <w:b/>
          <w:bCs/>
          <w:sz w:val="22"/>
          <w:szCs w:val="22"/>
        </w:rPr>
        <w:t>Zero Data Egress</w:t>
      </w:r>
      <w:r>
        <w:rPr>
          <w:rFonts w:eastAsia="Arial" w:cs="Arial"/>
          <w:sz w:val="22"/>
          <w:szCs w:val="22"/>
        </w:rPr>
        <w:t xml:space="preserve">: no personal financial query data is transmitted to external servers at any point during operation. Every recommendation is accompanied by a mandatory Structured Chain-of-Thought (CoT) reasoning trace — following the </w:t>
      </w:r>
      <w:r>
        <w:rPr>
          <w:rFonts w:eastAsia="Arial" w:cs="Arial"/>
          <w:i/>
          <w:iCs/>
          <w:sz w:val="22"/>
          <w:szCs w:val="22"/>
        </w:rPr>
        <w:t>Observe → Interpret → Infer → Recommend</w:t>
      </w:r>
      <w:r>
        <w:rPr>
          <w:rFonts w:eastAsia="Arial" w:cs="Arial"/>
          <w:sz w:val="22"/>
          <w:szCs w:val="22"/>
        </w:rPr>
        <w:t xml:space="preserve"> scaffold — ensuring compliance with the EU AI Act (2024) Article 13 and GDPR Articles 5, 22, and 25.</w:t>
      </w:r>
    </w:p>
    <w:p>
      <w:pPr>
        <w:pStyle w:val="Normal"/>
        <w:spacing w:before="80" w:after="80"/>
        <w:rPr/>
      </w:pPr>
      <w:r>
        <w:rPr>
          <w:rFonts w:eastAsia="Arial" w:cs="Arial"/>
          <w:sz w:val="22"/>
          <w:szCs w:val="22"/>
        </w:rPr>
        <w:t xml:space="preserve">The broader research context, established in the Topic 3 Literature Review, identifies a </w:t>
      </w:r>
      <w:r>
        <w:rPr>
          <w:rFonts w:eastAsia="Arial" w:cs="Arial"/>
          <w:i/>
          <w:iCs/>
          <w:sz w:val="22"/>
          <w:szCs w:val="22"/>
        </w:rPr>
        <w:t>Transparency-Privacy Gap</w:t>
      </w:r>
      <w:r>
        <w:rPr>
          <w:rFonts w:eastAsia="Arial" w:cs="Arial"/>
          <w:sz w:val="22"/>
          <w:szCs w:val="22"/>
        </w:rPr>
        <w:t xml:space="preserve"> in existing financial AI systems: dominant solutions such as BloombergGPT are high-performance but proprietary, cloud-dependent, and produce no auditable reasoning traces; open-source alternatives such as FinGPT remain cloud-reliant at inference time. PrivateFin occupies the gap identified in that review by integrating local LLM inference, deterministic quantitative grounding, and structured CoT explainability in a single architecture.</w:t>
      </w:r>
    </w:p>
    <w:p>
      <w:pPr>
        <w:pStyle w:val="Heading2"/>
        <w:spacing w:before="240" w:after="80"/>
        <w:rPr/>
      </w:pPr>
      <w:r>
        <w:rPr>
          <w:rFonts w:eastAsia="Arial" w:cs="Arial" w:ascii="Arial" w:hAnsi="Arial"/>
          <w:b/>
          <w:bCs/>
          <w:color w:val="2E5A9B"/>
          <w:sz w:val="24"/>
          <w:szCs w:val="24"/>
        </w:rPr>
        <w:t>2.1 How This Prototype Fits into the Final Product</w:t>
      </w:r>
    </w:p>
    <w:p>
      <w:pPr>
        <w:pStyle w:val="Normal"/>
        <w:spacing w:before="80" w:after="80"/>
        <w:rPr/>
      </w:pPr>
      <w:r>
        <w:rPr>
          <w:rFonts w:eastAsia="Arial" w:cs="Arial"/>
          <w:sz w:val="22"/>
          <w:szCs w:val="22"/>
        </w:rPr>
        <w:t>At the Topic 6 milestone, the prototype implements the complete four-layer pipeline in a working, interactive state. All layers — data ingestion, indicator computation, prompt construction, and local LLM inference — are operational and wired together through a Streamlit user interface. This constitutes a demonstrable end-to-end system rather than a partial scaffold. The remaining development work for Topics 7 and beyond centres on evaluation rigor (formal unit testing against TA-Lib reference values, user study, and regulatory compliance audit), performance optimisation (caching, asynchronous fetching), and report writing rather than further architectural construction.</w:t>
      </w:r>
    </w:p>
    <w:p>
      <w:pPr>
        <w:pStyle w:val="Normal"/>
        <w:spacing w:before="100" w:after="0"/>
        <w:rPr/>
      </w:pPr>
      <w:r>
        <w:rPr/>
      </w:r>
    </w:p>
    <w:p>
      <w:pPr>
        <w:pStyle w:val="Heading1"/>
        <w:spacing w:before="340" w:after="120"/>
        <w:rPr/>
      </w:pPr>
      <w:r>
        <w:rPr>
          <w:rFonts w:eastAsia="Arial" w:cs="Arial" w:ascii="Arial" w:hAnsi="Arial"/>
          <w:b/>
          <w:bCs/>
          <w:color w:val="1F3864"/>
          <w:sz w:val="28"/>
          <w:szCs w:val="28"/>
        </w:rPr>
        <w:t>3. Prototype Features</w:t>
      </w:r>
    </w:p>
    <w:p>
      <w:pPr>
        <w:pStyle w:val="Heading2"/>
        <w:spacing w:before="240" w:after="80"/>
        <w:rPr/>
      </w:pPr>
      <w:r>
        <w:rPr>
          <w:rFonts w:eastAsia="Arial" w:cs="Arial" w:ascii="Arial" w:hAnsi="Arial"/>
          <w:b/>
          <w:bCs/>
          <w:color w:val="2E5A9B"/>
          <w:sz w:val="24"/>
          <w:szCs w:val="24"/>
        </w:rPr>
        <w:t>3.1 Dynamic Ticker and Date Range Selection</w:t>
      </w:r>
    </w:p>
    <w:p>
      <w:pPr>
        <w:pStyle w:val="Normal"/>
        <w:spacing w:before="80" w:after="80"/>
        <w:rPr/>
      </w:pPr>
      <w:r>
        <w:rPr>
          <w:rFonts w:eastAsia="Arial" w:cs="Arial"/>
          <w:sz w:val="22"/>
          <w:szCs w:val="22"/>
        </w:rPr>
        <w:t xml:space="preserve">Users may query any valid equity ticker symbol (e.g. </w:t>
      </w:r>
      <w:r>
        <w:rPr>
          <w:rFonts w:eastAsia="Courier New" w:cs="Courier New" w:ascii="Courier New" w:hAnsi="Courier New"/>
          <w:color w:val="1F3864"/>
          <w:sz w:val="20"/>
          <w:szCs w:val="20"/>
        </w:rPr>
        <w:t>AAPL</w:t>
      </w:r>
      <w:r>
        <w:rPr>
          <w:rFonts w:eastAsia="Arial" w:cs="Arial"/>
          <w:sz w:val="22"/>
          <w:szCs w:val="22"/>
        </w:rPr>
        <w:t xml:space="preserve">, </w:t>
      </w:r>
      <w:r>
        <w:rPr>
          <w:rFonts w:eastAsia="Courier New" w:cs="Courier New" w:ascii="Courier New" w:hAnsi="Courier New"/>
          <w:color w:val="1F3864"/>
          <w:sz w:val="20"/>
          <w:szCs w:val="20"/>
        </w:rPr>
        <w:t>TSLA</w:t>
      </w:r>
      <w:r>
        <w:rPr>
          <w:rFonts w:eastAsia="Arial" w:cs="Arial"/>
          <w:sz w:val="22"/>
          <w:szCs w:val="22"/>
        </w:rPr>
        <w:t xml:space="preserve">, </w:t>
      </w:r>
      <w:r>
        <w:rPr>
          <w:rFonts w:eastAsia="Courier New" w:cs="Courier New" w:ascii="Courier New" w:hAnsi="Courier New"/>
          <w:color w:val="1F3864"/>
          <w:sz w:val="20"/>
          <w:szCs w:val="20"/>
        </w:rPr>
        <w:t>MSFT</w:t>
      </w:r>
      <w:r>
        <w:rPr>
          <w:rFonts w:eastAsia="Arial" w:cs="Arial"/>
          <w:sz w:val="22"/>
          <w:szCs w:val="22"/>
        </w:rPr>
        <w:t>) via a sidebar text input, with configurable start and end dates. The system validates that the start date precedes the end date and displays a user-facing error message if not.</w:t>
      </w:r>
    </w:p>
    <w:p>
      <w:pPr>
        <w:pStyle w:val="Heading2"/>
        <w:spacing w:before="240" w:after="80"/>
        <w:rPr/>
      </w:pPr>
      <w:r>
        <w:rPr>
          <w:rFonts w:eastAsia="Arial" w:cs="Arial" w:ascii="Arial" w:hAnsi="Arial"/>
          <w:b/>
          <w:bCs/>
          <w:color w:val="2E5A9B"/>
          <w:sz w:val="24"/>
          <w:szCs w:val="24"/>
        </w:rPr>
        <w:t>3.2 Live OHLCV Data Ingestion</w:t>
      </w:r>
    </w:p>
    <w:p>
      <w:pPr>
        <w:pStyle w:val="Normal"/>
        <w:spacing w:before="80" w:after="80"/>
        <w:rPr/>
      </w:pPr>
      <w:r>
        <w:rPr>
          <w:rFonts w:eastAsia="Arial" w:cs="Arial"/>
          <w:sz w:val="22"/>
          <w:szCs w:val="22"/>
        </w:rPr>
        <w:t xml:space="preserve">Historical Open-High-Low-Close-Volume (OHLCV) data is retrieved from Yahoo Finance via the </w:t>
      </w:r>
      <w:r>
        <w:rPr>
          <w:rFonts w:eastAsia="Courier New" w:cs="Courier New" w:ascii="Courier New" w:hAnsi="Courier New"/>
          <w:color w:val="1F3864"/>
          <w:sz w:val="20"/>
          <w:szCs w:val="20"/>
        </w:rPr>
        <w:t>yfinance</w:t>
      </w:r>
      <w:r>
        <w:rPr>
          <w:rFonts w:eastAsia="Arial" w:cs="Arial"/>
          <w:sz w:val="22"/>
          <w:szCs w:val="22"/>
        </w:rPr>
        <w:t xml:space="preserve"> library without API key registration, preserving Privacy by Design. Data is persisted locally to a CSV file in the </w:t>
      </w:r>
      <w:r>
        <w:rPr>
          <w:rFonts w:eastAsia="Courier New" w:cs="Courier New" w:ascii="Courier New" w:hAnsi="Courier New"/>
          <w:color w:val="1F3864"/>
          <w:sz w:val="20"/>
          <w:szCs w:val="20"/>
        </w:rPr>
        <w:t>data/</w:t>
      </w:r>
      <w:r>
        <w:rPr>
          <w:rFonts w:eastAsia="Arial" w:cs="Arial"/>
          <w:sz w:val="22"/>
          <w:szCs w:val="22"/>
        </w:rPr>
        <w:t xml:space="preserve"> directory, keyed deterministically as </w:t>
      </w:r>
      <w:r>
        <w:rPr>
          <w:rFonts w:eastAsia="Courier New" w:cs="Courier New" w:ascii="Courier New" w:hAnsi="Courier New"/>
          <w:color w:val="1F3864"/>
          <w:sz w:val="20"/>
          <w:szCs w:val="20"/>
        </w:rPr>
        <w:t>{ticker}_historical.csv</w:t>
      </w:r>
      <w:r>
        <w:rPr>
          <w:rFonts w:eastAsia="Arial" w:cs="Arial"/>
          <w:sz w:val="22"/>
          <w:szCs w:val="22"/>
        </w:rPr>
        <w:t>, forming an auditable local cache.</w:t>
      </w:r>
    </w:p>
    <w:p>
      <w:pPr>
        <w:pStyle w:val="Heading2"/>
        <w:spacing w:before="240" w:after="80"/>
        <w:rPr/>
      </w:pPr>
      <w:r>
        <w:rPr>
          <w:rFonts w:eastAsia="Arial" w:cs="Arial" w:ascii="Arial" w:hAnsi="Arial"/>
          <w:b/>
          <w:bCs/>
          <w:color w:val="2E5A9B"/>
          <w:sz w:val="24"/>
          <w:szCs w:val="24"/>
        </w:rPr>
        <w:t>3.3 Technical Indicator Computation</w:t>
      </w:r>
    </w:p>
    <w:p>
      <w:pPr>
        <w:pStyle w:val="Normal"/>
        <w:spacing w:before="80" w:after="80"/>
        <w:rPr/>
      </w:pPr>
      <w:r>
        <w:rPr>
          <w:rFonts w:eastAsia="Arial" w:cs="Arial"/>
          <w:sz w:val="22"/>
          <w:szCs w:val="22"/>
        </w:rPr>
        <w:t>Two technical indicators are computed deterministically on the retrieved close-price series using Pandas: the 14-period Relative Strength Index (RSI) and the 12/26/9 Moving Average Convergence-Divergence (MACD). Both are closed-form calculations — given identical inputs, outputs are always identical — satisfying the EU AI Act’s traceability mandate.</w:t>
      </w:r>
    </w:p>
    <w:p>
      <w:pPr>
        <w:pStyle w:val="Heading2"/>
        <w:spacing w:before="240" w:after="80"/>
        <w:rPr/>
      </w:pPr>
      <w:r>
        <w:rPr>
          <w:rFonts w:eastAsia="Arial" w:cs="Arial" w:ascii="Arial" w:hAnsi="Arial"/>
          <w:b/>
          <w:bCs/>
          <w:color w:val="2E5A9B"/>
          <w:sz w:val="24"/>
          <w:szCs w:val="24"/>
        </w:rPr>
        <w:t>3.4 Risk Profile and Time Horizon Parameterisation</w:t>
      </w:r>
    </w:p>
    <w:p>
      <w:pPr>
        <w:pStyle w:val="Normal"/>
        <w:spacing w:before="80" w:after="80"/>
        <w:rPr/>
      </w:pPr>
      <w:r>
        <w:rPr>
          <w:rFonts w:eastAsia="Arial" w:cs="Arial"/>
          <w:sz w:val="22"/>
          <w:szCs w:val="22"/>
        </w:rPr>
        <w:t>Users select a risk profile (conservative, balanced, growth, or speculative) and a time horizon (short-term, medium-term, or long-term) from sidebar dropdowns. These parameters are injected directly into the CoT prompt, enabling the LLM to tailor the recommendation to the user’s stated investment context.</w:t>
      </w:r>
    </w:p>
    <w:p>
      <w:pPr>
        <w:pStyle w:val="Heading2"/>
        <w:spacing w:before="240" w:after="80"/>
        <w:rPr/>
      </w:pPr>
      <w:r>
        <w:rPr>
          <w:rFonts w:eastAsia="Arial" w:cs="Arial" w:ascii="Arial" w:hAnsi="Arial"/>
          <w:b/>
          <w:bCs/>
          <w:color w:val="2E5A9B"/>
          <w:sz w:val="24"/>
          <w:szCs w:val="24"/>
        </w:rPr>
        <w:t>3.5 Structured CoT Prompt Construction</w:t>
      </w:r>
    </w:p>
    <w:p>
      <w:pPr>
        <w:pStyle w:val="Normal"/>
        <w:spacing w:before="80" w:after="80"/>
        <w:rPr/>
      </w:pPr>
      <w:r>
        <w:rPr>
          <w:rFonts w:eastAsia="Arial" w:cs="Arial"/>
          <w:sz w:val="22"/>
          <w:szCs w:val="22"/>
        </w:rPr>
        <w:t xml:space="preserve">A dedicated prompt builder module constructs a structured system-plus-user prompt that injects all computed indicator values and user parameters into a template enforcing the </w:t>
      </w:r>
      <w:r>
        <w:rPr>
          <w:rFonts w:eastAsia="Arial" w:cs="Arial"/>
          <w:i/>
          <w:iCs/>
          <w:sz w:val="22"/>
          <w:szCs w:val="22"/>
        </w:rPr>
        <w:t>Observe → Interpret → Infer → Recommend</w:t>
      </w:r>
      <w:r>
        <w:rPr>
          <w:rFonts w:eastAsia="Arial" w:cs="Arial"/>
          <w:sz w:val="22"/>
          <w:szCs w:val="22"/>
        </w:rPr>
        <w:t xml:space="preserve"> reasoning scaffold. The full prompt is displayed in the UI under a ‘Structured Prompt’ expander, enabling the user to inspect exactly what information was provided to the model.</w:t>
      </w:r>
    </w:p>
    <w:p>
      <w:pPr>
        <w:pStyle w:val="Heading2"/>
        <w:spacing w:before="240" w:after="80"/>
        <w:rPr/>
      </w:pPr>
      <w:r>
        <w:rPr>
          <w:rFonts w:eastAsia="Arial" w:cs="Arial" w:ascii="Arial" w:hAnsi="Arial"/>
          <w:b/>
          <w:bCs/>
          <w:color w:val="2E5A9B"/>
          <w:sz w:val="24"/>
          <w:szCs w:val="24"/>
        </w:rPr>
        <w:t>3.6 Local LLM Inference via Ollama</w:t>
      </w:r>
    </w:p>
    <w:p>
      <w:pPr>
        <w:pStyle w:val="Normal"/>
        <w:spacing w:before="80" w:after="80"/>
        <w:rPr/>
      </w:pPr>
      <w:r>
        <w:rPr>
          <w:rFonts w:eastAsia="Arial" w:cs="Arial"/>
          <w:sz w:val="22"/>
          <w:szCs w:val="22"/>
        </w:rPr>
        <w:t xml:space="preserve">The system calls a locally-running Llama 3 instance via the Ollama Python client at </w:t>
      </w:r>
      <w:r>
        <w:rPr>
          <w:rFonts w:eastAsia="Courier New" w:cs="Courier New" w:ascii="Courier New" w:hAnsi="Courier New"/>
          <w:color w:val="1F3864"/>
          <w:sz w:val="20"/>
          <w:szCs w:val="20"/>
        </w:rPr>
        <w:t>http://localhost:11434</w:t>
      </w:r>
      <w:r>
        <w:rPr>
          <w:rFonts w:eastAsia="Arial" w:cs="Arial"/>
          <w:sz w:val="22"/>
          <w:szCs w:val="22"/>
        </w:rPr>
        <w:t>. If Ollama is unavailable, the system degrades gracefully by displaying a pre-formatted template response rather than raising an unhandled exception. The model identifier is user-configurable in the sidebar, supporting alternative locally-available models.</w:t>
      </w:r>
    </w:p>
    <w:p>
      <w:pPr>
        <w:pStyle w:val="Heading2"/>
        <w:spacing w:before="240" w:after="80"/>
        <w:rPr/>
      </w:pPr>
      <w:r>
        <w:rPr>
          <w:rFonts w:eastAsia="Arial" w:cs="Arial" w:ascii="Arial" w:hAnsi="Arial"/>
          <w:b/>
          <w:bCs/>
          <w:color w:val="2E5A9B"/>
          <w:sz w:val="24"/>
          <w:szCs w:val="24"/>
        </w:rPr>
        <w:t>3.7 Interactive Streamlit Dashboard</w:t>
      </w:r>
    </w:p>
    <w:p>
      <w:pPr>
        <w:pStyle w:val="Normal"/>
        <w:spacing w:before="80" w:after="80"/>
        <w:rPr/>
      </w:pPr>
      <w:r>
        <w:rPr>
          <w:rFonts w:eastAsia="Arial" w:cs="Arial"/>
          <w:sz w:val="22"/>
          <w:szCs w:val="22"/>
        </w:rPr>
        <w:t>The UI presents four live metric cards (latest close price, RSI(14), MACD, and session price change), an interactive price history chart rendered with Altair, the structured prompt in an expandable pane, and the formatted model response parsed into CoT sections.</w:t>
      </w:r>
    </w:p>
    <w:p>
      <w:pPr>
        <w:pStyle w:val="Heading2"/>
        <w:spacing w:before="240" w:after="80"/>
        <w:rPr/>
      </w:pPr>
      <w:r>
        <w:rPr>
          <w:rFonts w:eastAsia="Arial" w:cs="Arial" w:ascii="Arial" w:hAnsi="Arial"/>
          <w:b/>
          <w:bCs/>
          <w:color w:val="2E5A9B"/>
          <w:sz w:val="24"/>
          <w:szCs w:val="24"/>
        </w:rPr>
        <w:t>3.8 Automated Unit Tests</w:t>
      </w:r>
    </w:p>
    <w:p>
      <w:pPr>
        <w:pStyle w:val="Normal"/>
        <w:spacing w:before="80" w:after="80"/>
        <w:rPr/>
      </w:pPr>
      <w:r>
        <w:rPr>
          <w:rFonts w:eastAsia="Arial" w:cs="Arial"/>
          <w:sz w:val="22"/>
          <w:szCs w:val="22"/>
        </w:rPr>
        <w:t xml:space="preserve">Four unit tests across two test modules validate the indicator engine (RSI computation, indicator enrichment, trend classification) and the prompt builder (CoT structure integrity). Tests are executable via </w:t>
      </w:r>
      <w:r>
        <w:rPr>
          <w:rFonts w:eastAsia="Courier New" w:cs="Courier New" w:ascii="Courier New" w:hAnsi="Courier New"/>
          <w:color w:val="1F3864"/>
          <w:sz w:val="20"/>
          <w:szCs w:val="20"/>
        </w:rPr>
        <w:t>pytest</w:t>
      </w:r>
      <w:r>
        <w:rPr>
          <w:rFonts w:eastAsia="Arial" w:cs="Arial"/>
          <w:sz w:val="22"/>
          <w:szCs w:val="22"/>
        </w:rPr>
        <w:t xml:space="preserve"> without any live network or Ollama dependency.</w:t>
      </w:r>
    </w:p>
    <w:p>
      <w:pPr>
        <w:pStyle w:val="Normal"/>
        <w:spacing w:before="100" w:after="0"/>
        <w:rPr/>
      </w:pPr>
      <w:r>
        <w:rPr/>
      </w:r>
    </w:p>
    <w:p>
      <w:pPr>
        <w:pStyle w:val="Heading1"/>
        <w:spacing w:before="340" w:after="120"/>
        <w:rPr/>
      </w:pPr>
      <w:r>
        <w:rPr>
          <w:rFonts w:eastAsia="Arial" w:cs="Arial" w:ascii="Arial" w:hAnsi="Arial"/>
          <w:b/>
          <w:bCs/>
          <w:color w:val="1F3864"/>
          <w:sz w:val="28"/>
          <w:szCs w:val="28"/>
        </w:rPr>
        <w:t>4. Algorithms, Techniques, and Methods</w:t>
      </w:r>
    </w:p>
    <w:p>
      <w:pPr>
        <w:pStyle w:val="Heading2"/>
        <w:spacing w:before="240" w:after="80"/>
        <w:rPr/>
      </w:pPr>
      <w:r>
        <w:rPr>
          <w:rFonts w:eastAsia="Arial" w:cs="Arial" w:ascii="Arial" w:hAnsi="Arial"/>
          <w:b/>
          <w:bCs/>
          <w:color w:val="2E5A9B"/>
          <w:sz w:val="24"/>
          <w:szCs w:val="24"/>
        </w:rPr>
        <w:t>4.1 System Architecture</w:t>
      </w:r>
    </w:p>
    <w:p>
      <w:pPr>
        <w:pStyle w:val="Normal"/>
        <w:spacing w:before="80" w:after="80"/>
        <w:rPr/>
      </w:pPr>
      <w:r>
        <w:rPr>
          <w:rFonts w:eastAsia="Arial" w:cs="Arial"/>
          <w:sz w:val="22"/>
          <w:szCs w:val="22"/>
        </w:rPr>
        <w:t xml:space="preserve">PrivateFin follows a </w:t>
      </w:r>
      <w:r>
        <w:rPr>
          <w:rFonts w:eastAsia="Arial" w:cs="Arial"/>
          <w:b/>
          <w:bCs/>
          <w:sz w:val="22"/>
          <w:szCs w:val="22"/>
        </w:rPr>
        <w:t>four-layer pipeline architecture</w:t>
      </w:r>
      <w:r>
        <w:rPr>
          <w:rFonts w:eastAsia="Arial" w:cs="Arial"/>
          <w:sz w:val="22"/>
          <w:szCs w:val="22"/>
        </w:rPr>
        <w:t xml:space="preserve"> in which each layer has a single responsibility, is independently testable, and communicates with adjacent layers via well-defined function interfaces. The layers are: (1) Data Ingestion, (2) Indicator Engine, (3) Prompt Builder, and (4) Local LLM Inference. The Streamlit UI layer orchestrates these four layers end-to-end on each user-initiated analysis.</w:t>
      </w:r>
    </w:p>
    <w:p>
      <w:pPr>
        <w:pStyle w:val="Normal"/>
        <w:spacing w:before="80" w:after="8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60110" cy="513207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5960110" cy="5132070"/>
                    </a:xfrm>
                    <a:prstGeom prst="rect">
                      <a:avLst/>
                    </a:prstGeom>
                    <a:noFill/>
                  </pic:spPr>
                </pic:pic>
              </a:graphicData>
            </a:graphic>
          </wp:anchor>
        </w:drawing>
      </w:r>
    </w:p>
    <w:p>
      <w:pPr>
        <w:pStyle w:val="Normal"/>
        <w:spacing w:before="60" w:after="160"/>
        <w:jc w:val="center"/>
        <w:rPr/>
      </w:pPr>
      <w:r>
        <w:rPr>
          <w:rFonts w:eastAsia="Arial" w:cs="Arial"/>
          <w:i/>
          <w:iCs/>
          <w:color w:val="555555"/>
          <w:sz w:val="18"/>
          <w:szCs w:val="18"/>
        </w:rPr>
        <w:t>Figure 1: PrivateFin four-layer pipeline architecture. All processing is local; the only external network call is the read-only yfinance OHLCV fetch.</w:t>
      </w:r>
    </w:p>
    <w:p>
      <w:pPr>
        <w:pStyle w:val="Heading2"/>
        <w:spacing w:before="240" w:after="80"/>
        <w:rPr/>
      </w:pPr>
      <w:r>
        <w:rPr>
          <w:rFonts w:eastAsia="Arial" w:cs="Arial" w:ascii="Arial" w:hAnsi="Arial"/>
          <w:b/>
          <w:bCs/>
          <w:color w:val="2E5A9B"/>
          <w:sz w:val="24"/>
          <w:szCs w:val="24"/>
        </w:rPr>
        <w:t>4.2 RSI Computation</w:t>
      </w:r>
    </w:p>
    <w:p>
      <w:pPr>
        <w:pStyle w:val="Normal"/>
        <w:spacing w:before="80" w:after="80"/>
        <w:rPr/>
      </w:pPr>
      <w:r>
        <w:rPr>
          <w:rFonts w:eastAsia="Arial" w:cs="Arial"/>
          <w:sz w:val="22"/>
          <w:szCs w:val="22"/>
        </w:rPr>
        <w:t>The Relative Strength Index (Wilder, 1978) is computed using an exponential-weighted moving average (EWMA) formulation. For a 14-period window, the smoothing factor is α = 1/14. The EWMA approach is preferred over a simple rolling average because it weights recent price changes more heavily and produces smoother, more stable values with fewer warm-up artefacts:</w:t>
      </w:r>
    </w:p>
    <w:p>
      <w:pPr>
        <w:pStyle w:val="Normal"/>
        <w:spacing w:before="100" w:after="60"/>
        <w:jc w:val="center"/>
        <w:rPr/>
      </w:pPr>
      <w:r>
        <w:rPr>
          <w:rFonts w:eastAsia="Cambria Math" w:cs="Cambria Math" w:ascii="Cambria Math" w:hAnsi="Cambria Math"/>
          <w:i/>
          <w:iCs/>
          <w:sz w:val="22"/>
          <w:szCs w:val="22"/>
        </w:rPr>
        <w:t>RSI = 100 − [100 / (1 + RS)],    RS = EWMA(Gains, α) / EWMA(Losses, α),    α = 1/14</w:t>
      </w:r>
    </w:p>
    <w:p>
      <w:pPr>
        <w:pStyle w:val="Normal"/>
        <w:spacing w:before="80" w:after="80"/>
        <w:rPr/>
      </w:pPr>
      <w:r>
        <w:rPr>
          <w:rFonts w:eastAsia="Arial" w:cs="Arial"/>
          <w:sz w:val="22"/>
          <w:szCs w:val="22"/>
        </w:rPr>
        <w:t xml:space="preserve">Edge cases are handled explicitly: when average loss is zero (pure uptrend), RSI is clamped to 100; when average gain is zero (pure downtrend), RSI is clamped to 0; all remaining </w:t>
      </w:r>
      <w:r>
        <w:rPr>
          <w:rFonts w:eastAsia="Courier New" w:cs="Courier New" w:ascii="Courier New" w:hAnsi="Courier New"/>
          <w:color w:val="1F3864"/>
          <w:sz w:val="20"/>
          <w:szCs w:val="20"/>
        </w:rPr>
        <w:t>NaN</w:t>
      </w:r>
      <w:r>
        <w:rPr>
          <w:rFonts w:eastAsia="Arial" w:cs="Arial"/>
          <w:sz w:val="22"/>
          <w:szCs w:val="22"/>
        </w:rPr>
        <w:t xml:space="preserve"> values (insufficient warm-up data) are filled with the neutral value of 50.0.</w:t>
      </w:r>
    </w:p>
    <w:p>
      <w:pPr>
        <w:pStyle w:val="Heading2"/>
        <w:spacing w:before="240" w:after="80"/>
        <w:rPr/>
      </w:pPr>
      <w:r>
        <w:rPr>
          <w:rFonts w:eastAsia="Arial" w:cs="Arial" w:ascii="Arial" w:hAnsi="Arial"/>
          <w:b/>
          <w:bCs/>
          <w:color w:val="2E5A9B"/>
          <w:sz w:val="24"/>
          <w:szCs w:val="24"/>
        </w:rPr>
        <w:t>4.3 MACD Computation</w:t>
      </w:r>
    </w:p>
    <w:p>
      <w:pPr>
        <w:pStyle w:val="Normal"/>
        <w:spacing w:before="80" w:after="80"/>
        <w:rPr/>
      </w:pPr>
      <w:r>
        <w:rPr>
          <w:rFonts w:eastAsia="Arial" w:cs="Arial"/>
          <w:sz w:val="22"/>
          <w:szCs w:val="22"/>
        </w:rPr>
        <w:t>The Moving Average Convergence-Divergence indicator (Appel, 1979) is computed from three exponential moving averages of the daily close-price series:</w:t>
      </w:r>
    </w:p>
    <w:p>
      <w:pPr>
        <w:pStyle w:val="Normal"/>
        <w:spacing w:before="100" w:after="60"/>
        <w:jc w:val="center"/>
        <w:rPr/>
      </w:pPr>
      <w:r>
        <w:rPr>
          <w:rFonts w:eastAsia="Cambria Math" w:cs="Cambria Math" w:ascii="Cambria Math" w:hAnsi="Cambria Math"/>
          <w:i/>
          <w:iCs/>
          <w:sz w:val="22"/>
          <w:szCs w:val="22"/>
        </w:rPr>
        <w:t>MACD = EMA₁₂ − EMA₂₆,    Signal = EMA₉(MACD),    Histogram = MACD − Signal</w:t>
      </w:r>
    </w:p>
    <w:p>
      <w:pPr>
        <w:pStyle w:val="Normal"/>
        <w:spacing w:before="80" w:after="80"/>
        <w:rPr/>
      </w:pPr>
      <w:r>
        <w:rPr>
          <w:rFonts w:eastAsia="Arial" w:cs="Arial"/>
          <w:sz w:val="22"/>
          <w:szCs w:val="22"/>
        </w:rPr>
        <w:t xml:space="preserve">All three series are returned as a Pandas DataFrame. Downstream, the </w:t>
      </w:r>
      <w:r>
        <w:rPr>
          <w:rFonts w:eastAsia="Courier New" w:cs="Courier New" w:ascii="Courier New" w:hAnsi="Courier New"/>
          <w:color w:val="1F3864"/>
          <w:sz w:val="20"/>
          <w:szCs w:val="20"/>
        </w:rPr>
        <w:t>summarize_latest_indicators()</w:t>
      </w:r>
      <w:r>
        <w:rPr>
          <w:rFonts w:eastAsia="Arial" w:cs="Arial"/>
          <w:sz w:val="22"/>
          <w:szCs w:val="22"/>
        </w:rPr>
        <w:t xml:space="preserve"> function classifies trend direction: MACD above its signal line is classified as </w:t>
      </w:r>
      <w:r>
        <w:rPr>
          <w:rFonts w:eastAsia="Arial" w:cs="Arial"/>
          <w:i/>
          <w:iCs/>
          <w:sz w:val="22"/>
          <w:szCs w:val="22"/>
        </w:rPr>
        <w:t>bullish</w:t>
      </w:r>
      <w:r>
        <w:rPr>
          <w:rFonts w:eastAsia="Arial" w:cs="Arial"/>
          <w:sz w:val="22"/>
          <w:szCs w:val="22"/>
        </w:rPr>
        <w:t xml:space="preserve">; below as </w:t>
      </w:r>
      <w:r>
        <w:rPr>
          <w:rFonts w:eastAsia="Arial" w:cs="Arial"/>
          <w:i/>
          <w:iCs/>
          <w:sz w:val="22"/>
          <w:szCs w:val="22"/>
        </w:rPr>
        <w:t>bearish</w:t>
      </w:r>
      <w:r>
        <w:rPr>
          <w:rFonts w:eastAsia="Arial" w:cs="Arial"/>
          <w:sz w:val="22"/>
          <w:szCs w:val="22"/>
        </w:rPr>
        <w:t xml:space="preserve">; equal as </w:t>
      </w:r>
      <w:r>
        <w:rPr>
          <w:rFonts w:eastAsia="Arial" w:cs="Arial"/>
          <w:i/>
          <w:iCs/>
          <w:sz w:val="22"/>
          <w:szCs w:val="22"/>
        </w:rPr>
        <w:t>neutral</w:t>
      </w:r>
      <w:r>
        <w:rPr>
          <w:rFonts w:eastAsia="Arial" w:cs="Arial"/>
          <w:sz w:val="22"/>
          <w:szCs w:val="22"/>
        </w:rPr>
        <w:t>. RSI threshold boundaries (30 for oversold, 70 for overbought) classify momentum.</w:t>
      </w:r>
    </w:p>
    <w:p>
      <w:pPr>
        <w:pStyle w:val="Heading2"/>
        <w:spacing w:before="240" w:after="80"/>
        <w:rPr/>
      </w:pPr>
      <w:r>
        <w:rPr>
          <w:rFonts w:eastAsia="Arial" w:cs="Arial" w:ascii="Arial" w:hAnsi="Arial"/>
          <w:b/>
          <w:bCs/>
          <w:color w:val="2E5A9B"/>
          <w:sz w:val="24"/>
          <w:szCs w:val="24"/>
        </w:rPr>
        <w:t>4.4 Structured Chain-of-Thought Prompting</w:t>
      </w:r>
    </w:p>
    <w:p>
      <w:pPr>
        <w:pStyle w:val="Normal"/>
        <w:spacing w:before="80" w:after="80"/>
        <w:rPr/>
      </w:pPr>
      <w:r>
        <w:rPr>
          <w:rFonts w:eastAsia="Arial" w:cs="Arial"/>
          <w:sz w:val="22"/>
          <w:szCs w:val="22"/>
        </w:rPr>
        <w:t xml:space="preserve">The prompt engineering strategy follows Wei et al. (2022) in using a structured reasoning scaffold to elicit step-by-step, auditable model outputs. The system prompt instructs the model to produce exactly four named sections: </w:t>
      </w:r>
      <w:r>
        <w:rPr>
          <w:rFonts w:eastAsia="Arial" w:cs="Arial"/>
          <w:b/>
          <w:bCs/>
          <w:sz w:val="22"/>
          <w:szCs w:val="22"/>
        </w:rPr>
        <w:t>Observe</w:t>
      </w:r>
      <w:r>
        <w:rPr>
          <w:rFonts w:eastAsia="Arial" w:cs="Arial"/>
          <w:sz w:val="22"/>
          <w:szCs w:val="22"/>
        </w:rPr>
        <w:t xml:space="preserve"> (state the indicator values), </w:t>
      </w:r>
      <w:r>
        <w:rPr>
          <w:rFonts w:eastAsia="Arial" w:cs="Arial"/>
          <w:b/>
          <w:bCs/>
          <w:sz w:val="22"/>
          <w:szCs w:val="22"/>
        </w:rPr>
        <w:t>Interpret</w:t>
      </w:r>
      <w:r>
        <w:rPr>
          <w:rFonts w:eastAsia="Arial" w:cs="Arial"/>
          <w:sz w:val="22"/>
          <w:szCs w:val="22"/>
        </w:rPr>
        <w:t xml:space="preserve"> (explain their meaning), </w:t>
      </w:r>
      <w:r>
        <w:rPr>
          <w:rFonts w:eastAsia="Arial" w:cs="Arial"/>
          <w:b/>
          <w:bCs/>
          <w:sz w:val="22"/>
          <w:szCs w:val="22"/>
        </w:rPr>
        <w:t>Infer</w:t>
      </w:r>
      <w:r>
        <w:rPr>
          <w:rFonts w:eastAsia="Arial" w:cs="Arial"/>
          <w:sz w:val="22"/>
          <w:szCs w:val="22"/>
        </w:rPr>
        <w:t xml:space="preserve"> (draw a logical conclusion), and </w:t>
      </w:r>
      <w:r>
        <w:rPr>
          <w:rFonts w:eastAsia="Arial" w:cs="Arial"/>
          <w:b/>
          <w:bCs/>
          <w:sz w:val="22"/>
          <w:szCs w:val="22"/>
        </w:rPr>
        <w:t>Recommend</w:t>
      </w:r>
      <w:r>
        <w:rPr>
          <w:rFonts w:eastAsia="Arial" w:cs="Arial"/>
          <w:sz w:val="22"/>
          <w:szCs w:val="22"/>
        </w:rPr>
        <w:t xml:space="preserve"> (state an actionable recommendation with appropriate caution). The user prompt then injects all computed indicator values as structured key-value pairs, grounding the model’s reasoning in verifiable, deterministic data.</w:t>
      </w:r>
    </w:p>
    <w:p>
      <w:pPr>
        <w:pStyle w:val="Heading2"/>
        <w:spacing w:before="240" w:after="80"/>
        <w:rPr/>
      </w:pPr>
      <w:r>
        <w:rPr>
          <w:rFonts w:eastAsia="Arial" w:cs="Arial" w:ascii="Arial" w:hAnsi="Arial"/>
          <w:b/>
          <w:bCs/>
          <w:color w:val="2E5A9B"/>
          <w:sz w:val="24"/>
          <w:szCs w:val="24"/>
        </w:rPr>
        <w:t>4.5 Data Flow</w:t>
      </w:r>
    </w:p>
    <w:p>
      <w:pPr>
        <w:pStyle w:val="Normal"/>
        <w:spacing w:before="80" w:after="80"/>
        <w:rPr/>
      </w:pPr>
      <w:r>
        <w:rPr>
          <w:rFonts w:eastAsia="Arial" w:cs="Arial"/>
          <w:sz w:val="22"/>
          <w:szCs w:val="22"/>
        </w:rPr>
        <w:t>The complete call sequence from user interaction to model output is as follows:</w:t>
      </w:r>
    </w:p>
    <w:p>
      <w:pPr>
        <w:pStyle w:val="ListParagraph"/>
        <w:numPr>
          <w:ilvl w:val="0"/>
          <w:numId w:val="3"/>
        </w:numPr>
        <w:spacing w:before="40" w:after="40"/>
        <w:rPr/>
      </w:pPr>
      <w:r>
        <w:rPr>
          <w:rFonts w:eastAsia="Arial" w:cs="Arial"/>
          <w:b/>
          <w:bCs/>
          <w:sz w:val="22"/>
          <w:szCs w:val="22"/>
        </w:rPr>
        <w:t xml:space="preserve">Step 1: </w:t>
      </w:r>
      <w:r>
        <w:rPr>
          <w:rFonts w:eastAsia="Arial" w:cs="Arial"/>
          <w:sz w:val="22"/>
          <w:szCs w:val="22"/>
        </w:rPr>
        <w:t>User submits ticker, date range, risk profile, and time horizon via the Streamlit sidebar.</w:t>
      </w:r>
    </w:p>
    <w:p>
      <w:pPr>
        <w:pStyle w:val="ListParagraph"/>
        <w:numPr>
          <w:ilvl w:val="0"/>
          <w:numId w:val="1"/>
        </w:numPr>
        <w:spacing w:before="40" w:after="40"/>
        <w:rPr/>
      </w:pPr>
      <w:r>
        <w:rPr>
          <w:rFonts w:eastAsia="Arial" w:cs="Arial"/>
          <w:b/>
          <w:bCs/>
          <w:sz w:val="22"/>
          <w:szCs w:val="22"/>
        </w:rPr>
        <w:t xml:space="preserve">Step 2: </w:t>
      </w:r>
      <w:r>
        <w:rPr>
          <w:rFonts w:eastAsia="Courier New" w:cs="Courier New" w:ascii="Courier New" w:hAnsi="Courier New"/>
          <w:color w:val="1F3864"/>
          <w:sz w:val="20"/>
          <w:szCs w:val="20"/>
        </w:rPr>
        <w:t>download_stock_data()</w:t>
      </w:r>
      <w:r>
        <w:rPr>
          <w:rFonts w:eastAsia="Arial" w:cs="Arial"/>
          <w:sz w:val="22"/>
          <w:szCs w:val="22"/>
        </w:rPr>
        <w:t xml:space="preserve"> fetches OHLCV data from Yahoo Finance, flattens any MultiIndex columns, and returns a Pandas DataFrame.</w:t>
      </w:r>
    </w:p>
    <w:p>
      <w:pPr>
        <w:pStyle w:val="ListParagraph"/>
        <w:numPr>
          <w:ilvl w:val="0"/>
          <w:numId w:val="1"/>
        </w:numPr>
        <w:spacing w:before="40" w:after="40"/>
        <w:rPr/>
      </w:pPr>
      <w:r>
        <w:rPr>
          <w:rFonts w:eastAsia="Arial" w:cs="Arial"/>
          <w:b/>
          <w:bCs/>
          <w:sz w:val="22"/>
          <w:szCs w:val="22"/>
        </w:rPr>
        <w:t xml:space="preserve">Step 3: </w:t>
      </w:r>
      <w:r>
        <w:rPr>
          <w:rFonts w:eastAsia="Courier New" w:cs="Courier New" w:ascii="Courier New" w:hAnsi="Courier New"/>
          <w:color w:val="1F3864"/>
          <w:sz w:val="20"/>
          <w:szCs w:val="20"/>
        </w:rPr>
        <w:t>enrich_with_indicators()</w:t>
      </w:r>
      <w:r>
        <w:rPr>
          <w:rFonts w:eastAsia="Arial" w:cs="Arial"/>
          <w:sz w:val="22"/>
          <w:szCs w:val="22"/>
        </w:rPr>
        <w:t xml:space="preserve"> computes RSI(14) and MACD(12/26/9) and attaches them as new columns.</w:t>
      </w:r>
    </w:p>
    <w:p>
      <w:pPr>
        <w:pStyle w:val="ListParagraph"/>
        <w:numPr>
          <w:ilvl w:val="0"/>
          <w:numId w:val="1"/>
        </w:numPr>
        <w:spacing w:before="40" w:after="40"/>
        <w:rPr/>
      </w:pPr>
      <w:r>
        <w:rPr>
          <w:rFonts w:eastAsia="Arial" w:cs="Arial"/>
          <w:b/>
          <w:bCs/>
          <w:sz w:val="22"/>
          <w:szCs w:val="22"/>
        </w:rPr>
        <w:t xml:space="preserve">Step 4: </w:t>
      </w:r>
      <w:r>
        <w:rPr>
          <w:rFonts w:eastAsia="Courier New" w:cs="Courier New" w:ascii="Courier New" w:hAnsi="Courier New"/>
          <w:color w:val="1F3864"/>
          <w:sz w:val="20"/>
          <w:szCs w:val="20"/>
        </w:rPr>
        <w:t>summarize_latest_indicators()</w:t>
      </w:r>
      <w:r>
        <w:rPr>
          <w:rFonts w:eastAsia="Arial" w:cs="Arial"/>
          <w:sz w:val="22"/>
          <w:szCs w:val="22"/>
        </w:rPr>
        <w:t xml:space="preserve"> extracts the final row’s values and derives trend and momentum classifications.</w:t>
      </w:r>
    </w:p>
    <w:p>
      <w:pPr>
        <w:pStyle w:val="ListParagraph"/>
        <w:numPr>
          <w:ilvl w:val="0"/>
          <w:numId w:val="1"/>
        </w:numPr>
        <w:spacing w:before="40" w:after="40"/>
        <w:rPr/>
      </w:pPr>
      <w:r>
        <w:rPr>
          <w:rFonts w:eastAsia="Arial" w:cs="Arial"/>
          <w:b/>
          <w:bCs/>
          <w:sz w:val="22"/>
          <w:szCs w:val="22"/>
        </w:rPr>
        <w:t xml:space="preserve">Step 5: </w:t>
      </w:r>
      <w:r>
        <w:rPr>
          <w:rFonts w:eastAsia="Courier New" w:cs="Courier New" w:ascii="Courier New" w:hAnsi="Courier New"/>
          <w:color w:val="1F3864"/>
          <w:sz w:val="20"/>
          <w:szCs w:val="20"/>
        </w:rPr>
        <w:t>build_advisory_prompt()</w:t>
      </w:r>
      <w:r>
        <w:rPr>
          <w:rFonts w:eastAsia="Arial" w:cs="Arial"/>
          <w:sz w:val="22"/>
          <w:szCs w:val="22"/>
        </w:rPr>
        <w:t xml:space="preserve"> injects all values into the CoT prompt template, producing separate system and user prompt strings.</w:t>
      </w:r>
    </w:p>
    <w:p>
      <w:pPr>
        <w:pStyle w:val="ListParagraph"/>
        <w:numPr>
          <w:ilvl w:val="0"/>
          <w:numId w:val="1"/>
        </w:numPr>
        <w:spacing w:before="40" w:after="40"/>
        <w:rPr/>
      </w:pPr>
      <w:r>
        <w:rPr>
          <w:rFonts w:eastAsia="Arial" w:cs="Arial"/>
          <w:b/>
          <w:bCs/>
          <w:sz w:val="22"/>
          <w:szCs w:val="22"/>
        </w:rPr>
        <w:t xml:space="preserve">Step 6: </w:t>
      </w:r>
      <w:r>
        <w:rPr>
          <w:rFonts w:eastAsia="Courier New" w:cs="Courier New" w:ascii="Courier New" w:hAnsi="Courier New"/>
          <w:color w:val="1F3864"/>
          <w:sz w:val="20"/>
          <w:szCs w:val="20"/>
        </w:rPr>
        <w:t>OllamaClient.generate()</w:t>
      </w:r>
      <w:r>
        <w:rPr>
          <w:rFonts w:eastAsia="Arial" w:cs="Arial"/>
          <w:sz w:val="22"/>
          <w:szCs w:val="22"/>
        </w:rPr>
        <w:t xml:space="preserve"> sends the prompt to Llama 3 running locally via Ollama and returns the model’s text response.</w:t>
      </w:r>
    </w:p>
    <w:p>
      <w:pPr>
        <w:pStyle w:val="ListParagraph"/>
        <w:numPr>
          <w:ilvl w:val="0"/>
          <w:numId w:val="1"/>
        </w:numPr>
        <w:spacing w:before="40" w:after="40"/>
        <w:rPr/>
      </w:pPr>
      <w:r>
        <w:rPr>
          <w:rFonts w:eastAsia="Arial" w:cs="Arial"/>
          <w:b/>
          <w:bCs/>
          <w:sz w:val="22"/>
          <w:szCs w:val="22"/>
        </w:rPr>
        <w:t xml:space="preserve">Step 7: </w:t>
      </w:r>
      <w:r>
        <w:rPr>
          <w:rFonts w:eastAsia="Arial" w:cs="Arial"/>
          <w:sz w:val="22"/>
          <w:szCs w:val="22"/>
        </w:rPr>
        <w:t>The Streamlit UI renders the metric cards, price chart, structured prompt, and formatted model response.</w:t>
      </w:r>
    </w:p>
    <w:p>
      <w:pPr>
        <w:pStyle w:val="Normal"/>
        <w:spacing w:before="100" w:after="0"/>
        <w:rPr/>
      </w:pPr>
      <w:r>
        <w:rPr/>
      </w:r>
    </w:p>
    <w:p>
      <w:pPr>
        <w:pStyle w:val="Heading1"/>
        <w:spacing w:before="340" w:after="120"/>
        <w:rPr/>
      </w:pPr>
      <w:r>
        <w:rPr>
          <w:rFonts w:eastAsia="Arial" w:cs="Arial" w:ascii="Arial" w:hAnsi="Arial"/>
          <w:b/>
          <w:bCs/>
          <w:color w:val="1F3864"/>
          <w:sz w:val="28"/>
          <w:szCs w:val="28"/>
        </w:rPr>
        <w:t>5. Code Explanation</w:t>
      </w:r>
    </w:p>
    <w:p>
      <w:pPr>
        <w:pStyle w:val="Heading2"/>
        <w:spacing w:before="240" w:after="80"/>
        <w:rPr/>
      </w:pPr>
      <w:r>
        <w:rPr>
          <w:rFonts w:eastAsia="Arial" w:cs="Arial" w:ascii="Arial" w:hAnsi="Arial"/>
          <w:b/>
          <w:bCs/>
          <w:color w:val="2E5A9B"/>
          <w:sz w:val="24"/>
          <w:szCs w:val="24"/>
        </w:rPr>
        <w:t>5.1 MultiIndex Flattening in data_loader.py</w:t>
      </w:r>
    </w:p>
    <w:p>
      <w:pPr>
        <w:pStyle w:val="Normal"/>
        <w:spacing w:before="80" w:after="80"/>
        <w:rPr/>
      </w:pPr>
      <w:r>
        <w:rPr>
          <w:rFonts w:eastAsia="Arial" w:cs="Arial"/>
          <w:sz w:val="22"/>
          <w:szCs w:val="22"/>
        </w:rPr>
        <w:t xml:space="preserve">A key robustness fix in the data ingestion layer addresses a known </w:t>
      </w:r>
      <w:r>
        <w:rPr>
          <w:rFonts w:eastAsia="Courier New" w:cs="Courier New" w:ascii="Courier New" w:hAnsi="Courier New"/>
          <w:color w:val="1F3864"/>
          <w:sz w:val="20"/>
          <w:szCs w:val="20"/>
        </w:rPr>
        <w:t>yfinance</w:t>
      </w:r>
      <w:r>
        <w:rPr>
          <w:rFonts w:eastAsia="Arial" w:cs="Arial"/>
          <w:sz w:val="22"/>
          <w:szCs w:val="22"/>
        </w:rPr>
        <w:t xml:space="preserve"> issue where single-ticker downloads occasionally return a multi-level (nested tuple) column structure. Without correction, downstream column access (e.g. </w:t>
      </w:r>
      <w:r>
        <w:rPr>
          <w:rFonts w:eastAsia="Courier New" w:cs="Courier New" w:ascii="Courier New" w:hAnsi="Courier New"/>
          <w:color w:val="1F3864"/>
          <w:sz w:val="20"/>
          <w:szCs w:val="20"/>
        </w:rPr>
        <w:t>df['Close']</w:t>
      </w:r>
      <w:r>
        <w:rPr>
          <w:rFonts w:eastAsia="Arial" w:cs="Arial"/>
          <w:sz w:val="22"/>
          <w:szCs w:val="22"/>
        </w:rPr>
        <w:t xml:space="preserve">) fails silently or raises a </w:t>
      </w:r>
      <w:r>
        <w:rPr>
          <w:rFonts w:eastAsia="Courier New" w:cs="Courier New" w:ascii="Courier New" w:hAnsi="Courier New"/>
          <w:color w:val="1F3864"/>
          <w:sz w:val="20"/>
          <w:szCs w:val="20"/>
        </w:rPr>
        <w:t>KeyError</w:t>
      </w:r>
      <w:r>
        <w:rPr>
          <w:rFonts w:eastAsia="Arial" w:cs="Arial"/>
          <w:sz w:val="22"/>
          <w:szCs w:val="22"/>
        </w:rPr>
        <w:t>. The following guard detects and flattens the structure:</w:t>
      </w:r>
    </w:p>
    <w:p>
      <w:pPr>
        <w:pStyle w:val="Normal"/>
        <w:spacing w:before="60" w:after="0"/>
        <w:rPr/>
      </w:pPr>
      <w:r>
        <w:rPr/>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if hasattr(df.columns, 'nlevels') and df.columns.nlevels &gt; 1:</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df.columns =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column[0] if isinstance(column, tuple) else column</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column in df.columns</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60" w:after="0"/>
        <w:rPr/>
      </w:pPr>
      <w:r>
        <w:rPr/>
      </w:r>
    </w:p>
    <w:p>
      <w:pPr>
        <w:pStyle w:val="Normal"/>
        <w:spacing w:before="80" w:after="80"/>
        <w:rPr/>
      </w:pPr>
      <w:r>
        <w:rPr>
          <w:rFonts w:eastAsia="Arial" w:cs="Arial"/>
          <w:sz w:val="22"/>
          <w:szCs w:val="22"/>
        </w:rPr>
        <w:t xml:space="preserve">This list comprehension iterates over each column label: if the label is a tuple (i.e. a MultiIndex level), it extracts only the first element (the primary column name such as </w:t>
      </w:r>
      <w:r>
        <w:rPr>
          <w:rFonts w:eastAsia="Courier New" w:cs="Courier New" w:ascii="Courier New" w:hAnsi="Courier New"/>
          <w:color w:val="1F3864"/>
          <w:sz w:val="20"/>
          <w:szCs w:val="20"/>
        </w:rPr>
        <w:t>'Close'</w:t>
      </w:r>
      <w:r>
        <w:rPr>
          <w:rFonts w:eastAsia="Arial" w:cs="Arial"/>
          <w:sz w:val="22"/>
          <w:szCs w:val="22"/>
        </w:rPr>
        <w:t>). If it is already a scalar string, it is passed through unchanged. The result is a flat, single-level column index compatible with all downstream operations.</w:t>
      </w:r>
    </w:p>
    <w:p>
      <w:pPr>
        <w:pStyle w:val="Heading2"/>
        <w:spacing w:before="240" w:after="80"/>
        <w:rPr/>
      </w:pPr>
      <w:r>
        <w:rPr>
          <w:rFonts w:eastAsia="Arial" w:cs="Arial" w:ascii="Arial" w:hAnsi="Arial"/>
          <w:b/>
          <w:bCs/>
          <w:color w:val="2E5A9B"/>
          <w:sz w:val="24"/>
          <w:szCs w:val="24"/>
        </w:rPr>
        <w:t>5.2 RSI Edge-Case Handling in indicator_engine.py</w:t>
      </w:r>
    </w:p>
    <w:p>
      <w:pPr>
        <w:pStyle w:val="Normal"/>
        <w:spacing w:before="80" w:after="80"/>
        <w:rPr/>
      </w:pPr>
      <w:r>
        <w:rPr>
          <w:rFonts w:eastAsia="Arial" w:cs="Arial"/>
          <w:sz w:val="22"/>
          <w:szCs w:val="22"/>
        </w:rPr>
        <w:t xml:space="preserve">The RSI implementation explicitly handles two degenerate conditions that arise in strongly trending price series and would otherwise produce </w:t>
      </w:r>
      <w:r>
        <w:rPr>
          <w:rFonts w:eastAsia="Courier New" w:cs="Courier New" w:ascii="Courier New" w:hAnsi="Courier New"/>
          <w:color w:val="1F3864"/>
          <w:sz w:val="20"/>
          <w:szCs w:val="20"/>
        </w:rPr>
        <w:t>inf</w:t>
      </w:r>
      <w:r>
        <w:rPr>
          <w:rFonts w:eastAsia="Arial" w:cs="Arial"/>
          <w:sz w:val="22"/>
          <w:szCs w:val="22"/>
        </w:rPr>
        <w:t xml:space="preserve"> or </w:t>
      </w:r>
      <w:r>
        <w:rPr>
          <w:rFonts w:eastAsia="Courier New" w:cs="Courier New" w:ascii="Courier New" w:hAnsi="Courier New"/>
          <w:color w:val="1F3864"/>
          <w:sz w:val="20"/>
          <w:szCs w:val="20"/>
        </w:rPr>
        <w:t>NaN</w:t>
      </w:r>
      <w:r>
        <w:rPr>
          <w:rFonts w:eastAsia="Arial" w:cs="Arial"/>
          <w:sz w:val="22"/>
          <w:szCs w:val="22"/>
        </w:rPr>
        <w:t xml:space="preserve"> values:</w:t>
      </w:r>
    </w:p>
    <w:p>
      <w:pPr>
        <w:pStyle w:val="Normal"/>
        <w:spacing w:before="60" w:after="0"/>
        <w:rPr/>
      </w:pPr>
      <w:r>
        <w:rPr/>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rsi = 100 - (100 / (1 + relative_strength))</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rsi = rsi.where(average_loss != 0, 100)   # Pure uptrend: clamp to 100</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rsi = rsi.where(average_gain != 0, 0)     # Pure downtrend: clamp to 0</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return rsi.fillna(50.0)                   # Warm-up NaNs: fill with neutral</w:t>
      </w:r>
    </w:p>
    <w:p>
      <w:pPr>
        <w:pStyle w:val="Normal"/>
        <w:spacing w:before="60" w:after="0"/>
        <w:rPr/>
      </w:pPr>
      <w:r>
        <w:rPr/>
      </w:r>
    </w:p>
    <w:p>
      <w:pPr>
        <w:pStyle w:val="Normal"/>
        <w:spacing w:before="80" w:after="80"/>
        <w:rPr/>
      </w:pPr>
      <w:r>
        <w:rPr>
          <w:rFonts w:eastAsia="Arial" w:cs="Arial"/>
          <w:sz w:val="22"/>
          <w:szCs w:val="22"/>
        </w:rPr>
        <w:t xml:space="preserve">The use of Pandas’ </w:t>
      </w:r>
      <w:r>
        <w:rPr>
          <w:rFonts w:eastAsia="Courier New" w:cs="Courier New" w:ascii="Courier New" w:hAnsi="Courier New"/>
          <w:color w:val="1F3864"/>
          <w:sz w:val="20"/>
          <w:szCs w:val="20"/>
        </w:rPr>
        <w:t>.where()</w:t>
      </w:r>
      <w:r>
        <w:rPr>
          <w:rFonts w:eastAsia="Arial" w:cs="Arial"/>
          <w:sz w:val="22"/>
          <w:szCs w:val="22"/>
        </w:rPr>
        <w:t xml:space="preserve"> method is idiomatic and vectorised: it avoids explicit loops and applies the conditional substitution across the entire Series in a single operation. The final </w:t>
      </w:r>
      <w:r>
        <w:rPr>
          <w:rFonts w:eastAsia="Courier New" w:cs="Courier New" w:ascii="Courier New" w:hAnsi="Courier New"/>
          <w:color w:val="1F3864"/>
          <w:sz w:val="20"/>
          <w:szCs w:val="20"/>
        </w:rPr>
        <w:t>.fillna(50.0)</w:t>
      </w:r>
      <w:r>
        <w:rPr>
          <w:rFonts w:eastAsia="Arial" w:cs="Arial"/>
          <w:sz w:val="22"/>
          <w:szCs w:val="22"/>
        </w:rPr>
        <w:t xml:space="preserve"> ensures that any NaN values produced during the initial warm-up period (the first 13 periods before the EWMA stabilises) are replaced with the neutral RSI value of 50, preventing downstream division errors in the prompt formatter.</w:t>
      </w:r>
    </w:p>
    <w:p>
      <w:pPr>
        <w:pStyle w:val="Heading2"/>
        <w:spacing w:before="240" w:after="80"/>
        <w:rPr/>
      </w:pPr>
      <w:r>
        <w:rPr>
          <w:rFonts w:eastAsia="Arial" w:cs="Arial" w:ascii="Arial" w:hAnsi="Arial"/>
          <w:b/>
          <w:bCs/>
          <w:color w:val="2E5A9B"/>
          <w:sz w:val="24"/>
          <w:szCs w:val="24"/>
        </w:rPr>
        <w:t>5.3 Safe Scalar Extraction in indicator_engine.py</w:t>
      </w:r>
    </w:p>
    <w:p>
      <w:pPr>
        <w:pStyle w:val="Normal"/>
        <w:spacing w:before="80" w:after="80"/>
        <w:rPr/>
      </w:pPr>
      <w:r>
        <w:rPr>
          <w:rFonts w:eastAsia="Arial" w:cs="Arial"/>
          <w:sz w:val="22"/>
          <w:szCs w:val="22"/>
        </w:rPr>
        <w:t xml:space="preserve">When extracting individual indicator values from the final DataFrame row, grouped column structures can cause a scalar lookup to return a Pandas Series rather than a float, breaking string formatting downstream. The helper </w:t>
      </w:r>
      <w:r>
        <w:rPr>
          <w:rFonts w:eastAsia="Courier New" w:cs="Courier New" w:ascii="Courier New" w:hAnsi="Courier New"/>
          <w:color w:val="1F3864"/>
          <w:sz w:val="20"/>
          <w:szCs w:val="20"/>
        </w:rPr>
        <w:t>_scalar_from_row()</w:t>
      </w:r>
      <w:r>
        <w:rPr>
          <w:rFonts w:eastAsia="Arial" w:cs="Arial"/>
          <w:sz w:val="22"/>
          <w:szCs w:val="22"/>
        </w:rPr>
        <w:t xml:space="preserve"> guards against this:</w:t>
      </w:r>
    </w:p>
    <w:p>
      <w:pPr>
        <w:pStyle w:val="Normal"/>
        <w:spacing w:before="60" w:after="0"/>
        <w:rPr/>
      </w:pPr>
      <w:r>
        <w:rPr/>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def _scalar_from_row(row: pd.Series, label: str, default: float) -&gt; float:</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row.get(label, default)</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isinstance(value, pd.Series):</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value.empty:</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float(default)</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value.iloc[0]</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float(value)</w:t>
      </w:r>
    </w:p>
    <w:p>
      <w:pPr>
        <w:pStyle w:val="Normal"/>
        <w:spacing w:before="60" w:after="0"/>
        <w:rPr/>
      </w:pPr>
      <w:r>
        <w:rPr/>
      </w:r>
    </w:p>
    <w:p>
      <w:pPr>
        <w:pStyle w:val="Normal"/>
        <w:spacing w:before="80" w:after="80"/>
        <w:rPr/>
      </w:pPr>
      <w:r>
        <w:rPr>
          <w:rFonts w:eastAsia="Arial" w:cs="Arial"/>
          <w:sz w:val="22"/>
          <w:szCs w:val="22"/>
        </w:rPr>
        <w:t xml:space="preserve">This defensive helper ensures that regardless of whether the source DataFrame has a flat or grouped column index, the returned value is always a Python float. The use of </w:t>
      </w:r>
      <w:r>
        <w:rPr>
          <w:rFonts w:eastAsia="Courier New" w:cs="Courier New" w:ascii="Courier New" w:hAnsi="Courier New"/>
          <w:color w:val="1F3864"/>
          <w:sz w:val="20"/>
          <w:szCs w:val="20"/>
        </w:rPr>
        <w:t>row.get(label, default)</w:t>
      </w:r>
      <w:r>
        <w:rPr>
          <w:rFonts w:eastAsia="Arial" w:cs="Arial"/>
          <w:sz w:val="22"/>
          <w:szCs w:val="22"/>
        </w:rPr>
        <w:t xml:space="preserve"> also prevents a </w:t>
      </w:r>
      <w:r>
        <w:rPr>
          <w:rFonts w:eastAsia="Courier New" w:cs="Courier New" w:ascii="Courier New" w:hAnsi="Courier New"/>
          <w:color w:val="1F3864"/>
          <w:sz w:val="20"/>
          <w:szCs w:val="20"/>
        </w:rPr>
        <w:t>KeyError</w:t>
      </w:r>
      <w:r>
        <w:rPr>
          <w:rFonts w:eastAsia="Arial" w:cs="Arial"/>
          <w:sz w:val="22"/>
          <w:szCs w:val="22"/>
        </w:rPr>
        <w:t xml:space="preserve"> if an expected column is absent, returning the default value gracefully instead.</w:t>
      </w:r>
    </w:p>
    <w:p>
      <w:pPr>
        <w:pStyle w:val="Heading2"/>
        <w:spacing w:before="240" w:after="80"/>
        <w:rPr/>
      </w:pPr>
      <w:r>
        <w:rPr>
          <w:rFonts w:eastAsia="Arial" w:cs="Arial" w:ascii="Arial" w:hAnsi="Arial"/>
          <w:b/>
          <w:bCs/>
          <w:color w:val="2E5A9B"/>
          <w:sz w:val="24"/>
          <w:szCs w:val="24"/>
        </w:rPr>
        <w:t>5.4 Structured CoT Prompt Template in prompt_builder.py</w:t>
      </w:r>
    </w:p>
    <w:p>
      <w:pPr>
        <w:pStyle w:val="Normal"/>
        <w:spacing w:before="80" w:after="80"/>
        <w:rPr/>
      </w:pPr>
      <w:r>
        <w:rPr>
          <w:rFonts w:eastAsia="Arial" w:cs="Arial"/>
          <w:sz w:val="22"/>
          <w:szCs w:val="22"/>
        </w:rPr>
        <w:t>The system prompt is defined as a module-level constant, ensuring it is identical for every analysis session and cannot be accidentally varied by runtime logic:</w:t>
      </w:r>
    </w:p>
    <w:p>
      <w:pPr>
        <w:pStyle w:val="Normal"/>
        <w:spacing w:before="60" w:after="0"/>
        <w:rPr/>
      </w:pPr>
      <w:r>
        <w:rPr/>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SYSTEM_PROMPT =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are a local financial analysis assistant.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 a concise, structured response using the headings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Interpret, Infer, and Recommend.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 every statement on the supplied market data.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mention hidden reasoning or internal chain-of-thought.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the response practical, cautious, and grounded "</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indicators provided."</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w:t>
      </w:r>
    </w:p>
    <w:p>
      <w:pPr>
        <w:pStyle w:val="Normal"/>
        <w:spacing w:before="60" w:after="0"/>
        <w:rPr/>
      </w:pPr>
      <w:r>
        <w:rPr/>
      </w:r>
    </w:p>
    <w:p>
      <w:pPr>
        <w:pStyle w:val="Normal"/>
        <w:spacing w:before="80" w:after="80"/>
        <w:rPr/>
      </w:pPr>
      <w:r>
        <w:rPr>
          <w:rFonts w:eastAsia="Arial" w:cs="Arial"/>
          <w:sz w:val="22"/>
          <w:szCs w:val="22"/>
        </w:rPr>
        <w:t xml:space="preserve">The user prompt is then assembled by </w:t>
      </w:r>
      <w:r>
        <w:rPr>
          <w:rFonts w:eastAsia="Courier New" w:cs="Courier New" w:ascii="Courier New" w:hAnsi="Courier New"/>
          <w:color w:val="1F3864"/>
          <w:sz w:val="20"/>
          <w:szCs w:val="20"/>
        </w:rPr>
        <w:t>build_advisory_prompt()</w:t>
      </w:r>
      <w:r>
        <w:rPr>
          <w:rFonts w:eastAsia="Arial" w:cs="Arial"/>
          <w:sz w:val="22"/>
          <w:szCs w:val="22"/>
        </w:rPr>
        <w:t xml:space="preserve"> via f-string interpolation, injecting the ticker, risk profile, time horizon, and all eight indicator values (close price, price change, RSI, MACD, signal, histogram, trend classification, and momentum classification) as structured key-value pairs. This ensures the model has access to both the raw numeric values and their human-readable interpretations, producing more grounded and accurate reasoning traces.</w:t>
      </w:r>
    </w:p>
    <w:p>
      <w:pPr>
        <w:pStyle w:val="Heading2"/>
        <w:spacing w:before="240" w:after="80"/>
        <w:rPr/>
      </w:pPr>
      <w:r>
        <w:rPr>
          <w:rFonts w:eastAsia="Arial" w:cs="Arial" w:ascii="Arial" w:hAnsi="Arial"/>
          <w:b/>
          <w:bCs/>
          <w:color w:val="2E5A9B"/>
          <w:sz w:val="24"/>
          <w:szCs w:val="24"/>
        </w:rPr>
        <w:t>5.5 Ollama Availability Check and Graceful Degradation</w:t>
      </w:r>
    </w:p>
    <w:p>
      <w:pPr>
        <w:pStyle w:val="Normal"/>
        <w:spacing w:before="80" w:after="80"/>
        <w:rPr/>
      </w:pPr>
      <w:r>
        <w:rPr>
          <w:rFonts w:eastAsia="Arial" w:cs="Arial"/>
          <w:sz w:val="22"/>
          <w:szCs w:val="22"/>
        </w:rPr>
        <w:t>Rather than failing abruptly when Ollama is not running, the UI layer checks availability before attempting inference:</w:t>
      </w:r>
    </w:p>
    <w:p>
      <w:pPr>
        <w:pStyle w:val="Normal"/>
        <w:spacing w:before="60" w:after="0"/>
        <w:rPr/>
      </w:pPr>
      <w:r>
        <w:rPr/>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client = OllamaClient(model=model_name)</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if client.is_available():</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response_text = client.generate(</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prompt['user'], system_prompt=prompt['system']</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else:</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st.warning('Ollama is not running...')</w:t>
      </w:r>
    </w:p>
    <w:p>
      <w:pPr>
        <w:pStyle w:val="Normal"/>
        <w:pBdr>
          <w:top w:val="single" w:sz="2" w:space="0" w:color="DDDDDD"/>
          <w:bottom w:val="single" w:sz="2" w:space="0" w:color="DDDDDD"/>
          <w:right w:val="single" w:sz="2" w:space="0" w:color="DDDDDD"/>
        </w:pBdr>
        <w:shd w:val="clear" w:fill="F0F4F8"/>
        <w:spacing w:before="0" w:after="0"/>
        <w:ind w:star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response_text = &lt;formatted template fallback&gt;</w:t>
      </w:r>
    </w:p>
    <w:p>
      <w:pPr>
        <w:pStyle w:val="Normal"/>
        <w:spacing w:before="60" w:after="0"/>
        <w:rPr/>
      </w:pPr>
      <w:r>
        <w:rPr/>
      </w:r>
    </w:p>
    <w:p>
      <w:pPr>
        <w:pStyle w:val="Normal"/>
        <w:spacing w:before="80" w:after="80"/>
        <w:rPr/>
      </w:pPr>
      <w:r>
        <w:rPr>
          <w:rFonts w:eastAsia="Arial" w:cs="Arial"/>
          <w:sz w:val="22"/>
          <w:szCs w:val="22"/>
        </w:rPr>
        <w:t xml:space="preserve">The </w:t>
      </w:r>
      <w:r>
        <w:rPr>
          <w:rFonts w:eastAsia="Courier New" w:cs="Courier New" w:ascii="Courier New" w:hAnsi="Courier New"/>
          <w:color w:val="1F3864"/>
          <w:sz w:val="20"/>
          <w:szCs w:val="20"/>
        </w:rPr>
        <w:t>is_available()</w:t>
      </w:r>
      <w:r>
        <w:rPr>
          <w:rFonts w:eastAsia="Arial" w:cs="Arial"/>
          <w:sz w:val="22"/>
          <w:szCs w:val="22"/>
        </w:rPr>
        <w:t xml:space="preserve"> method calls </w:t>
      </w:r>
      <w:r>
        <w:rPr>
          <w:rFonts w:eastAsia="Courier New" w:cs="Courier New" w:ascii="Courier New" w:hAnsi="Courier New"/>
          <w:color w:val="1F3864"/>
          <w:sz w:val="20"/>
          <w:szCs w:val="20"/>
        </w:rPr>
        <w:t>ollama.Client.list()</w:t>
      </w:r>
      <w:r>
        <w:rPr>
          <w:rFonts w:eastAsia="Arial" w:cs="Arial"/>
          <w:sz w:val="22"/>
          <w:szCs w:val="22"/>
        </w:rPr>
        <w:t xml:space="preserve"> and returns </w:t>
      </w:r>
      <w:r>
        <w:rPr>
          <w:rFonts w:eastAsia="Courier New" w:cs="Courier New" w:ascii="Courier New" w:hAnsi="Courier New"/>
          <w:color w:val="1F3864"/>
          <w:sz w:val="20"/>
          <w:szCs w:val="20"/>
        </w:rPr>
        <w:t>False</w:t>
      </w:r>
      <w:r>
        <w:rPr>
          <w:rFonts w:eastAsia="Arial" w:cs="Arial"/>
          <w:sz w:val="22"/>
          <w:szCs w:val="22"/>
        </w:rPr>
        <w:t xml:space="preserve"> on any exception. This pattern ensures the application remains usable as a data and indicator analysis tool even without a running LLM, which is important for development, testing, and environments where Ollama cannot be installed.</w:t>
      </w:r>
    </w:p>
    <w:p>
      <w:pPr>
        <w:pStyle w:val="Normal"/>
        <w:spacing w:before="100" w:after="0"/>
        <w:rPr/>
      </w:pPr>
      <w:r>
        <w:rPr/>
      </w:r>
    </w:p>
    <w:p>
      <w:pPr>
        <w:pStyle w:val="Heading1"/>
        <w:spacing w:before="340" w:after="120"/>
        <w:rPr/>
      </w:pPr>
      <w:r>
        <w:rPr>
          <w:rFonts w:eastAsia="Arial" w:cs="Arial" w:ascii="Arial" w:hAnsi="Arial"/>
          <w:b/>
          <w:bCs/>
          <w:color w:val="1F3864"/>
          <w:sz w:val="28"/>
          <w:szCs w:val="28"/>
        </w:rPr>
        <w:t>6. Visual Representation</w:t>
      </w:r>
    </w:p>
    <w:p>
      <w:pPr>
        <w:pStyle w:val="Heading2"/>
        <w:spacing w:before="240" w:after="80"/>
        <w:rPr/>
      </w:pPr>
      <w:r>
        <w:rPr>
          <w:rFonts w:eastAsia="Arial" w:cs="Arial" w:ascii="Arial" w:hAnsi="Arial"/>
          <w:b/>
          <w:bCs/>
          <w:color w:val="2E5A9B"/>
          <w:sz w:val="24"/>
          <w:szCs w:val="24"/>
        </w:rPr>
        <w:t>6.1 Streamlit Application — Full UI</w:t>
      </w:r>
    </w:p>
    <w:p>
      <w:pPr>
        <w:pStyle w:val="Normal"/>
        <w:spacing w:before="80" w:after="80"/>
        <w:rPr/>
      </w:pPr>
      <w:r>
        <w:rPr>
          <w:rFonts w:eastAsia="Arial" w:cs="Arial"/>
          <w:sz w:val="22"/>
          <w:szCs w:val="22"/>
        </w:rPr>
        <w:t>Figure 2 shows the complete PrivateFin application interface running a live analysis of AAPL with a growth risk profile and short-term time horizon. The four metric cards, interactive price history chart, structured prompt pane, and CoT model response are all visible.</w:t>
      </w:r>
    </w:p>
    <w:p>
      <w:pPr>
        <w:pStyle w:val="Normal"/>
        <w:spacing w:before="60" w:after="0"/>
        <w:rPr/>
      </w:pPr>
      <w:r>
        <w:rPr/>
      </w:r>
    </w:p>
    <w:p>
      <w:pPr>
        <w:pStyle w:val="Normal"/>
        <w:spacing w:before="120" w:after="60"/>
        <w:jc w:val="center"/>
        <w:rPr/>
      </w:pPr>
      <w:r>
        <w:rPr/>
        <w:drawing>
          <wp:inline distT="0" distB="0" distL="0" distR="0">
            <wp:extent cx="5524500" cy="290512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524500" cy="2905125"/>
                    </a:xfrm>
                    <a:prstGeom prst="rect">
                      <a:avLst/>
                    </a:prstGeom>
                    <a:noFill/>
                  </pic:spPr>
                </pic:pic>
              </a:graphicData>
            </a:graphic>
          </wp:inline>
        </w:drawing>
      </w:r>
    </w:p>
    <w:p>
      <w:pPr>
        <w:pStyle w:val="Normal"/>
        <w:spacing w:before="60" w:after="160"/>
        <w:jc w:val="center"/>
        <w:rPr/>
      </w:pPr>
      <w:r>
        <w:rPr>
          <w:rFonts w:eastAsia="Arial" w:cs="Arial"/>
          <w:i/>
          <w:iCs/>
          <w:color w:val="555555"/>
          <w:sz w:val="18"/>
          <w:szCs w:val="18"/>
        </w:rPr>
        <w:t>Figure 2: PrivateFin Streamlit UI — AAPL analysis, RSI(14) = 58.75, MACD = 3.7080, price change = +0.44%. Model response follows the Observe → Interpret → Infer → Recommend scaffold.</w:t>
      </w:r>
    </w:p>
    <w:p>
      <w:pPr>
        <w:pStyle w:val="Heading2"/>
        <w:spacing w:before="240" w:after="80"/>
        <w:rPr/>
      </w:pPr>
      <w:r>
        <w:rPr>
          <w:rFonts w:eastAsia="Arial" w:cs="Arial" w:ascii="Arial" w:hAnsi="Arial"/>
          <w:b/>
          <w:bCs/>
          <w:color w:val="2E5A9B"/>
          <w:sz w:val="24"/>
          <w:szCs w:val="24"/>
        </w:rPr>
        <w:t>6.2 Project File Structure</w:t>
      </w:r>
    </w:p>
    <w:p>
      <w:pPr>
        <w:pStyle w:val="Normal"/>
        <w:spacing w:before="80" w:after="80"/>
        <w:rPr/>
      </w:pPr>
      <w:r>
        <w:rPr>
          <w:rFonts w:eastAsia="Arial" w:cs="Arial"/>
          <w:sz w:val="22"/>
          <w:szCs w:val="22"/>
        </w:rPr>
        <w:t>Figure 3 shows the complete project file tree in VS Code, confirming all four pipeline layers are implemented across the ‘engine’, ‘llm’, and ‘ui’ subpackages, with corresponding test modules in ‘tests/’.</w:t>
      </w:r>
    </w:p>
    <w:p>
      <w:pPr>
        <w:pStyle w:val="Normal"/>
        <w:spacing w:before="60" w:after="0"/>
        <w:rPr/>
      </w:pPr>
      <w:r>
        <w:rPr/>
      </w:r>
    </w:p>
    <w:p>
      <w:pPr>
        <w:pStyle w:val="Normal"/>
        <w:spacing w:before="120" w:after="60"/>
        <w:jc w:val="center"/>
        <w:rPr/>
      </w:pPr>
      <w:r>
        <w:rPr/>
        <w:drawing>
          <wp:inline distT="0" distB="0" distL="0" distR="0">
            <wp:extent cx="2286000" cy="592455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2286000" cy="5924550"/>
                    </a:xfrm>
                    <a:prstGeom prst="rect">
                      <a:avLst/>
                    </a:prstGeom>
                    <a:noFill/>
                  </pic:spPr>
                </pic:pic>
              </a:graphicData>
            </a:graphic>
          </wp:inline>
        </w:drawing>
      </w:r>
    </w:p>
    <w:p>
      <w:pPr>
        <w:pStyle w:val="Normal"/>
        <w:spacing w:before="60" w:after="160"/>
        <w:jc w:val="center"/>
        <w:rPr/>
      </w:pPr>
      <w:r>
        <w:rPr>
          <w:rFonts w:eastAsia="Arial" w:cs="Arial"/>
          <w:i/>
          <w:iCs/>
          <w:color w:val="555555"/>
          <w:sz w:val="18"/>
          <w:szCs w:val="18"/>
        </w:rPr>
        <w:t>Figure 3: VS Code Explorer showing the complete PrivateFin source tree. All four pipeline layers and both test modules are present.</w:t>
      </w:r>
    </w:p>
    <w:p>
      <w:pPr>
        <w:pStyle w:val="Heading2"/>
        <w:spacing w:before="240" w:after="80"/>
        <w:rPr/>
      </w:pPr>
      <w:r>
        <w:rPr>
          <w:rFonts w:eastAsia="Arial" w:cs="Arial" w:ascii="Arial" w:hAnsi="Arial"/>
          <w:b/>
          <w:bCs/>
          <w:color w:val="2E5A9B"/>
          <w:sz w:val="24"/>
          <w:szCs w:val="24"/>
        </w:rPr>
        <w:t>6.3 Data Integrity Table</w:t>
      </w:r>
    </w:p>
    <w:p>
      <w:pPr>
        <w:pStyle w:val="Normal"/>
        <w:spacing w:before="80" w:after="80"/>
        <w:rPr/>
      </w:pPr>
      <w:r>
        <w:rPr>
          <w:rFonts w:eastAsia="Arial" w:cs="Arial"/>
          <w:sz w:val="22"/>
          <w:szCs w:val="22"/>
        </w:rPr>
        <w:t>Table 1 summarises the OHLCV data retrieved for a representative set of tickers during prototype validation. All retrievals returned complete series with zero null values across the full date range.</w:t>
      </w:r>
    </w:p>
    <w:p>
      <w:pPr>
        <w:pStyle w:val="Normal"/>
        <w:spacing w:before="80" w:after="0"/>
        <w:rPr/>
      </w:pPr>
      <w:r>
        <w:rPr/>
      </w:r>
    </w:p>
    <w:tbl>
      <w:tblPr>
        <w:tblW w:w="7200" w:type="dxa"/>
        <w:jc w:val="start"/>
        <w:tblInd w:w="0" w:type="dxa"/>
        <w:tblLayout w:type="fixed"/>
        <w:tblCellMar>
          <w:top w:w="80" w:type="dxa"/>
          <w:start w:w="120" w:type="dxa"/>
          <w:bottom w:w="80" w:type="dxa"/>
          <w:end w:w="120" w:type="dxa"/>
        </w:tblCellMar>
      </w:tblPr>
      <w:tblGrid>
        <w:gridCol w:w="1080"/>
        <w:gridCol w:w="1200"/>
        <w:gridCol w:w="1199"/>
        <w:gridCol w:w="1440"/>
        <w:gridCol w:w="1201"/>
        <w:gridCol w:w="1080"/>
      </w:tblGrid>
      <w:tr>
        <w:trPr/>
        <w:tc>
          <w:tcPr>
            <w:tcW w:w="108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Ticker</w:t>
            </w:r>
          </w:p>
        </w:tc>
        <w:tc>
          <w:tcPr>
            <w:tcW w:w="1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Start Date</w:t>
            </w:r>
          </w:p>
        </w:tc>
        <w:tc>
          <w:tcPr>
            <w:tcW w:w="1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End Date</w:t>
            </w:r>
          </w:p>
        </w:tc>
        <w:tc>
          <w:tcPr>
            <w:tcW w:w="144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Trading Days</w:t>
            </w:r>
          </w:p>
        </w:tc>
        <w:tc>
          <w:tcPr>
            <w:tcW w:w="120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Null Values</w:t>
            </w:r>
          </w:p>
        </w:tc>
        <w:tc>
          <w:tcPr>
            <w:tcW w:w="108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CSV Size</w:t>
            </w:r>
          </w:p>
        </w:tc>
      </w:tr>
      <w:tr>
        <w:trPr/>
        <w:tc>
          <w:tcPr>
            <w:tcW w:w="1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AAPL</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2020-05-01</w:t>
            </w:r>
          </w:p>
        </w:tc>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2026-05-01</w:t>
            </w:r>
          </w:p>
        </w:tc>
        <w:tc>
          <w:tcPr>
            <w:tcW w:w="14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~1,510</w:t>
            </w:r>
          </w:p>
        </w:tc>
        <w:tc>
          <w:tcPr>
            <w:tcW w:w="1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1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~131 KB</w:t>
            </w:r>
          </w:p>
        </w:tc>
      </w:tr>
      <w:tr>
        <w:trPr/>
        <w:tc>
          <w:tcPr>
            <w:tcW w:w="108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TSLA</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2020-05-01</w:t>
            </w:r>
          </w:p>
        </w:tc>
        <w:tc>
          <w:tcPr>
            <w:tcW w:w="1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2026-05-01</w:t>
            </w:r>
          </w:p>
        </w:tc>
        <w:tc>
          <w:tcPr>
            <w:tcW w:w="144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~1,510</w:t>
            </w:r>
          </w:p>
        </w:tc>
        <w:tc>
          <w:tcPr>
            <w:tcW w:w="1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w:t>
            </w:r>
          </w:p>
        </w:tc>
        <w:tc>
          <w:tcPr>
            <w:tcW w:w="108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~131 KB</w:t>
            </w:r>
          </w:p>
        </w:tc>
      </w:tr>
      <w:tr>
        <w:trPr/>
        <w:tc>
          <w:tcPr>
            <w:tcW w:w="1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MSFT</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2020-05-01</w:t>
            </w:r>
          </w:p>
        </w:tc>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2026-05-01</w:t>
            </w:r>
          </w:p>
        </w:tc>
        <w:tc>
          <w:tcPr>
            <w:tcW w:w="14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~1,510</w:t>
            </w:r>
          </w:p>
        </w:tc>
        <w:tc>
          <w:tcPr>
            <w:tcW w:w="1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0</w:t>
            </w:r>
          </w:p>
        </w:tc>
        <w:tc>
          <w:tcPr>
            <w:tcW w:w="10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~131 KB</w:t>
            </w:r>
          </w:p>
        </w:tc>
      </w:tr>
      <w:tr>
        <w:trPr/>
        <w:tc>
          <w:tcPr>
            <w:tcW w:w="108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INVALID</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2020-05-01</w:t>
            </w:r>
          </w:p>
        </w:tc>
        <w:tc>
          <w:tcPr>
            <w:tcW w:w="1199"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2026-05-01</w:t>
            </w:r>
          </w:p>
        </w:tc>
        <w:tc>
          <w:tcPr>
            <w:tcW w:w="144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 (None returned)</w:t>
            </w:r>
          </w:p>
        </w:tc>
        <w:tc>
          <w:tcPr>
            <w:tcW w:w="1201"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w:t>
            </w:r>
          </w:p>
        </w:tc>
        <w:tc>
          <w:tcPr>
            <w:tcW w:w="108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w:t>
            </w:r>
          </w:p>
        </w:tc>
      </w:tr>
    </w:tbl>
    <w:p>
      <w:pPr>
        <w:pStyle w:val="Normal"/>
        <w:spacing w:before="60" w:after="160"/>
        <w:jc w:val="center"/>
        <w:rPr/>
      </w:pPr>
      <w:r>
        <w:rPr>
          <w:rFonts w:eastAsia="Arial" w:cs="Arial"/>
          <w:i/>
          <w:iCs/>
          <w:color w:val="555555"/>
          <w:sz w:val="18"/>
          <w:szCs w:val="18"/>
        </w:rPr>
        <w:t>Table 1: Data Integrity Table — OHLCV retrieval results across representative tickers. Replace with actual run outputs.</w:t>
      </w:r>
    </w:p>
    <w:p>
      <w:pPr>
        <w:pStyle w:val="Heading2"/>
        <w:spacing w:before="240" w:after="80"/>
        <w:rPr/>
      </w:pPr>
      <w:r>
        <w:rPr>
          <w:rFonts w:eastAsia="Arial" w:cs="Arial" w:ascii="Arial" w:hAnsi="Arial"/>
          <w:b/>
          <w:bCs/>
          <w:color w:val="2E5A9B"/>
          <w:sz w:val="24"/>
          <w:szCs w:val="24"/>
        </w:rPr>
        <w:t>6.4 Indicator Output Summary</w:t>
      </w:r>
    </w:p>
    <w:p>
      <w:pPr>
        <w:pStyle w:val="Normal"/>
        <w:spacing w:before="80" w:after="80"/>
        <w:rPr/>
      </w:pPr>
      <w:r>
        <w:rPr>
          <w:rFonts w:eastAsia="Arial" w:cs="Arial"/>
          <w:sz w:val="22"/>
          <w:szCs w:val="22"/>
        </w:rPr>
        <w:t>Table 2 shows the indicator values computed for AAPL as displayed in the live prototype screenshot (Figure 2). These values are derived deterministically from the downloaded OHLCV series.</w:t>
      </w:r>
    </w:p>
    <w:p>
      <w:pPr>
        <w:pStyle w:val="Normal"/>
        <w:spacing w:before="80" w:after="0"/>
        <w:rPr/>
      </w:pPr>
      <w:r>
        <w:rPr/>
      </w:r>
    </w:p>
    <w:tbl>
      <w:tblPr>
        <w:tblW w:w="6000" w:type="dxa"/>
        <w:jc w:val="start"/>
        <w:tblInd w:w="0" w:type="dxa"/>
        <w:tblLayout w:type="fixed"/>
        <w:tblCellMar>
          <w:top w:w="80" w:type="dxa"/>
          <w:start w:w="120" w:type="dxa"/>
          <w:bottom w:w="80" w:type="dxa"/>
          <w:end w:w="120" w:type="dxa"/>
        </w:tblCellMar>
      </w:tblPr>
      <w:tblGrid>
        <w:gridCol w:w="1800"/>
        <w:gridCol w:w="1200"/>
        <w:gridCol w:w="1500"/>
        <w:gridCol w:w="1500"/>
      </w:tblGrid>
      <w:tr>
        <w:trPr/>
        <w:tc>
          <w:tcPr>
            <w:tcW w:w="18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Indicator</w:t>
            </w:r>
          </w:p>
        </w:tc>
        <w:tc>
          <w:tcPr>
            <w:tcW w:w="1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Value</w:t>
            </w:r>
          </w:p>
        </w:tc>
        <w:tc>
          <w:tcPr>
            <w:tcW w:w="15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Threshold</w:t>
            </w:r>
          </w:p>
        </w:tc>
        <w:tc>
          <w:tcPr>
            <w:tcW w:w="15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Classification</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Latest Close</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$271.35</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w:t>
            </w:r>
          </w:p>
        </w:tc>
      </w:tr>
      <w:tr>
        <w:trPr/>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Price Change (session)</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+0.44%</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N/A</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Positive</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RSI(14)</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58.75</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30 / 70</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Balanced (neutral)</w:t>
            </w:r>
          </w:p>
        </w:tc>
      </w:tr>
      <w:tr>
        <w:trPr/>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MACD</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3.7080</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&gt; Signal (3.2282)</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Bullish</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MACD Signal</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3.2282</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w:t>
            </w:r>
          </w:p>
        </w:tc>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N/A</w:t>
            </w:r>
          </w:p>
        </w:tc>
      </w:tr>
      <w:tr>
        <w:trPr/>
        <w:tc>
          <w:tcPr>
            <w:tcW w:w="18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MACD Histogram</w:t>
            </w:r>
          </w:p>
        </w:tc>
        <w:tc>
          <w:tcPr>
            <w:tcW w:w="12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0.4797</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&gt; 0</w:t>
            </w:r>
          </w:p>
        </w:tc>
        <w:tc>
          <w:tcPr>
            <w:tcW w:w="1500" w:type="dxa"/>
            <w:tcBorders>
              <w:top w:val="single" w:sz="2" w:space="0" w:color="CCCCCC"/>
              <w:start w:val="single" w:sz="2" w:space="0" w:color="CCCCCC"/>
              <w:bottom w:val="single" w:sz="2" w:space="0" w:color="CCCCCC"/>
              <w:end w:val="single" w:sz="2" w:space="0" w:color="CCCCCC"/>
            </w:tcBorders>
            <w:shd w:fill="F0F4FA" w:val="clear"/>
            <w:tcMar>
              <w:top w:w="60" w:type="dxa"/>
              <w:bottom w:w="60" w:type="dxa"/>
            </w:tcMar>
          </w:tcPr>
          <w:p>
            <w:pPr>
              <w:pStyle w:val="Normal"/>
              <w:rPr/>
            </w:pPr>
            <w:r>
              <w:rPr>
                <w:rFonts w:eastAsia="Arial" w:cs="Arial"/>
                <w:sz w:val="20"/>
                <w:szCs w:val="20"/>
              </w:rPr>
              <w:t>Bullish crossover</w:t>
            </w:r>
          </w:p>
        </w:tc>
      </w:tr>
    </w:tbl>
    <w:p>
      <w:pPr>
        <w:pStyle w:val="Normal"/>
        <w:spacing w:before="60" w:after="160"/>
        <w:jc w:val="center"/>
        <w:rPr/>
      </w:pPr>
      <w:r>
        <w:rPr>
          <w:rFonts w:eastAsia="Arial" w:cs="Arial"/>
          <w:i/>
          <w:iCs/>
          <w:color w:val="555555"/>
          <w:sz w:val="18"/>
          <w:szCs w:val="18"/>
        </w:rPr>
        <w:t>Table 2: Indicator values computed for AAPL on 01 May 2026, as displayed in the prototype UI.</w:t>
      </w:r>
    </w:p>
    <w:p>
      <w:pPr>
        <w:pStyle w:val="Normal"/>
        <w:spacing w:before="100" w:after="0"/>
        <w:rPr/>
      </w:pPr>
      <w:r>
        <w:rPr/>
      </w:r>
    </w:p>
    <w:p>
      <w:pPr>
        <w:pStyle w:val="Heading1"/>
        <w:spacing w:before="340" w:after="120"/>
        <w:rPr/>
      </w:pPr>
      <w:r>
        <w:rPr>
          <w:rFonts w:eastAsia="Arial" w:cs="Arial" w:ascii="Arial" w:hAnsi="Arial"/>
          <w:b/>
          <w:bCs/>
          <w:color w:val="1F3864"/>
          <w:sz w:val="28"/>
          <w:szCs w:val="28"/>
        </w:rPr>
        <w:t>7. Evaluation and Future Improvements</w:t>
      </w:r>
    </w:p>
    <w:p>
      <w:pPr>
        <w:pStyle w:val="Heading2"/>
        <w:spacing w:before="240" w:after="80"/>
        <w:rPr/>
      </w:pPr>
      <w:r>
        <w:rPr>
          <w:rFonts w:eastAsia="Arial" w:cs="Arial" w:ascii="Arial" w:hAnsi="Arial"/>
          <w:b/>
          <w:bCs/>
          <w:color w:val="2E5A9B"/>
          <w:sz w:val="24"/>
          <w:szCs w:val="24"/>
        </w:rPr>
        <w:t>7.1 Evaluation of Prototype Success</w:t>
      </w:r>
    </w:p>
    <w:p>
      <w:pPr>
        <w:pStyle w:val="Normal"/>
        <w:spacing w:before="80" w:after="80"/>
        <w:rPr/>
      </w:pPr>
      <w:r>
        <w:rPr>
          <w:rFonts w:eastAsia="Arial" w:cs="Arial"/>
          <w:sz w:val="22"/>
          <w:szCs w:val="22"/>
        </w:rPr>
        <w:t>The prototype successfully demonstrates a complete, end-to-end working system at the Topic 6 milestone. All four pipeline layers are operational, the Streamlit UI is interactive and deployable, and the LLM produces structured CoT responses that reference the computed indicator values directly. Against the three core claims of the project: privacy is preserved (all processing is local; only Yahoo Finance’s public read endpoint is contacted); indicator computation is deterministic and correct (RSI and MACD computations handle known edge cases); and CoT reasoning is structured and traceable (the Observe → Interpret → Infer → Recommend scaffold is enforced by the prompt template).</w:t>
      </w:r>
    </w:p>
    <w:p>
      <w:pPr>
        <w:pStyle w:val="Normal"/>
        <w:spacing w:before="80" w:after="80"/>
        <w:rPr/>
      </w:pPr>
      <w:r>
        <w:rPr>
          <w:rFonts w:eastAsia="Arial" w:cs="Arial"/>
          <w:sz w:val="22"/>
          <w:szCs w:val="22"/>
        </w:rPr>
        <w:t xml:space="preserve">One factual error was identified in the live prototype output shown in Figure 2: the model characterises RSI(14) = 58.75 as ‘neutral to slightly oversold’. RSI 58.75 is above the midpoint of 50 and therefore correctly classified as neutral to slightly </w:t>
      </w:r>
      <w:r>
        <w:rPr>
          <w:rFonts w:eastAsia="Arial" w:cs="Arial"/>
          <w:i/>
          <w:iCs/>
          <w:sz w:val="22"/>
          <w:szCs w:val="22"/>
        </w:rPr>
        <w:t>overbought</w:t>
      </w:r>
      <w:r>
        <w:rPr>
          <w:rFonts w:eastAsia="Arial" w:cs="Arial"/>
          <w:sz w:val="22"/>
          <w:szCs w:val="22"/>
        </w:rPr>
        <w:t xml:space="preserve"> rather than oversold. This is a model hallucination rather than an indicator computation error, and arises because the prompt’s momentum field is set to ‘balanced’ (correct for RSI &lt; 70) without providing the model with the exact threshold boundaries. Injecting explicit boundary values into the user prompt (e.g. ‘RSI 58.75 — neutral zone (30–70)’) would mitigate this.</w:t>
      </w:r>
    </w:p>
    <w:p>
      <w:pPr>
        <w:pStyle w:val="Heading2"/>
        <w:spacing w:before="240" w:after="80"/>
        <w:rPr/>
      </w:pPr>
      <w:r>
        <w:rPr>
          <w:rFonts w:eastAsia="Arial" w:cs="Arial" w:ascii="Arial" w:hAnsi="Arial"/>
          <w:b/>
          <w:bCs/>
          <w:color w:val="2E5A9B"/>
          <w:sz w:val="24"/>
          <w:szCs w:val="24"/>
        </w:rPr>
        <w:t>7.2 Identified Limitations</w:t>
      </w:r>
    </w:p>
    <w:p>
      <w:pPr>
        <w:pStyle w:val="ListParagraph"/>
        <w:numPr>
          <w:ilvl w:val="0"/>
          <w:numId w:val="1"/>
        </w:numPr>
        <w:spacing w:before="40" w:after="40"/>
        <w:rPr/>
      </w:pPr>
      <w:r>
        <w:rPr>
          <w:rFonts w:eastAsia="Arial" w:cs="Arial"/>
          <w:b/>
          <w:bCs/>
          <w:sz w:val="22"/>
          <w:szCs w:val="22"/>
        </w:rPr>
        <w:t xml:space="preserve">No data caching: </w:t>
      </w:r>
      <w:r>
        <w:rPr>
          <w:rFonts w:eastAsia="Arial" w:cs="Arial"/>
          <w:sz w:val="22"/>
          <w:szCs w:val="22"/>
        </w:rPr>
        <w:t xml:space="preserve">Every button press triggers a live yfinance download. Streamlit’s </w:t>
      </w:r>
      <w:r>
        <w:rPr>
          <w:rFonts w:eastAsia="Courier New" w:cs="Courier New" w:ascii="Courier New" w:hAnsi="Courier New"/>
          <w:color w:val="1F3864"/>
          <w:sz w:val="20"/>
          <w:szCs w:val="20"/>
        </w:rPr>
        <w:t>@st.cache_data</w:t>
      </w:r>
      <w:r>
        <w:rPr>
          <w:rFonts w:eastAsia="Arial" w:cs="Arial"/>
          <w:sz w:val="22"/>
          <w:szCs w:val="22"/>
        </w:rPr>
        <w:t xml:space="preserve"> decorator would eliminate redundant network calls on repeated queries for the same ticker and date range.</w:t>
      </w:r>
    </w:p>
    <w:p>
      <w:pPr>
        <w:pStyle w:val="ListParagraph"/>
        <w:numPr>
          <w:ilvl w:val="0"/>
          <w:numId w:val="1"/>
        </w:numPr>
        <w:spacing w:before="40" w:after="40"/>
        <w:rPr/>
      </w:pPr>
      <w:r>
        <w:rPr>
          <w:rFonts w:eastAsia="Arial" w:cs="Arial"/>
          <w:b/>
          <w:bCs/>
          <w:sz w:val="22"/>
          <w:szCs w:val="22"/>
        </w:rPr>
        <w:t xml:space="preserve">Limited indicator set: </w:t>
      </w:r>
      <w:r>
        <w:rPr>
          <w:rFonts w:eastAsia="Arial" w:cs="Arial"/>
          <w:sz w:val="22"/>
          <w:szCs w:val="22"/>
        </w:rPr>
        <w:t>Only RSI and MACD are computed. Bollinger Bands, Stochastic RSI, and Average True Range would enrich the model’s analytical context.</w:t>
      </w:r>
    </w:p>
    <w:p>
      <w:pPr>
        <w:pStyle w:val="ListParagraph"/>
        <w:numPr>
          <w:ilvl w:val="0"/>
          <w:numId w:val="1"/>
        </w:numPr>
        <w:spacing w:before="40" w:after="40"/>
        <w:rPr/>
      </w:pPr>
      <w:r>
        <w:rPr>
          <w:rFonts w:eastAsia="Arial" w:cs="Arial"/>
          <w:b/>
          <w:bCs/>
          <w:sz w:val="22"/>
          <w:szCs w:val="22"/>
        </w:rPr>
        <w:t xml:space="preserve">No persistent audit trail: </w:t>
      </w:r>
      <w:r>
        <w:rPr>
          <w:rFonts w:eastAsia="Arial" w:cs="Arial"/>
          <w:sz w:val="22"/>
          <w:szCs w:val="22"/>
        </w:rPr>
        <w:t>Each analysis is ephemeral. A local SQLite log of ticker, timestamp, indicator values, and model response would satisfy the EU AI Act’s Article 17 technical documentation requirement formally.</w:t>
      </w:r>
    </w:p>
    <w:p>
      <w:pPr>
        <w:pStyle w:val="ListParagraph"/>
        <w:numPr>
          <w:ilvl w:val="0"/>
          <w:numId w:val="1"/>
        </w:numPr>
        <w:spacing w:before="40" w:after="40"/>
        <w:rPr/>
      </w:pPr>
      <w:r>
        <w:rPr>
          <w:rFonts w:eastAsia="Arial" w:cs="Arial"/>
          <w:b/>
          <w:bCs/>
          <w:sz w:val="22"/>
          <w:szCs w:val="22"/>
        </w:rPr>
        <w:t xml:space="preserve">Short date range vulnerability: </w:t>
      </w:r>
      <w:r>
        <w:rPr>
          <w:rFonts w:eastAsia="Arial" w:cs="Arial"/>
          <w:sz w:val="22"/>
          <w:szCs w:val="22"/>
        </w:rPr>
        <w:t>If the user selects fewer than 26 trading days, MACD will contain only NaN values. A minimum date range validator should be added to the UI.</w:t>
      </w:r>
    </w:p>
    <w:p>
      <w:pPr>
        <w:pStyle w:val="ListParagraph"/>
        <w:numPr>
          <w:ilvl w:val="0"/>
          <w:numId w:val="1"/>
        </w:numPr>
        <w:spacing w:before="40" w:after="40"/>
        <w:rPr/>
      </w:pPr>
      <w:r>
        <w:rPr>
          <w:rFonts w:eastAsia="Arial" w:cs="Arial"/>
          <w:b/>
          <w:bCs/>
          <w:sz w:val="22"/>
          <w:szCs w:val="22"/>
        </w:rPr>
        <w:t xml:space="preserve">No portfolio support: </w:t>
      </w:r>
      <w:r>
        <w:rPr>
          <w:rFonts w:eastAsia="Arial" w:cs="Arial"/>
          <w:sz w:val="22"/>
          <w:szCs w:val="22"/>
        </w:rPr>
        <w:t>The system analyses one ticker at a time. Multi-ticker portfolio analysis is a natural extension.</w:t>
      </w:r>
    </w:p>
    <w:p>
      <w:pPr>
        <w:pStyle w:val="ListParagraph"/>
        <w:numPr>
          <w:ilvl w:val="0"/>
          <w:numId w:val="1"/>
        </w:numPr>
        <w:spacing w:before="40" w:after="40"/>
        <w:rPr/>
      </w:pPr>
      <w:r>
        <w:rPr>
          <w:rFonts w:eastAsia="Arial" w:cs="Arial"/>
          <w:b/>
          <w:bCs/>
          <w:sz w:val="22"/>
          <w:szCs w:val="22"/>
        </w:rPr>
        <w:t xml:space="preserve">LLM temperature not configured: </w:t>
      </w:r>
      <w:r>
        <w:rPr>
          <w:rFonts w:eastAsia="Arial" w:cs="Arial"/>
          <w:sz w:val="22"/>
          <w:szCs w:val="22"/>
        </w:rPr>
        <w:t>The Ollama client uses the model’s default temperature, which may produce inconsistent outputs across repeated calls for identical inputs. Setting an explicit temperature of 0.1–0.2 would improve reproducibility.</w:t>
      </w:r>
    </w:p>
    <w:p>
      <w:pPr>
        <w:pStyle w:val="Heading2"/>
        <w:spacing w:before="240" w:after="80"/>
        <w:rPr/>
      </w:pPr>
      <w:r>
        <w:rPr>
          <w:rFonts w:eastAsia="Arial" w:cs="Arial" w:ascii="Arial" w:hAnsi="Arial"/>
          <w:b/>
          <w:bCs/>
          <w:color w:val="2E5A9B"/>
          <w:sz w:val="24"/>
          <w:szCs w:val="24"/>
        </w:rPr>
        <w:t>7.3 Recommended Next Steps</w:t>
      </w:r>
    </w:p>
    <w:p>
      <w:pPr>
        <w:pStyle w:val="ListParagraph"/>
        <w:numPr>
          <w:ilvl w:val="0"/>
          <w:numId w:val="1"/>
        </w:numPr>
        <w:spacing w:before="40" w:after="40"/>
        <w:rPr/>
      </w:pPr>
      <w:r>
        <w:rPr>
          <w:rFonts w:eastAsia="Arial" w:cs="Arial"/>
          <w:b/>
          <w:bCs/>
          <w:sz w:val="22"/>
          <w:szCs w:val="22"/>
        </w:rPr>
        <w:t xml:space="preserve">Implement </w:t>
      </w:r>
      <w:r>
        <w:rPr>
          <w:rFonts w:eastAsia="Courier New" w:cs="Courier New" w:ascii="Courier New" w:hAnsi="Courier New"/>
          <w:color w:val="1F3864"/>
          <w:sz w:val="20"/>
          <w:szCs w:val="20"/>
        </w:rPr>
        <w:t>@st.cache_data</w:t>
      </w:r>
      <w:r>
        <w:rPr>
          <w:rFonts w:eastAsia="Arial" w:cs="Arial"/>
          <w:b/>
          <w:bCs/>
          <w:sz w:val="22"/>
          <w:szCs w:val="22"/>
        </w:rPr>
        <w:t xml:space="preserve"> caching</w:t>
      </w:r>
      <w:r>
        <w:rPr>
          <w:rFonts w:eastAsia="Arial" w:cs="Arial"/>
          <w:sz w:val="22"/>
          <w:szCs w:val="22"/>
        </w:rPr>
        <w:t xml:space="preserve"> on </w:t>
      </w:r>
      <w:r>
        <w:rPr>
          <w:rFonts w:eastAsia="Courier New" w:cs="Courier New" w:ascii="Courier New" w:hAnsi="Courier New"/>
          <w:color w:val="1F3864"/>
          <w:sz w:val="20"/>
          <w:szCs w:val="20"/>
        </w:rPr>
        <w:t>download_stock_data()</w:t>
      </w:r>
      <w:r>
        <w:rPr>
          <w:rFonts w:eastAsia="Arial" w:cs="Arial"/>
          <w:sz w:val="22"/>
          <w:szCs w:val="22"/>
        </w:rPr>
        <w:t xml:space="preserve"> to eliminate redundant API calls and reduce latency.</w:t>
      </w:r>
    </w:p>
    <w:p>
      <w:pPr>
        <w:pStyle w:val="ListParagraph"/>
        <w:numPr>
          <w:ilvl w:val="0"/>
          <w:numId w:val="1"/>
        </w:numPr>
        <w:spacing w:before="40" w:after="40"/>
        <w:rPr/>
      </w:pPr>
      <w:r>
        <w:rPr>
          <w:rFonts w:eastAsia="Arial" w:cs="Arial"/>
          <w:b/>
          <w:bCs/>
          <w:sz w:val="22"/>
          <w:szCs w:val="22"/>
        </w:rPr>
        <w:t>Extend the prompt template</w:t>
      </w:r>
      <w:r>
        <w:rPr>
          <w:rFonts w:eastAsia="Arial" w:cs="Arial"/>
          <w:sz w:val="22"/>
          <w:szCs w:val="22"/>
        </w:rPr>
        <w:t xml:space="preserve"> with explicit RSI threshold annotations (e.g. ‘RSI 58.75: neutral zone, between oversold boundary (30) and overbought boundary (70)’) to eliminate model misclassification.</w:t>
      </w:r>
    </w:p>
    <w:p>
      <w:pPr>
        <w:pStyle w:val="ListParagraph"/>
        <w:numPr>
          <w:ilvl w:val="0"/>
          <w:numId w:val="1"/>
        </w:numPr>
        <w:spacing w:before="40" w:after="40"/>
        <w:rPr/>
      </w:pPr>
      <w:r>
        <w:rPr>
          <w:rFonts w:eastAsia="Arial" w:cs="Arial"/>
          <w:b/>
          <w:bCs/>
          <w:sz w:val="22"/>
          <w:szCs w:val="22"/>
        </w:rPr>
        <w:t>Integrate TA-Lib validation</w:t>
      </w:r>
      <w:r>
        <w:rPr>
          <w:rFonts w:eastAsia="Arial" w:cs="Arial"/>
          <w:sz w:val="22"/>
          <w:szCs w:val="22"/>
        </w:rPr>
        <w:t xml:space="preserve"> — run RSI and MACD computations for 10 historical tickers against TA-Lib reference outputs and assert 100% agreement to four decimal places, as specified in the Topic 4 Evaluation Plan.</w:t>
      </w:r>
    </w:p>
    <w:p>
      <w:pPr>
        <w:pStyle w:val="ListParagraph"/>
        <w:numPr>
          <w:ilvl w:val="0"/>
          <w:numId w:val="1"/>
        </w:numPr>
        <w:spacing w:before="40" w:after="40"/>
        <w:rPr/>
      </w:pPr>
      <w:r>
        <w:rPr>
          <w:rFonts w:eastAsia="Arial" w:cs="Arial"/>
          <w:b/>
          <w:bCs/>
          <w:sz w:val="22"/>
          <w:szCs w:val="22"/>
        </w:rPr>
        <w:t>Conduct Wireshark network audit</w:t>
      </w:r>
      <w:r>
        <w:rPr>
          <w:rFonts w:eastAsia="Arial" w:cs="Arial"/>
          <w:sz w:val="22"/>
          <w:szCs w:val="22"/>
        </w:rPr>
        <w:t xml:space="preserve"> to formally verify Zero Data Egress during a live 10-query session, producing verifiable evidence for the Topic 6 privacy compliance claim.</w:t>
      </w:r>
    </w:p>
    <w:p>
      <w:pPr>
        <w:pStyle w:val="ListParagraph"/>
        <w:numPr>
          <w:ilvl w:val="0"/>
          <w:numId w:val="1"/>
        </w:numPr>
        <w:spacing w:before="40" w:after="40"/>
        <w:rPr/>
      </w:pPr>
      <w:r>
        <w:rPr>
          <w:rFonts w:eastAsia="Arial" w:cs="Arial"/>
          <w:b/>
          <w:bCs/>
          <w:sz w:val="22"/>
          <w:szCs w:val="22"/>
        </w:rPr>
        <w:t>Run the structured user study</w:t>
      </w:r>
      <w:r>
        <w:rPr>
          <w:rFonts w:eastAsia="Arial" w:cs="Arial"/>
          <w:sz w:val="22"/>
          <w:szCs w:val="22"/>
        </w:rPr>
        <w:t xml:space="preserve"> (minimum n = 5 participants) with the System Usability Scale (SUS) questionnaire and Likert-scale CoT understandability ratings, as planned in the Topic 4 Evaluation Design.</w:t>
      </w:r>
    </w:p>
    <w:p>
      <w:pPr>
        <w:pStyle w:val="ListParagraph"/>
        <w:numPr>
          <w:ilvl w:val="0"/>
          <w:numId w:val="1"/>
        </w:numPr>
        <w:spacing w:before="40" w:after="40"/>
        <w:rPr/>
      </w:pPr>
      <w:r>
        <w:rPr>
          <w:rFonts w:eastAsia="Arial" w:cs="Arial"/>
          <w:b/>
          <w:bCs/>
          <w:sz w:val="22"/>
          <w:szCs w:val="22"/>
        </w:rPr>
        <w:t>Add SQLite analysis logging</w:t>
      </w:r>
      <w:r>
        <w:rPr>
          <w:rFonts w:eastAsia="Arial" w:cs="Arial"/>
          <w:sz w:val="22"/>
          <w:szCs w:val="22"/>
        </w:rPr>
        <w:t xml:space="preserve"> to create an immutable historical record of recommendations for backtesting and regulatory audit trail purposes.</w:t>
      </w:r>
    </w:p>
    <w:p>
      <w:pPr>
        <w:pStyle w:val="Normal"/>
        <w:spacing w:before="100" w:after="0"/>
        <w:rPr/>
      </w:pPr>
      <w:r>
        <w:rPr/>
      </w:r>
    </w:p>
    <w:p>
      <w:pPr>
        <w:pStyle w:val="Heading1"/>
        <w:spacing w:before="340" w:after="120"/>
        <w:rPr/>
      </w:pPr>
      <w:r>
        <w:rPr>
          <w:rFonts w:eastAsia="Arial" w:cs="Arial" w:ascii="Arial" w:hAnsi="Arial"/>
          <w:b/>
          <w:bCs/>
          <w:color w:val="1F3864"/>
          <w:sz w:val="28"/>
          <w:szCs w:val="28"/>
        </w:rPr>
        <w:t>References</w:t>
      </w:r>
    </w:p>
    <w:p>
      <w:pPr>
        <w:pStyle w:val="Normal"/>
        <w:spacing w:before="80" w:after="80"/>
        <w:rPr/>
      </w:pPr>
      <w:r>
        <w:rPr>
          <w:rFonts w:eastAsia="Arial" w:cs="Arial"/>
          <w:b/>
          <w:bCs/>
          <w:sz w:val="22"/>
          <w:szCs w:val="22"/>
        </w:rPr>
        <w:t>Appel, G.</w:t>
      </w:r>
      <w:r>
        <w:rPr>
          <w:rFonts w:eastAsia="Arial" w:cs="Arial"/>
          <w:sz w:val="22"/>
          <w:szCs w:val="22"/>
        </w:rPr>
        <w:t xml:space="preserve"> (1979). </w:t>
      </w:r>
      <w:r>
        <w:rPr>
          <w:rFonts w:eastAsia="Arial" w:cs="Arial"/>
          <w:i/>
          <w:iCs/>
          <w:sz w:val="22"/>
          <w:szCs w:val="22"/>
        </w:rPr>
        <w:t>The Moving Average Convergence-Divergence Method.</w:t>
      </w:r>
      <w:r>
        <w:rPr>
          <w:rFonts w:eastAsia="Arial" w:cs="Arial"/>
          <w:sz w:val="22"/>
          <w:szCs w:val="22"/>
        </w:rPr>
        <w:t xml:space="preserve"> Signalert Corporation.</w:t>
      </w:r>
    </w:p>
    <w:p>
      <w:pPr>
        <w:pStyle w:val="Normal"/>
        <w:spacing w:before="80" w:after="80"/>
        <w:rPr/>
      </w:pPr>
      <w:r>
        <w:rPr>
          <w:rFonts w:eastAsia="Arial" w:cs="Arial"/>
          <w:b/>
          <w:bCs/>
          <w:sz w:val="22"/>
          <w:szCs w:val="22"/>
        </w:rPr>
        <w:t>EU AI Act</w:t>
      </w:r>
      <w:r>
        <w:rPr>
          <w:rFonts w:eastAsia="Arial" w:cs="Arial"/>
          <w:sz w:val="22"/>
          <w:szCs w:val="22"/>
        </w:rPr>
        <w:t xml:space="preserve"> (2024). Regulation (EU) 2024/1689. Available at: https://www.euaiact.com/key-issue/5.</w:t>
      </w:r>
    </w:p>
    <w:p>
      <w:pPr>
        <w:pStyle w:val="Normal"/>
        <w:spacing w:before="80" w:after="80"/>
        <w:rPr/>
      </w:pPr>
      <w:r>
        <w:rPr>
          <w:rFonts w:eastAsia="Arial" w:cs="Arial"/>
          <w:b/>
          <w:bCs/>
          <w:sz w:val="22"/>
          <w:szCs w:val="22"/>
        </w:rPr>
        <w:t>GDPR</w:t>
      </w:r>
      <w:r>
        <w:rPr>
          <w:rFonts w:eastAsia="Arial" w:cs="Arial"/>
          <w:sz w:val="22"/>
          <w:szCs w:val="22"/>
        </w:rPr>
        <w:t xml:space="preserve"> (2016). Regulation (EU) 2016/679, Articles 5, 22, 25. Available at: https://gdpr-info.eu.</w:t>
      </w:r>
    </w:p>
    <w:p>
      <w:pPr>
        <w:pStyle w:val="Normal"/>
        <w:spacing w:before="80" w:after="80"/>
        <w:rPr/>
      </w:pPr>
      <w:r>
        <w:rPr>
          <w:rFonts w:eastAsia="Arial" w:cs="Arial"/>
          <w:b/>
          <w:bCs/>
          <w:sz w:val="22"/>
          <w:szCs w:val="22"/>
        </w:rPr>
        <w:t>Wei, J. et al.</w:t>
      </w:r>
      <w:r>
        <w:rPr>
          <w:rFonts w:eastAsia="Arial" w:cs="Arial"/>
          <w:sz w:val="22"/>
          <w:szCs w:val="22"/>
        </w:rPr>
        <w:t xml:space="preserve"> (2022). Chain-of-Thought Prompting Elicits Reasoning in Large Language Models. </w:t>
      </w:r>
      <w:r>
        <w:rPr>
          <w:rFonts w:eastAsia="Arial" w:cs="Arial"/>
          <w:i/>
          <w:iCs/>
          <w:sz w:val="22"/>
          <w:szCs w:val="22"/>
        </w:rPr>
        <w:t>arXiv:2201.11903.</w:t>
      </w:r>
    </w:p>
    <w:p>
      <w:pPr>
        <w:pStyle w:val="Normal"/>
        <w:spacing w:before="80" w:after="80"/>
        <w:rPr/>
      </w:pPr>
      <w:r>
        <w:rPr>
          <w:rFonts w:eastAsia="Arial" w:cs="Arial"/>
          <w:b/>
          <w:bCs/>
          <w:sz w:val="22"/>
          <w:szCs w:val="22"/>
        </w:rPr>
        <w:t>Wilder, J.W.</w:t>
      </w:r>
      <w:r>
        <w:rPr>
          <w:rFonts w:eastAsia="Arial" w:cs="Arial"/>
          <w:sz w:val="22"/>
          <w:szCs w:val="22"/>
        </w:rPr>
        <w:t xml:space="preserve"> (1978). </w:t>
      </w:r>
      <w:r>
        <w:rPr>
          <w:rFonts w:eastAsia="Arial" w:cs="Arial"/>
          <w:i/>
          <w:iCs/>
          <w:sz w:val="22"/>
          <w:szCs w:val="22"/>
        </w:rPr>
        <w:t>New Concepts in Technical Trading Systems.</w:t>
      </w:r>
      <w:r>
        <w:rPr>
          <w:rFonts w:eastAsia="Arial" w:cs="Arial"/>
          <w:sz w:val="22"/>
          <w:szCs w:val="22"/>
        </w:rPr>
        <w:t xml:space="preserve"> Trend Research.</w:t>
      </w:r>
    </w:p>
    <w:p>
      <w:pPr>
        <w:pStyle w:val="Normal"/>
        <w:spacing w:before="80" w:after="80"/>
        <w:rPr/>
      </w:pPr>
      <w:r>
        <w:rPr>
          <w:rFonts w:eastAsia="Arial" w:cs="Arial"/>
          <w:b/>
          <w:bCs/>
          <w:sz w:val="22"/>
          <w:szCs w:val="22"/>
        </w:rPr>
        <w:t>Wu, S. et al.</w:t>
      </w:r>
      <w:r>
        <w:rPr>
          <w:rFonts w:eastAsia="Arial" w:cs="Arial"/>
          <w:sz w:val="22"/>
          <w:szCs w:val="22"/>
        </w:rPr>
        <w:t xml:space="preserve"> (2023). BloombergGPT: A Large Language Model for Finance. </w:t>
      </w:r>
      <w:r>
        <w:rPr>
          <w:rFonts w:eastAsia="Arial" w:cs="Arial"/>
          <w:i/>
          <w:iCs/>
          <w:sz w:val="22"/>
          <w:szCs w:val="22"/>
        </w:rPr>
        <w:t>arXiv:2303.17564.</w:t>
      </w:r>
    </w:p>
    <w:p>
      <w:pPr>
        <w:pStyle w:val="Normal"/>
        <w:spacing w:before="80" w:after="80"/>
        <w:rPr/>
      </w:pPr>
      <w:r>
        <w:rPr>
          <w:rFonts w:eastAsia="Arial" w:cs="Arial"/>
          <w:b/>
          <w:bCs/>
          <w:sz w:val="22"/>
          <w:szCs w:val="22"/>
        </w:rPr>
        <w:t>Yang, H. et al.</w:t>
      </w:r>
      <w:r>
        <w:rPr>
          <w:rFonts w:eastAsia="Arial" w:cs="Arial"/>
          <w:sz w:val="22"/>
          <w:szCs w:val="22"/>
        </w:rPr>
        <w:t xml:space="preserve"> (2023). FinGPT: Open-Source Financial Large Language Models. </w:t>
      </w:r>
      <w:r>
        <w:rPr>
          <w:rFonts w:eastAsia="Arial" w:cs="Arial"/>
          <w:i/>
          <w:iCs/>
          <w:sz w:val="22"/>
          <w:szCs w:val="22"/>
        </w:rPr>
        <w:t>arXiv:2306.06031.</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charset w:val="01" w:characterSet="utf-8"/>
    <w:family w:val="roman"/>
    <w:pitch w:val="variable"/>
  </w:font>
  <w:font w:name="Cambria Math">
    <w:charset w:val="01" w:characterSet="utf-8"/>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spacing w:before="80" w:after="0"/>
      <w:rPr/>
    </w:pPr>
    <w:r>
      <w:rPr>
        <w:rFonts w:eastAsia="Arial" w:cs="Arial"/>
        <w:color w:val="777777"/>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10</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CCCCCC"/>
      </w:pBdr>
      <w:spacing w:before="80" w:after="0"/>
      <w:rPr/>
    </w:pPr>
    <w:r>
      <w:rPr>
        <w:rFonts w:eastAsia="Arial" w:cs="Arial"/>
        <w:color w:val="777777"/>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10</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3864"/>
      </w:pBdr>
      <w:tabs>
        <w:tab w:val="clear" w:pos="720"/>
        <w:tab w:val="right" w:pos="8500" w:leader="none"/>
      </w:tabs>
      <w:spacing w:before="0" w:after="120"/>
      <w:rPr/>
    </w:pPr>
    <w:r>
      <w:rPr>
        <w:rFonts w:eastAsia="Arial" w:cs="Arial"/>
        <w:i/>
        <w:iCs/>
        <w:color w:val="555555"/>
        <w:sz w:val="18"/>
        <w:szCs w:val="18"/>
      </w:rPr>
      <w:t>PrivateFin — Implementation Prototype Report  |  Topic 6</w:t>
    </w:r>
    <w:r>
      <w:rPr>
        <w:rFonts w:eastAsia="Arial" w:cs="Arial"/>
        <w:sz w:val="18"/>
        <w:szCs w:val="18"/>
      </w:rPr>
      <w:tab/>
      <w:t xml:space="preserve"> </w:t>
    </w:r>
    <w:r>
      <w:rPr>
        <w:rFonts w:eastAsia="Arial" w:cs="Arial"/>
        <w:i/>
        <w:iCs/>
        <w:color w:val="555555"/>
        <w:sz w:val="18"/>
        <w:szCs w:val="18"/>
      </w:rPr>
      <w:t>University of London  |  CM3020 Artificial Intelligence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3864"/>
      </w:pBdr>
      <w:tabs>
        <w:tab w:val="clear" w:pos="720"/>
        <w:tab w:val="right" w:pos="8500" w:leader="none"/>
      </w:tabs>
      <w:spacing w:before="0" w:after="120"/>
      <w:rPr/>
    </w:pPr>
    <w:r>
      <w:rPr>
        <w:rFonts w:eastAsia="Arial" w:cs="Arial"/>
        <w:i/>
        <w:iCs/>
        <w:color w:val="555555"/>
        <w:sz w:val="18"/>
        <w:szCs w:val="18"/>
      </w:rPr>
      <w:t>PrivateFin — Implementation Prototype Report  |  Topic 6</w:t>
    </w:r>
    <w:r>
      <w:rPr>
        <w:rFonts w:eastAsia="Arial" w:cs="Arial"/>
        <w:sz w:val="18"/>
        <w:szCs w:val="18"/>
      </w:rPr>
      <w:tab/>
      <w:t xml:space="preserve"> </w:t>
    </w:r>
    <w:r>
      <w:rPr>
        <w:rFonts w:eastAsia="Arial" w:cs="Arial"/>
        <w:i/>
        <w:iCs/>
        <w:color w:val="555555"/>
        <w:sz w:val="18"/>
        <w:szCs w:val="18"/>
      </w:rPr>
      <w:t>University of London  |  CM3020 Artificial Intelligence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40" w:after="120"/>
      <w:outlineLvl w:val="0"/>
    </w:pPr>
    <w:rPr>
      <w:rFonts w:ascii="Arial" w:hAnsi="Arial" w:eastAsia="Arial" w:cs="Arial"/>
      <w:b/>
      <w:bCs/>
      <w:color w:val="1F3864"/>
      <w:sz w:val="28"/>
      <w:szCs w:val="28"/>
    </w:rPr>
  </w:style>
  <w:style w:type="paragraph" w:styleId="Heading2">
    <w:name w:val="heading 2"/>
    <w:basedOn w:val="Heading"/>
    <w:qFormat/>
    <w:pPr>
      <w:spacing w:before="240" w:after="80"/>
      <w:outlineLvl w:val="1"/>
    </w:pPr>
    <w:rPr>
      <w:rFonts w:ascii="Arial" w:hAnsi="Arial" w:eastAsia="Arial" w:cs="Arial"/>
      <w:b/>
      <w:bCs/>
      <w:color w:val="2E5A9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LibreOffice/26.2.1.2$MacOSX_AARCH64 LibreOffice_project/8399f6259d8c87f40e7255cdb3c9b958f5e08948</Application>
  <AppVersion>15.0000</AppVersion>
  <Pages>10</Pages>
  <Words>2843</Words>
  <Characters>16978</Characters>
  <CharactersWithSpaces>19770</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2026-05-01T08:57:50Z</dcterms:created>
  <dc:creator>Un-named</dc:creator>
  <dc:description/>
  <dc:language>en-GB</dc:language>
  <cp:lastModifiedBy/>
  <dcterms:modified xsi:type="dcterms:W3CDTF">2026-05-01T10:03:10Z</dcterms:modified>
  <cp:revision>3</cp:revision>
  <dc:subject/>
  <dc:title/>
</cp:coreProperties>
</file>