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E67D72" w14:textId="77777777" w:rsidR="0007017D" w:rsidRDefault="0007017D"/>
    <w:p w14:paraId="0B673989" w14:textId="77777777" w:rsidR="0007017D" w:rsidRDefault="0007017D"/>
    <w:p w14:paraId="1216FC50" w14:textId="77777777" w:rsidR="0007017D" w:rsidRDefault="0007017D"/>
    <w:p w14:paraId="16DA3DBD" w14:textId="77777777" w:rsidR="0007017D" w:rsidRDefault="0007017D"/>
    <w:p w14:paraId="4D7F49BC" w14:textId="77777777" w:rsidR="0007017D" w:rsidRDefault="0007017D"/>
    <w:p w14:paraId="273C957A" w14:textId="77777777" w:rsidR="0007017D" w:rsidRDefault="0007017D"/>
    <w:p w14:paraId="5A3F3D8A" w14:textId="77777777" w:rsidR="0007017D" w:rsidRDefault="005C263B">
      <w:pPr>
        <w:jc w:val="center"/>
      </w:pPr>
      <w:r>
        <w:rPr>
          <w:b/>
          <w:color w:val="1F3864"/>
          <w:sz w:val="60"/>
        </w:rPr>
        <w:t>QUANT ADVISORY TERMINAL</w:t>
      </w:r>
    </w:p>
    <w:p w14:paraId="4728B744" w14:textId="77777777" w:rsidR="0007017D" w:rsidRDefault="005C263B">
      <w:pPr>
        <w:jc w:val="center"/>
      </w:pPr>
      <w:r>
        <w:rPr>
          <w:color w:val="2E5395"/>
          <w:sz w:val="36"/>
        </w:rPr>
        <w:t>User Manual</w:t>
      </w:r>
    </w:p>
    <w:p w14:paraId="000B8745" w14:textId="77777777" w:rsidR="0007017D" w:rsidRDefault="005C263B">
      <w:pPr>
        <w:jc w:val="center"/>
      </w:pPr>
      <w:r>
        <w:rPr>
          <w:i/>
          <w:color w:val="595959"/>
          <w:sz w:val="22"/>
        </w:rPr>
        <w:t>AI-Assisted, Multi-Strategy Share-Trading Advisory &amp; Paper-Trading Desktop Application</w:t>
      </w:r>
    </w:p>
    <w:p w14:paraId="55511431" w14:textId="77777777" w:rsidR="0007017D" w:rsidRDefault="0007017D"/>
    <w:p w14:paraId="22808980" w14:textId="77777777" w:rsidR="0007017D" w:rsidRDefault="005C263B">
      <w:pPr>
        <w:jc w:val="center"/>
      </w:pPr>
      <w:r>
        <w:rPr>
          <w:sz w:val="20"/>
        </w:rPr>
        <w:t>Version 1.0  |  Milestone M9 (Final)</w:t>
      </w:r>
    </w:p>
    <w:p w14:paraId="3827B19E" w14:textId="77777777" w:rsidR="0007017D" w:rsidRDefault="005C263B">
      <w:pPr>
        <w:jc w:val="center"/>
      </w:pPr>
      <w:r>
        <w:rPr>
          <w:color w:val="595959"/>
          <w:sz w:val="20"/>
        </w:rPr>
        <w:t>2026-07-25</w:t>
      </w:r>
    </w:p>
    <w:p w14:paraId="65D5C420" w14:textId="77777777" w:rsidR="0007017D" w:rsidRDefault="0007017D"/>
    <w:p w14:paraId="54D1F5A3" w14:textId="77777777" w:rsidR="0007017D" w:rsidRDefault="0007017D"/>
    <w:p w14:paraId="15C94B47" w14:textId="77777777" w:rsidR="0007017D" w:rsidRDefault="0007017D"/>
    <w:p w14:paraId="6659AD32" w14:textId="77777777" w:rsidR="0007017D" w:rsidRDefault="0007017D"/>
    <w:tbl>
      <w:tblPr>
        <w:tblStyle w:val="TableGrid"/>
        <w:tblW w:w="0" w:type="auto"/>
        <w:jc w:val="center"/>
        <w:tblLook w:val="04A0" w:firstRow="1" w:lastRow="0" w:firstColumn="1" w:lastColumn="0" w:noHBand="0" w:noVBand="1"/>
      </w:tblPr>
      <w:tblGrid>
        <w:gridCol w:w="9360"/>
      </w:tblGrid>
      <w:tr w:rsidR="0007017D" w14:paraId="5B69F0FE" w14:textId="77777777">
        <w:trPr>
          <w:jc w:val="center"/>
        </w:trPr>
        <w:tc>
          <w:tcPr>
            <w:tcW w:w="9360" w:type="dxa"/>
            <w:shd w:val="clear" w:color="auto" w:fill="EDEFF4"/>
          </w:tcPr>
          <w:p w14:paraId="19563F2B" w14:textId="77777777" w:rsidR="0007017D" w:rsidRDefault="005C263B">
            <w:r>
              <w:rPr>
                <w:b/>
                <w:color w:val="B71C1C"/>
                <w:sz w:val="20"/>
              </w:rPr>
              <w:t>SAFETY NOTICE</w:t>
            </w:r>
          </w:p>
          <w:p w14:paraId="1CC20C98" w14:textId="77777777" w:rsidR="0007017D" w:rsidRDefault="005C263B">
            <w:r>
              <w:rPr>
                <w:sz w:val="20"/>
              </w:rPr>
              <w:t>This application defaults to Paper Trading mode and cannot place, modify, or cancel a live order without an explicit, human-attributed sign-off action. It is educational / research software; nothing it displays is investment advice. See Section 10, “Safety Architecture Reference,” before using Live mode.</w:t>
            </w:r>
          </w:p>
        </w:tc>
      </w:tr>
    </w:tbl>
    <w:p w14:paraId="0A4F2EF2" w14:textId="77777777" w:rsidR="0007017D" w:rsidRDefault="0007017D"/>
    <w:p w14:paraId="1AC8B842" w14:textId="77777777" w:rsidR="0007017D" w:rsidRDefault="005C263B">
      <w:r>
        <w:br w:type="page"/>
      </w:r>
    </w:p>
    <w:p w14:paraId="21517440" w14:textId="77777777" w:rsidR="0007017D" w:rsidRDefault="005C263B">
      <w:pPr>
        <w:pStyle w:val="Heading1"/>
      </w:pPr>
      <w:bookmarkStart w:id="0" w:name="_Toc235861736"/>
      <w:r>
        <w:lastRenderedPageBreak/>
        <w:t>Table of Contents</w:t>
      </w:r>
      <w:bookmarkEnd w:id="0"/>
    </w:p>
    <w:p w14:paraId="023BF7AF" w14:textId="21D6F6AE" w:rsidR="005C263B" w:rsidRDefault="005C263B">
      <w:pPr>
        <w:pStyle w:val="TOC1"/>
        <w:tabs>
          <w:tab w:val="right" w:leader="dot" w:pos="9350"/>
        </w:tabs>
        <w:rPr>
          <w:noProof/>
        </w:rPr>
      </w:pPr>
      <w:r>
        <w:fldChar w:fldCharType="begin"/>
      </w:r>
      <w:r>
        <w:instrText>TOC \o "1-2" \h \z \u</w:instrText>
      </w:r>
      <w:r>
        <w:fldChar w:fldCharType="separate"/>
      </w:r>
      <w:hyperlink w:anchor="_Toc235861736" w:history="1">
        <w:r w:rsidRPr="00D94063">
          <w:rPr>
            <w:rStyle w:val="Hyperlink"/>
            <w:noProof/>
          </w:rPr>
          <w:t>Table of Contents</w:t>
        </w:r>
        <w:r>
          <w:rPr>
            <w:noProof/>
            <w:webHidden/>
          </w:rPr>
          <w:tab/>
        </w:r>
        <w:r>
          <w:rPr>
            <w:noProof/>
            <w:webHidden/>
          </w:rPr>
          <w:fldChar w:fldCharType="begin"/>
        </w:r>
        <w:r>
          <w:rPr>
            <w:noProof/>
            <w:webHidden/>
          </w:rPr>
          <w:instrText xml:space="preserve"> PAGEREF _Toc235861736 \h </w:instrText>
        </w:r>
        <w:r>
          <w:rPr>
            <w:noProof/>
            <w:webHidden/>
          </w:rPr>
        </w:r>
        <w:r>
          <w:rPr>
            <w:noProof/>
            <w:webHidden/>
          </w:rPr>
          <w:fldChar w:fldCharType="separate"/>
        </w:r>
        <w:r w:rsidR="008A7BC3">
          <w:rPr>
            <w:noProof/>
            <w:webHidden/>
          </w:rPr>
          <w:t>2</w:t>
        </w:r>
        <w:r>
          <w:rPr>
            <w:noProof/>
            <w:webHidden/>
          </w:rPr>
          <w:fldChar w:fldCharType="end"/>
        </w:r>
      </w:hyperlink>
    </w:p>
    <w:p w14:paraId="51999624" w14:textId="5DDAB72A" w:rsidR="005C263B" w:rsidRDefault="008A7BC3">
      <w:pPr>
        <w:pStyle w:val="TOC1"/>
        <w:tabs>
          <w:tab w:val="right" w:leader="dot" w:pos="9350"/>
        </w:tabs>
        <w:rPr>
          <w:noProof/>
        </w:rPr>
      </w:pPr>
      <w:hyperlink w:anchor="_Toc235861737" w:history="1">
        <w:r w:rsidR="005C263B" w:rsidRPr="00D94063">
          <w:rPr>
            <w:rStyle w:val="Hyperlink"/>
            <w:noProof/>
          </w:rPr>
          <w:t>1. Introduction</w:t>
        </w:r>
        <w:r w:rsidR="005C263B">
          <w:rPr>
            <w:noProof/>
            <w:webHidden/>
          </w:rPr>
          <w:tab/>
        </w:r>
        <w:r w:rsidR="005C263B">
          <w:rPr>
            <w:noProof/>
            <w:webHidden/>
          </w:rPr>
          <w:fldChar w:fldCharType="begin"/>
        </w:r>
        <w:r w:rsidR="005C263B">
          <w:rPr>
            <w:noProof/>
            <w:webHidden/>
          </w:rPr>
          <w:instrText xml:space="preserve"> PAGEREF _Toc235861737 \h </w:instrText>
        </w:r>
        <w:r w:rsidR="005C263B">
          <w:rPr>
            <w:noProof/>
            <w:webHidden/>
          </w:rPr>
        </w:r>
        <w:r w:rsidR="005C263B">
          <w:rPr>
            <w:noProof/>
            <w:webHidden/>
          </w:rPr>
          <w:fldChar w:fldCharType="separate"/>
        </w:r>
        <w:r>
          <w:rPr>
            <w:noProof/>
            <w:webHidden/>
          </w:rPr>
          <w:t>3</w:t>
        </w:r>
        <w:r w:rsidR="005C263B">
          <w:rPr>
            <w:noProof/>
            <w:webHidden/>
          </w:rPr>
          <w:fldChar w:fldCharType="end"/>
        </w:r>
      </w:hyperlink>
    </w:p>
    <w:p w14:paraId="0C21D6CE" w14:textId="45C27615" w:rsidR="005C263B" w:rsidRDefault="008A7BC3">
      <w:pPr>
        <w:pStyle w:val="TOC2"/>
        <w:tabs>
          <w:tab w:val="right" w:leader="dot" w:pos="9350"/>
        </w:tabs>
        <w:rPr>
          <w:noProof/>
        </w:rPr>
      </w:pPr>
      <w:hyperlink w:anchor="_Toc235861738" w:history="1">
        <w:r w:rsidR="005C263B" w:rsidRPr="00D94063">
          <w:rPr>
            <w:rStyle w:val="Hyperlink"/>
            <w:noProof/>
          </w:rPr>
          <w:t>1.1 About This Application</w:t>
        </w:r>
        <w:r w:rsidR="005C263B">
          <w:rPr>
            <w:noProof/>
            <w:webHidden/>
          </w:rPr>
          <w:tab/>
        </w:r>
        <w:r w:rsidR="005C263B">
          <w:rPr>
            <w:noProof/>
            <w:webHidden/>
          </w:rPr>
          <w:fldChar w:fldCharType="begin"/>
        </w:r>
        <w:r w:rsidR="005C263B">
          <w:rPr>
            <w:noProof/>
            <w:webHidden/>
          </w:rPr>
          <w:instrText xml:space="preserve"> PAGEREF _Toc235861738 \h </w:instrText>
        </w:r>
        <w:r w:rsidR="005C263B">
          <w:rPr>
            <w:noProof/>
            <w:webHidden/>
          </w:rPr>
        </w:r>
        <w:r w:rsidR="005C263B">
          <w:rPr>
            <w:noProof/>
            <w:webHidden/>
          </w:rPr>
          <w:fldChar w:fldCharType="separate"/>
        </w:r>
        <w:r>
          <w:rPr>
            <w:noProof/>
            <w:webHidden/>
          </w:rPr>
          <w:t>3</w:t>
        </w:r>
        <w:r w:rsidR="005C263B">
          <w:rPr>
            <w:noProof/>
            <w:webHidden/>
          </w:rPr>
          <w:fldChar w:fldCharType="end"/>
        </w:r>
      </w:hyperlink>
    </w:p>
    <w:p w14:paraId="093A6166" w14:textId="371412F7" w:rsidR="005C263B" w:rsidRDefault="008A7BC3">
      <w:pPr>
        <w:pStyle w:val="TOC2"/>
        <w:tabs>
          <w:tab w:val="right" w:leader="dot" w:pos="9350"/>
        </w:tabs>
        <w:rPr>
          <w:noProof/>
        </w:rPr>
      </w:pPr>
      <w:hyperlink w:anchor="_Toc235861739" w:history="1">
        <w:r w:rsidR="005C263B" w:rsidRPr="00D94063">
          <w:rPr>
            <w:rStyle w:val="Hyperlink"/>
            <w:noProof/>
          </w:rPr>
          <w:t>1.2 Core Safety Principles</w:t>
        </w:r>
        <w:r w:rsidR="005C263B">
          <w:rPr>
            <w:noProof/>
            <w:webHidden/>
          </w:rPr>
          <w:tab/>
        </w:r>
        <w:r w:rsidR="005C263B">
          <w:rPr>
            <w:noProof/>
            <w:webHidden/>
          </w:rPr>
          <w:fldChar w:fldCharType="begin"/>
        </w:r>
        <w:r w:rsidR="005C263B">
          <w:rPr>
            <w:noProof/>
            <w:webHidden/>
          </w:rPr>
          <w:instrText xml:space="preserve"> PAGEREF _Toc235861739 \h </w:instrText>
        </w:r>
        <w:r w:rsidR="005C263B">
          <w:rPr>
            <w:noProof/>
            <w:webHidden/>
          </w:rPr>
        </w:r>
        <w:r w:rsidR="005C263B">
          <w:rPr>
            <w:noProof/>
            <w:webHidden/>
          </w:rPr>
          <w:fldChar w:fldCharType="separate"/>
        </w:r>
        <w:r>
          <w:rPr>
            <w:noProof/>
            <w:webHidden/>
          </w:rPr>
          <w:t>3</w:t>
        </w:r>
        <w:r w:rsidR="005C263B">
          <w:rPr>
            <w:noProof/>
            <w:webHidden/>
          </w:rPr>
          <w:fldChar w:fldCharType="end"/>
        </w:r>
      </w:hyperlink>
    </w:p>
    <w:p w14:paraId="1FB74140" w14:textId="7F17C943" w:rsidR="005C263B" w:rsidRDefault="008A7BC3">
      <w:pPr>
        <w:pStyle w:val="TOC2"/>
        <w:tabs>
          <w:tab w:val="right" w:leader="dot" w:pos="9350"/>
        </w:tabs>
        <w:rPr>
          <w:noProof/>
        </w:rPr>
      </w:pPr>
      <w:hyperlink w:anchor="_Toc235861740" w:history="1">
        <w:r w:rsidR="005C263B" w:rsidRPr="00D94063">
          <w:rPr>
            <w:rStyle w:val="Hyperlink"/>
            <w:noProof/>
          </w:rPr>
          <w:t>1.3 System Requirements &amp; Installation</w:t>
        </w:r>
        <w:r w:rsidR="005C263B">
          <w:rPr>
            <w:noProof/>
            <w:webHidden/>
          </w:rPr>
          <w:tab/>
        </w:r>
        <w:r w:rsidR="005C263B">
          <w:rPr>
            <w:noProof/>
            <w:webHidden/>
          </w:rPr>
          <w:fldChar w:fldCharType="begin"/>
        </w:r>
        <w:r w:rsidR="005C263B">
          <w:rPr>
            <w:noProof/>
            <w:webHidden/>
          </w:rPr>
          <w:instrText xml:space="preserve"> PAGEREF _Toc235861740 \h </w:instrText>
        </w:r>
        <w:r w:rsidR="005C263B">
          <w:rPr>
            <w:noProof/>
            <w:webHidden/>
          </w:rPr>
        </w:r>
        <w:r w:rsidR="005C263B">
          <w:rPr>
            <w:noProof/>
            <w:webHidden/>
          </w:rPr>
          <w:fldChar w:fldCharType="separate"/>
        </w:r>
        <w:r>
          <w:rPr>
            <w:noProof/>
            <w:webHidden/>
          </w:rPr>
          <w:t>3</w:t>
        </w:r>
        <w:r w:rsidR="005C263B">
          <w:rPr>
            <w:noProof/>
            <w:webHidden/>
          </w:rPr>
          <w:fldChar w:fldCharType="end"/>
        </w:r>
      </w:hyperlink>
    </w:p>
    <w:p w14:paraId="544EFAC2" w14:textId="04B0ABA7" w:rsidR="005C263B" w:rsidRDefault="008A7BC3">
      <w:pPr>
        <w:pStyle w:val="TOC1"/>
        <w:tabs>
          <w:tab w:val="right" w:leader="dot" w:pos="9350"/>
        </w:tabs>
        <w:rPr>
          <w:noProof/>
        </w:rPr>
      </w:pPr>
      <w:hyperlink w:anchor="_Toc235861741" w:history="1">
        <w:r w:rsidR="005C263B" w:rsidRPr="00D94063">
          <w:rPr>
            <w:rStyle w:val="Hyperlink"/>
            <w:noProof/>
          </w:rPr>
          <w:t>2. Getting Started</w:t>
        </w:r>
        <w:r w:rsidR="005C263B">
          <w:rPr>
            <w:noProof/>
            <w:webHidden/>
          </w:rPr>
          <w:tab/>
        </w:r>
        <w:r w:rsidR="005C263B">
          <w:rPr>
            <w:noProof/>
            <w:webHidden/>
          </w:rPr>
          <w:fldChar w:fldCharType="begin"/>
        </w:r>
        <w:r w:rsidR="005C263B">
          <w:rPr>
            <w:noProof/>
            <w:webHidden/>
          </w:rPr>
          <w:instrText xml:space="preserve"> PAGEREF _Toc235861741 \h </w:instrText>
        </w:r>
        <w:r w:rsidR="005C263B">
          <w:rPr>
            <w:noProof/>
            <w:webHidden/>
          </w:rPr>
        </w:r>
        <w:r w:rsidR="005C263B">
          <w:rPr>
            <w:noProof/>
            <w:webHidden/>
          </w:rPr>
          <w:fldChar w:fldCharType="separate"/>
        </w:r>
        <w:r>
          <w:rPr>
            <w:noProof/>
            <w:webHidden/>
          </w:rPr>
          <w:t>5</w:t>
        </w:r>
        <w:r w:rsidR="005C263B">
          <w:rPr>
            <w:noProof/>
            <w:webHidden/>
          </w:rPr>
          <w:fldChar w:fldCharType="end"/>
        </w:r>
      </w:hyperlink>
    </w:p>
    <w:p w14:paraId="74F6BB64" w14:textId="7D032CA8" w:rsidR="005C263B" w:rsidRDefault="008A7BC3">
      <w:pPr>
        <w:pStyle w:val="TOC2"/>
        <w:tabs>
          <w:tab w:val="right" w:leader="dot" w:pos="9350"/>
        </w:tabs>
        <w:rPr>
          <w:noProof/>
        </w:rPr>
      </w:pPr>
      <w:hyperlink w:anchor="_Toc235861742" w:history="1">
        <w:r w:rsidR="005C263B" w:rsidRPr="00D94063">
          <w:rPr>
            <w:rStyle w:val="Hyperlink"/>
            <w:noProof/>
          </w:rPr>
          <w:t>2.1 Launching the Application</w:t>
        </w:r>
        <w:r w:rsidR="005C263B">
          <w:rPr>
            <w:noProof/>
            <w:webHidden/>
          </w:rPr>
          <w:tab/>
        </w:r>
        <w:r w:rsidR="005C263B">
          <w:rPr>
            <w:noProof/>
            <w:webHidden/>
          </w:rPr>
          <w:fldChar w:fldCharType="begin"/>
        </w:r>
        <w:r w:rsidR="005C263B">
          <w:rPr>
            <w:noProof/>
            <w:webHidden/>
          </w:rPr>
          <w:instrText xml:space="preserve"> PAGEREF _Toc235861742 \h </w:instrText>
        </w:r>
        <w:r w:rsidR="005C263B">
          <w:rPr>
            <w:noProof/>
            <w:webHidden/>
          </w:rPr>
        </w:r>
        <w:r w:rsidR="005C263B">
          <w:rPr>
            <w:noProof/>
            <w:webHidden/>
          </w:rPr>
          <w:fldChar w:fldCharType="separate"/>
        </w:r>
        <w:r>
          <w:rPr>
            <w:noProof/>
            <w:webHidden/>
          </w:rPr>
          <w:t>5</w:t>
        </w:r>
        <w:r w:rsidR="005C263B">
          <w:rPr>
            <w:noProof/>
            <w:webHidden/>
          </w:rPr>
          <w:fldChar w:fldCharType="end"/>
        </w:r>
      </w:hyperlink>
    </w:p>
    <w:p w14:paraId="387FE024" w14:textId="6FF7BF27" w:rsidR="005C263B" w:rsidRDefault="008A7BC3">
      <w:pPr>
        <w:pStyle w:val="TOC2"/>
        <w:tabs>
          <w:tab w:val="right" w:leader="dot" w:pos="9350"/>
        </w:tabs>
        <w:rPr>
          <w:noProof/>
        </w:rPr>
      </w:pPr>
      <w:hyperlink w:anchor="_Toc235861743" w:history="1">
        <w:r w:rsidR="005C263B" w:rsidRPr="00D94063">
          <w:rPr>
            <w:rStyle w:val="Hyperlink"/>
            <w:noProof/>
          </w:rPr>
          <w:t>2.2 The Main Window</w:t>
        </w:r>
        <w:r w:rsidR="005C263B">
          <w:rPr>
            <w:noProof/>
            <w:webHidden/>
          </w:rPr>
          <w:tab/>
        </w:r>
        <w:r w:rsidR="005C263B">
          <w:rPr>
            <w:noProof/>
            <w:webHidden/>
          </w:rPr>
          <w:fldChar w:fldCharType="begin"/>
        </w:r>
        <w:r w:rsidR="005C263B">
          <w:rPr>
            <w:noProof/>
            <w:webHidden/>
          </w:rPr>
          <w:instrText xml:space="preserve"> PAGEREF _Toc235861743 \h </w:instrText>
        </w:r>
        <w:r w:rsidR="005C263B">
          <w:rPr>
            <w:noProof/>
            <w:webHidden/>
          </w:rPr>
        </w:r>
        <w:r w:rsidR="005C263B">
          <w:rPr>
            <w:noProof/>
            <w:webHidden/>
          </w:rPr>
          <w:fldChar w:fldCharType="separate"/>
        </w:r>
        <w:r>
          <w:rPr>
            <w:noProof/>
            <w:webHidden/>
          </w:rPr>
          <w:t>5</w:t>
        </w:r>
        <w:r w:rsidR="005C263B">
          <w:rPr>
            <w:noProof/>
            <w:webHidden/>
          </w:rPr>
          <w:fldChar w:fldCharType="end"/>
        </w:r>
      </w:hyperlink>
    </w:p>
    <w:p w14:paraId="1CC6A5D0" w14:textId="70B48475" w:rsidR="005C263B" w:rsidRDefault="008A7BC3">
      <w:pPr>
        <w:pStyle w:val="TOC2"/>
        <w:tabs>
          <w:tab w:val="right" w:leader="dot" w:pos="9350"/>
        </w:tabs>
        <w:rPr>
          <w:noProof/>
        </w:rPr>
      </w:pPr>
      <w:hyperlink w:anchor="_Toc235861744" w:history="1">
        <w:r w:rsidR="005C263B" w:rsidRPr="00D94063">
          <w:rPr>
            <w:rStyle w:val="Hyperlink"/>
            <w:noProof/>
          </w:rPr>
          <w:t>2.3 Paper vs Live Mode Indicator</w:t>
        </w:r>
        <w:r w:rsidR="005C263B">
          <w:rPr>
            <w:noProof/>
            <w:webHidden/>
          </w:rPr>
          <w:tab/>
        </w:r>
        <w:r w:rsidR="005C263B">
          <w:rPr>
            <w:noProof/>
            <w:webHidden/>
          </w:rPr>
          <w:fldChar w:fldCharType="begin"/>
        </w:r>
        <w:r w:rsidR="005C263B">
          <w:rPr>
            <w:noProof/>
            <w:webHidden/>
          </w:rPr>
          <w:instrText xml:space="preserve"> PAGEREF _Toc235861744 \h </w:instrText>
        </w:r>
        <w:r w:rsidR="005C263B">
          <w:rPr>
            <w:noProof/>
            <w:webHidden/>
          </w:rPr>
        </w:r>
        <w:r w:rsidR="005C263B">
          <w:rPr>
            <w:noProof/>
            <w:webHidden/>
          </w:rPr>
          <w:fldChar w:fldCharType="separate"/>
        </w:r>
        <w:r>
          <w:rPr>
            <w:noProof/>
            <w:webHidden/>
          </w:rPr>
          <w:t>5</w:t>
        </w:r>
        <w:r w:rsidR="005C263B">
          <w:rPr>
            <w:noProof/>
            <w:webHidden/>
          </w:rPr>
          <w:fldChar w:fldCharType="end"/>
        </w:r>
      </w:hyperlink>
    </w:p>
    <w:p w14:paraId="0BD3E326" w14:textId="61110D22" w:rsidR="005C263B" w:rsidRDefault="008A7BC3">
      <w:pPr>
        <w:pStyle w:val="TOC1"/>
        <w:tabs>
          <w:tab w:val="right" w:leader="dot" w:pos="9350"/>
        </w:tabs>
        <w:rPr>
          <w:noProof/>
        </w:rPr>
      </w:pPr>
      <w:hyperlink w:anchor="_Toc235861745" w:history="1">
        <w:r w:rsidR="005C263B" w:rsidRPr="00D94063">
          <w:rPr>
            <w:rStyle w:val="Hyperlink"/>
            <w:noProof/>
          </w:rPr>
          <w:t>3. The Dashboard</w:t>
        </w:r>
        <w:r w:rsidR="005C263B">
          <w:rPr>
            <w:noProof/>
            <w:webHidden/>
          </w:rPr>
          <w:tab/>
        </w:r>
        <w:r w:rsidR="005C263B">
          <w:rPr>
            <w:noProof/>
            <w:webHidden/>
          </w:rPr>
          <w:fldChar w:fldCharType="begin"/>
        </w:r>
        <w:r w:rsidR="005C263B">
          <w:rPr>
            <w:noProof/>
            <w:webHidden/>
          </w:rPr>
          <w:instrText xml:space="preserve"> PAGEREF _Toc235861745 \h </w:instrText>
        </w:r>
        <w:r w:rsidR="005C263B">
          <w:rPr>
            <w:noProof/>
            <w:webHidden/>
          </w:rPr>
        </w:r>
        <w:r w:rsidR="005C263B">
          <w:rPr>
            <w:noProof/>
            <w:webHidden/>
          </w:rPr>
          <w:fldChar w:fldCharType="separate"/>
        </w:r>
        <w:r>
          <w:rPr>
            <w:noProof/>
            <w:webHidden/>
          </w:rPr>
          <w:t>8</w:t>
        </w:r>
        <w:r w:rsidR="005C263B">
          <w:rPr>
            <w:noProof/>
            <w:webHidden/>
          </w:rPr>
          <w:fldChar w:fldCharType="end"/>
        </w:r>
      </w:hyperlink>
    </w:p>
    <w:p w14:paraId="5ABDE053" w14:textId="1F6DDC24" w:rsidR="005C263B" w:rsidRDefault="008A7BC3">
      <w:pPr>
        <w:pStyle w:val="TOC2"/>
        <w:tabs>
          <w:tab w:val="right" w:leader="dot" w:pos="9350"/>
        </w:tabs>
        <w:rPr>
          <w:noProof/>
        </w:rPr>
      </w:pPr>
      <w:hyperlink w:anchor="_Toc235861746" w:history="1">
        <w:r w:rsidR="005C263B" w:rsidRPr="00D94063">
          <w:rPr>
            <w:rStyle w:val="Hyperlink"/>
            <w:noProof/>
          </w:rPr>
          <w:t>3.1 Screen Elements</w:t>
        </w:r>
        <w:r w:rsidR="005C263B">
          <w:rPr>
            <w:noProof/>
            <w:webHidden/>
          </w:rPr>
          <w:tab/>
        </w:r>
        <w:r w:rsidR="005C263B">
          <w:rPr>
            <w:noProof/>
            <w:webHidden/>
          </w:rPr>
          <w:fldChar w:fldCharType="begin"/>
        </w:r>
        <w:r w:rsidR="005C263B">
          <w:rPr>
            <w:noProof/>
            <w:webHidden/>
          </w:rPr>
          <w:instrText xml:space="preserve"> PAGEREF _Toc235861746 \h </w:instrText>
        </w:r>
        <w:r w:rsidR="005C263B">
          <w:rPr>
            <w:noProof/>
            <w:webHidden/>
          </w:rPr>
        </w:r>
        <w:r w:rsidR="005C263B">
          <w:rPr>
            <w:noProof/>
            <w:webHidden/>
          </w:rPr>
          <w:fldChar w:fldCharType="separate"/>
        </w:r>
        <w:r>
          <w:rPr>
            <w:noProof/>
            <w:webHidden/>
          </w:rPr>
          <w:t>8</w:t>
        </w:r>
        <w:r w:rsidR="005C263B">
          <w:rPr>
            <w:noProof/>
            <w:webHidden/>
          </w:rPr>
          <w:fldChar w:fldCharType="end"/>
        </w:r>
      </w:hyperlink>
    </w:p>
    <w:p w14:paraId="4153C0D8" w14:textId="49A319EE" w:rsidR="005C263B" w:rsidRDefault="008A7BC3">
      <w:pPr>
        <w:pStyle w:val="TOC1"/>
        <w:tabs>
          <w:tab w:val="right" w:leader="dot" w:pos="9350"/>
        </w:tabs>
        <w:rPr>
          <w:noProof/>
        </w:rPr>
      </w:pPr>
      <w:hyperlink w:anchor="_Toc235861747" w:history="1">
        <w:r w:rsidR="005C263B" w:rsidRPr="00D94063">
          <w:rPr>
            <w:rStyle w:val="Hyperlink"/>
            <w:noProof/>
          </w:rPr>
          <w:t>4. The Strategy Workbench</w:t>
        </w:r>
        <w:r w:rsidR="005C263B">
          <w:rPr>
            <w:noProof/>
            <w:webHidden/>
          </w:rPr>
          <w:tab/>
        </w:r>
        <w:r w:rsidR="005C263B">
          <w:rPr>
            <w:noProof/>
            <w:webHidden/>
          </w:rPr>
          <w:fldChar w:fldCharType="begin"/>
        </w:r>
        <w:r w:rsidR="005C263B">
          <w:rPr>
            <w:noProof/>
            <w:webHidden/>
          </w:rPr>
          <w:instrText xml:space="preserve"> PAGEREF _Toc235861747 \h </w:instrText>
        </w:r>
        <w:r w:rsidR="005C263B">
          <w:rPr>
            <w:noProof/>
            <w:webHidden/>
          </w:rPr>
        </w:r>
        <w:r w:rsidR="005C263B">
          <w:rPr>
            <w:noProof/>
            <w:webHidden/>
          </w:rPr>
          <w:fldChar w:fldCharType="separate"/>
        </w:r>
        <w:r>
          <w:rPr>
            <w:noProof/>
            <w:webHidden/>
          </w:rPr>
          <w:t>10</w:t>
        </w:r>
        <w:r w:rsidR="005C263B">
          <w:rPr>
            <w:noProof/>
            <w:webHidden/>
          </w:rPr>
          <w:fldChar w:fldCharType="end"/>
        </w:r>
      </w:hyperlink>
    </w:p>
    <w:p w14:paraId="4519FF80" w14:textId="757E73FB" w:rsidR="005C263B" w:rsidRDefault="008A7BC3">
      <w:pPr>
        <w:pStyle w:val="TOC2"/>
        <w:tabs>
          <w:tab w:val="right" w:leader="dot" w:pos="9350"/>
        </w:tabs>
        <w:rPr>
          <w:noProof/>
        </w:rPr>
      </w:pPr>
      <w:hyperlink w:anchor="_Toc235861748" w:history="1">
        <w:r w:rsidR="005C263B" w:rsidRPr="00D94063">
          <w:rPr>
            <w:rStyle w:val="Hyperlink"/>
            <w:noProof/>
          </w:rPr>
          <w:t>4.1 Screen Elements</w:t>
        </w:r>
        <w:r w:rsidR="005C263B">
          <w:rPr>
            <w:noProof/>
            <w:webHidden/>
          </w:rPr>
          <w:tab/>
        </w:r>
        <w:r w:rsidR="005C263B">
          <w:rPr>
            <w:noProof/>
            <w:webHidden/>
          </w:rPr>
          <w:fldChar w:fldCharType="begin"/>
        </w:r>
        <w:r w:rsidR="005C263B">
          <w:rPr>
            <w:noProof/>
            <w:webHidden/>
          </w:rPr>
          <w:instrText xml:space="preserve"> PAGEREF _Toc235861748 \h </w:instrText>
        </w:r>
        <w:r w:rsidR="005C263B">
          <w:rPr>
            <w:noProof/>
            <w:webHidden/>
          </w:rPr>
        </w:r>
        <w:r w:rsidR="005C263B">
          <w:rPr>
            <w:noProof/>
            <w:webHidden/>
          </w:rPr>
          <w:fldChar w:fldCharType="separate"/>
        </w:r>
        <w:r>
          <w:rPr>
            <w:noProof/>
            <w:webHidden/>
          </w:rPr>
          <w:t>10</w:t>
        </w:r>
        <w:r w:rsidR="005C263B">
          <w:rPr>
            <w:noProof/>
            <w:webHidden/>
          </w:rPr>
          <w:fldChar w:fldCharType="end"/>
        </w:r>
      </w:hyperlink>
    </w:p>
    <w:p w14:paraId="116BB3F5" w14:textId="364018B2" w:rsidR="005C263B" w:rsidRDefault="008A7BC3">
      <w:pPr>
        <w:pStyle w:val="TOC1"/>
        <w:tabs>
          <w:tab w:val="right" w:leader="dot" w:pos="9350"/>
        </w:tabs>
        <w:rPr>
          <w:noProof/>
        </w:rPr>
      </w:pPr>
      <w:hyperlink w:anchor="_Toc235861749" w:history="1">
        <w:r w:rsidR="005C263B" w:rsidRPr="00D94063">
          <w:rPr>
            <w:rStyle w:val="Hyperlink"/>
            <w:noProof/>
          </w:rPr>
          <w:t>5. The Regime Monitor</w:t>
        </w:r>
        <w:r w:rsidR="005C263B">
          <w:rPr>
            <w:noProof/>
            <w:webHidden/>
          </w:rPr>
          <w:tab/>
        </w:r>
        <w:r w:rsidR="005C263B">
          <w:rPr>
            <w:noProof/>
            <w:webHidden/>
          </w:rPr>
          <w:fldChar w:fldCharType="begin"/>
        </w:r>
        <w:r w:rsidR="005C263B">
          <w:rPr>
            <w:noProof/>
            <w:webHidden/>
          </w:rPr>
          <w:instrText xml:space="preserve"> PAGEREF _Toc235861749 \h </w:instrText>
        </w:r>
        <w:r w:rsidR="005C263B">
          <w:rPr>
            <w:noProof/>
            <w:webHidden/>
          </w:rPr>
        </w:r>
        <w:r w:rsidR="005C263B">
          <w:rPr>
            <w:noProof/>
            <w:webHidden/>
          </w:rPr>
          <w:fldChar w:fldCharType="separate"/>
        </w:r>
        <w:r>
          <w:rPr>
            <w:noProof/>
            <w:webHidden/>
          </w:rPr>
          <w:t>12</w:t>
        </w:r>
        <w:r w:rsidR="005C263B">
          <w:rPr>
            <w:noProof/>
            <w:webHidden/>
          </w:rPr>
          <w:fldChar w:fldCharType="end"/>
        </w:r>
      </w:hyperlink>
    </w:p>
    <w:p w14:paraId="6BE38B67" w14:textId="6EAF96E2" w:rsidR="005C263B" w:rsidRDefault="008A7BC3">
      <w:pPr>
        <w:pStyle w:val="TOC2"/>
        <w:tabs>
          <w:tab w:val="right" w:leader="dot" w:pos="9350"/>
        </w:tabs>
        <w:rPr>
          <w:noProof/>
        </w:rPr>
      </w:pPr>
      <w:hyperlink w:anchor="_Toc235861750" w:history="1">
        <w:r w:rsidR="005C263B" w:rsidRPr="00D94063">
          <w:rPr>
            <w:rStyle w:val="Hyperlink"/>
            <w:noProof/>
          </w:rPr>
          <w:t>5.1 Screen Elements</w:t>
        </w:r>
        <w:r w:rsidR="005C263B">
          <w:rPr>
            <w:noProof/>
            <w:webHidden/>
          </w:rPr>
          <w:tab/>
        </w:r>
        <w:r w:rsidR="005C263B">
          <w:rPr>
            <w:noProof/>
            <w:webHidden/>
          </w:rPr>
          <w:fldChar w:fldCharType="begin"/>
        </w:r>
        <w:r w:rsidR="005C263B">
          <w:rPr>
            <w:noProof/>
            <w:webHidden/>
          </w:rPr>
          <w:instrText xml:space="preserve"> PAGEREF _Toc235861750 \h </w:instrText>
        </w:r>
        <w:r w:rsidR="005C263B">
          <w:rPr>
            <w:noProof/>
            <w:webHidden/>
          </w:rPr>
        </w:r>
        <w:r w:rsidR="005C263B">
          <w:rPr>
            <w:noProof/>
            <w:webHidden/>
          </w:rPr>
          <w:fldChar w:fldCharType="separate"/>
        </w:r>
        <w:r>
          <w:rPr>
            <w:noProof/>
            <w:webHidden/>
          </w:rPr>
          <w:t>12</w:t>
        </w:r>
        <w:r w:rsidR="005C263B">
          <w:rPr>
            <w:noProof/>
            <w:webHidden/>
          </w:rPr>
          <w:fldChar w:fldCharType="end"/>
        </w:r>
      </w:hyperlink>
    </w:p>
    <w:p w14:paraId="1367E09D" w14:textId="5D1AB0BA" w:rsidR="005C263B" w:rsidRDefault="008A7BC3">
      <w:pPr>
        <w:pStyle w:val="TOC1"/>
        <w:tabs>
          <w:tab w:val="right" w:leader="dot" w:pos="9350"/>
        </w:tabs>
        <w:rPr>
          <w:noProof/>
        </w:rPr>
      </w:pPr>
      <w:hyperlink w:anchor="_Toc235861751" w:history="1">
        <w:r w:rsidR="005C263B" w:rsidRPr="00D94063">
          <w:rPr>
            <w:rStyle w:val="Hyperlink"/>
            <w:noProof/>
          </w:rPr>
          <w:t>6. The Risk Console</w:t>
        </w:r>
        <w:r w:rsidR="005C263B">
          <w:rPr>
            <w:noProof/>
            <w:webHidden/>
          </w:rPr>
          <w:tab/>
        </w:r>
        <w:r w:rsidR="005C263B">
          <w:rPr>
            <w:noProof/>
            <w:webHidden/>
          </w:rPr>
          <w:fldChar w:fldCharType="begin"/>
        </w:r>
        <w:r w:rsidR="005C263B">
          <w:rPr>
            <w:noProof/>
            <w:webHidden/>
          </w:rPr>
          <w:instrText xml:space="preserve"> PAGEREF _Toc235861751 \h </w:instrText>
        </w:r>
        <w:r w:rsidR="005C263B">
          <w:rPr>
            <w:noProof/>
            <w:webHidden/>
          </w:rPr>
        </w:r>
        <w:r w:rsidR="005C263B">
          <w:rPr>
            <w:noProof/>
            <w:webHidden/>
          </w:rPr>
          <w:fldChar w:fldCharType="separate"/>
        </w:r>
        <w:r>
          <w:rPr>
            <w:noProof/>
            <w:webHidden/>
          </w:rPr>
          <w:t>14</w:t>
        </w:r>
        <w:r w:rsidR="005C263B">
          <w:rPr>
            <w:noProof/>
            <w:webHidden/>
          </w:rPr>
          <w:fldChar w:fldCharType="end"/>
        </w:r>
      </w:hyperlink>
    </w:p>
    <w:p w14:paraId="1320939F" w14:textId="5D450D07" w:rsidR="005C263B" w:rsidRDefault="008A7BC3">
      <w:pPr>
        <w:pStyle w:val="TOC2"/>
        <w:tabs>
          <w:tab w:val="right" w:leader="dot" w:pos="9350"/>
        </w:tabs>
        <w:rPr>
          <w:noProof/>
        </w:rPr>
      </w:pPr>
      <w:hyperlink w:anchor="_Toc235861752" w:history="1">
        <w:r w:rsidR="005C263B" w:rsidRPr="00D94063">
          <w:rPr>
            <w:rStyle w:val="Hyperlink"/>
            <w:noProof/>
          </w:rPr>
          <w:t>6.1 Screen Elements</w:t>
        </w:r>
        <w:r w:rsidR="005C263B">
          <w:rPr>
            <w:noProof/>
            <w:webHidden/>
          </w:rPr>
          <w:tab/>
        </w:r>
        <w:r w:rsidR="005C263B">
          <w:rPr>
            <w:noProof/>
            <w:webHidden/>
          </w:rPr>
          <w:fldChar w:fldCharType="begin"/>
        </w:r>
        <w:r w:rsidR="005C263B">
          <w:rPr>
            <w:noProof/>
            <w:webHidden/>
          </w:rPr>
          <w:instrText xml:space="preserve"> PAGEREF _Toc235861752 \h </w:instrText>
        </w:r>
        <w:r w:rsidR="005C263B">
          <w:rPr>
            <w:noProof/>
            <w:webHidden/>
          </w:rPr>
        </w:r>
        <w:r w:rsidR="005C263B">
          <w:rPr>
            <w:noProof/>
            <w:webHidden/>
          </w:rPr>
          <w:fldChar w:fldCharType="separate"/>
        </w:r>
        <w:r>
          <w:rPr>
            <w:noProof/>
            <w:webHidden/>
          </w:rPr>
          <w:t>14</w:t>
        </w:r>
        <w:r w:rsidR="005C263B">
          <w:rPr>
            <w:noProof/>
            <w:webHidden/>
          </w:rPr>
          <w:fldChar w:fldCharType="end"/>
        </w:r>
      </w:hyperlink>
    </w:p>
    <w:p w14:paraId="63CBF128" w14:textId="3513A6F3" w:rsidR="005C263B" w:rsidRDefault="008A7BC3">
      <w:pPr>
        <w:pStyle w:val="TOC1"/>
        <w:tabs>
          <w:tab w:val="right" w:leader="dot" w:pos="9350"/>
        </w:tabs>
        <w:rPr>
          <w:noProof/>
        </w:rPr>
      </w:pPr>
      <w:hyperlink w:anchor="_Toc235861753" w:history="1">
        <w:r w:rsidR="005C263B" w:rsidRPr="00D94063">
          <w:rPr>
            <w:rStyle w:val="Hyperlink"/>
            <w:noProof/>
          </w:rPr>
          <w:t>7. The AI Advisor</w:t>
        </w:r>
        <w:r w:rsidR="005C263B">
          <w:rPr>
            <w:noProof/>
            <w:webHidden/>
          </w:rPr>
          <w:tab/>
        </w:r>
        <w:r w:rsidR="005C263B">
          <w:rPr>
            <w:noProof/>
            <w:webHidden/>
          </w:rPr>
          <w:fldChar w:fldCharType="begin"/>
        </w:r>
        <w:r w:rsidR="005C263B">
          <w:rPr>
            <w:noProof/>
            <w:webHidden/>
          </w:rPr>
          <w:instrText xml:space="preserve"> PAGEREF _Toc235861753 \h </w:instrText>
        </w:r>
        <w:r w:rsidR="005C263B">
          <w:rPr>
            <w:noProof/>
            <w:webHidden/>
          </w:rPr>
        </w:r>
        <w:r w:rsidR="005C263B">
          <w:rPr>
            <w:noProof/>
            <w:webHidden/>
          </w:rPr>
          <w:fldChar w:fldCharType="separate"/>
        </w:r>
        <w:r>
          <w:rPr>
            <w:noProof/>
            <w:webHidden/>
          </w:rPr>
          <w:t>16</w:t>
        </w:r>
        <w:r w:rsidR="005C263B">
          <w:rPr>
            <w:noProof/>
            <w:webHidden/>
          </w:rPr>
          <w:fldChar w:fldCharType="end"/>
        </w:r>
      </w:hyperlink>
    </w:p>
    <w:p w14:paraId="21EF86CA" w14:textId="54972DD6" w:rsidR="005C263B" w:rsidRDefault="008A7BC3">
      <w:pPr>
        <w:pStyle w:val="TOC2"/>
        <w:tabs>
          <w:tab w:val="right" w:leader="dot" w:pos="9350"/>
        </w:tabs>
        <w:rPr>
          <w:noProof/>
        </w:rPr>
      </w:pPr>
      <w:hyperlink w:anchor="_Toc235861754" w:history="1">
        <w:r w:rsidR="005C263B" w:rsidRPr="00D94063">
          <w:rPr>
            <w:rStyle w:val="Hyperlink"/>
            <w:noProof/>
          </w:rPr>
          <w:t>7.1 Screen Elements</w:t>
        </w:r>
        <w:r w:rsidR="005C263B">
          <w:rPr>
            <w:noProof/>
            <w:webHidden/>
          </w:rPr>
          <w:tab/>
        </w:r>
        <w:r w:rsidR="005C263B">
          <w:rPr>
            <w:noProof/>
            <w:webHidden/>
          </w:rPr>
          <w:fldChar w:fldCharType="begin"/>
        </w:r>
        <w:r w:rsidR="005C263B">
          <w:rPr>
            <w:noProof/>
            <w:webHidden/>
          </w:rPr>
          <w:instrText xml:space="preserve"> PAGEREF _Toc235861754 \h </w:instrText>
        </w:r>
        <w:r w:rsidR="005C263B">
          <w:rPr>
            <w:noProof/>
            <w:webHidden/>
          </w:rPr>
        </w:r>
        <w:r w:rsidR="005C263B">
          <w:rPr>
            <w:noProof/>
            <w:webHidden/>
          </w:rPr>
          <w:fldChar w:fldCharType="separate"/>
        </w:r>
        <w:r>
          <w:rPr>
            <w:noProof/>
            <w:webHidden/>
          </w:rPr>
          <w:t>16</w:t>
        </w:r>
        <w:r w:rsidR="005C263B">
          <w:rPr>
            <w:noProof/>
            <w:webHidden/>
          </w:rPr>
          <w:fldChar w:fldCharType="end"/>
        </w:r>
      </w:hyperlink>
    </w:p>
    <w:p w14:paraId="7D12C580" w14:textId="7B88505E" w:rsidR="005C263B" w:rsidRDefault="008A7BC3">
      <w:pPr>
        <w:pStyle w:val="TOC1"/>
        <w:tabs>
          <w:tab w:val="right" w:leader="dot" w:pos="9350"/>
        </w:tabs>
        <w:rPr>
          <w:noProof/>
        </w:rPr>
      </w:pPr>
      <w:hyperlink w:anchor="_Toc235861755" w:history="1">
        <w:r w:rsidR="005C263B" w:rsidRPr="00D94063">
          <w:rPr>
            <w:rStyle w:val="Hyperlink"/>
            <w:noProof/>
          </w:rPr>
          <w:t>8. The Order Blotter</w:t>
        </w:r>
        <w:r w:rsidR="005C263B">
          <w:rPr>
            <w:noProof/>
            <w:webHidden/>
          </w:rPr>
          <w:tab/>
        </w:r>
        <w:r w:rsidR="005C263B">
          <w:rPr>
            <w:noProof/>
            <w:webHidden/>
          </w:rPr>
          <w:fldChar w:fldCharType="begin"/>
        </w:r>
        <w:r w:rsidR="005C263B">
          <w:rPr>
            <w:noProof/>
            <w:webHidden/>
          </w:rPr>
          <w:instrText xml:space="preserve"> PAGEREF _Toc235861755 \h </w:instrText>
        </w:r>
        <w:r w:rsidR="005C263B">
          <w:rPr>
            <w:noProof/>
            <w:webHidden/>
          </w:rPr>
        </w:r>
        <w:r w:rsidR="005C263B">
          <w:rPr>
            <w:noProof/>
            <w:webHidden/>
          </w:rPr>
          <w:fldChar w:fldCharType="separate"/>
        </w:r>
        <w:r>
          <w:rPr>
            <w:noProof/>
            <w:webHidden/>
          </w:rPr>
          <w:t>18</w:t>
        </w:r>
        <w:r w:rsidR="005C263B">
          <w:rPr>
            <w:noProof/>
            <w:webHidden/>
          </w:rPr>
          <w:fldChar w:fldCharType="end"/>
        </w:r>
      </w:hyperlink>
    </w:p>
    <w:p w14:paraId="542FC2B3" w14:textId="44146C5D" w:rsidR="005C263B" w:rsidRDefault="008A7BC3">
      <w:pPr>
        <w:pStyle w:val="TOC2"/>
        <w:tabs>
          <w:tab w:val="right" w:leader="dot" w:pos="9350"/>
        </w:tabs>
        <w:rPr>
          <w:noProof/>
        </w:rPr>
      </w:pPr>
      <w:hyperlink w:anchor="_Toc235861756" w:history="1">
        <w:r w:rsidR="005C263B" w:rsidRPr="00D94063">
          <w:rPr>
            <w:rStyle w:val="Hyperlink"/>
            <w:noProof/>
          </w:rPr>
          <w:t>8.1 Screen Elements</w:t>
        </w:r>
        <w:r w:rsidR="005C263B">
          <w:rPr>
            <w:noProof/>
            <w:webHidden/>
          </w:rPr>
          <w:tab/>
        </w:r>
        <w:r w:rsidR="005C263B">
          <w:rPr>
            <w:noProof/>
            <w:webHidden/>
          </w:rPr>
          <w:fldChar w:fldCharType="begin"/>
        </w:r>
        <w:r w:rsidR="005C263B">
          <w:rPr>
            <w:noProof/>
            <w:webHidden/>
          </w:rPr>
          <w:instrText xml:space="preserve"> PAGEREF _Toc235861756 \h </w:instrText>
        </w:r>
        <w:r w:rsidR="005C263B">
          <w:rPr>
            <w:noProof/>
            <w:webHidden/>
          </w:rPr>
        </w:r>
        <w:r w:rsidR="005C263B">
          <w:rPr>
            <w:noProof/>
            <w:webHidden/>
          </w:rPr>
          <w:fldChar w:fldCharType="separate"/>
        </w:r>
        <w:r>
          <w:rPr>
            <w:noProof/>
            <w:webHidden/>
          </w:rPr>
          <w:t>18</w:t>
        </w:r>
        <w:r w:rsidR="005C263B">
          <w:rPr>
            <w:noProof/>
            <w:webHidden/>
          </w:rPr>
          <w:fldChar w:fldCharType="end"/>
        </w:r>
      </w:hyperlink>
    </w:p>
    <w:p w14:paraId="474D28F7" w14:textId="27284530" w:rsidR="005C263B" w:rsidRDefault="008A7BC3">
      <w:pPr>
        <w:pStyle w:val="TOC2"/>
        <w:tabs>
          <w:tab w:val="right" w:leader="dot" w:pos="9350"/>
        </w:tabs>
        <w:rPr>
          <w:noProof/>
        </w:rPr>
      </w:pPr>
      <w:hyperlink w:anchor="_Toc235861757" w:history="1">
        <w:r w:rsidR="005C263B" w:rsidRPr="00D94063">
          <w:rPr>
            <w:rStyle w:val="Hyperlink"/>
            <w:noProof/>
          </w:rPr>
          <w:t>8.2 Order Status Lifecycle</w:t>
        </w:r>
        <w:r w:rsidR="005C263B">
          <w:rPr>
            <w:noProof/>
            <w:webHidden/>
          </w:rPr>
          <w:tab/>
        </w:r>
        <w:r w:rsidR="005C263B">
          <w:rPr>
            <w:noProof/>
            <w:webHidden/>
          </w:rPr>
          <w:fldChar w:fldCharType="begin"/>
        </w:r>
        <w:r w:rsidR="005C263B">
          <w:rPr>
            <w:noProof/>
            <w:webHidden/>
          </w:rPr>
          <w:instrText xml:space="preserve"> PAGEREF _Toc235861757 \h </w:instrText>
        </w:r>
        <w:r w:rsidR="005C263B">
          <w:rPr>
            <w:noProof/>
            <w:webHidden/>
          </w:rPr>
        </w:r>
        <w:r w:rsidR="005C263B">
          <w:rPr>
            <w:noProof/>
            <w:webHidden/>
          </w:rPr>
          <w:fldChar w:fldCharType="separate"/>
        </w:r>
        <w:r>
          <w:rPr>
            <w:noProof/>
            <w:webHidden/>
          </w:rPr>
          <w:t>19</w:t>
        </w:r>
        <w:r w:rsidR="005C263B">
          <w:rPr>
            <w:noProof/>
            <w:webHidden/>
          </w:rPr>
          <w:fldChar w:fldCharType="end"/>
        </w:r>
      </w:hyperlink>
    </w:p>
    <w:p w14:paraId="762960B2" w14:textId="60C1E964" w:rsidR="005C263B" w:rsidRDefault="008A7BC3">
      <w:pPr>
        <w:pStyle w:val="TOC1"/>
        <w:tabs>
          <w:tab w:val="right" w:leader="dot" w:pos="9350"/>
        </w:tabs>
        <w:rPr>
          <w:noProof/>
        </w:rPr>
      </w:pPr>
      <w:hyperlink w:anchor="_Toc235861758" w:history="1">
        <w:r w:rsidR="005C263B" w:rsidRPr="00D94063">
          <w:rPr>
            <w:rStyle w:val="Hyperlink"/>
            <w:noProof/>
          </w:rPr>
          <w:t>9. Screener &amp; Settings (Reserved for Future Development)</w:t>
        </w:r>
        <w:r w:rsidR="005C263B">
          <w:rPr>
            <w:noProof/>
            <w:webHidden/>
          </w:rPr>
          <w:tab/>
        </w:r>
        <w:r w:rsidR="005C263B">
          <w:rPr>
            <w:noProof/>
            <w:webHidden/>
          </w:rPr>
          <w:fldChar w:fldCharType="begin"/>
        </w:r>
        <w:r w:rsidR="005C263B">
          <w:rPr>
            <w:noProof/>
            <w:webHidden/>
          </w:rPr>
          <w:instrText xml:space="preserve"> PAGEREF _Toc235861758 \h </w:instrText>
        </w:r>
        <w:r w:rsidR="005C263B">
          <w:rPr>
            <w:noProof/>
            <w:webHidden/>
          </w:rPr>
        </w:r>
        <w:r w:rsidR="005C263B">
          <w:rPr>
            <w:noProof/>
            <w:webHidden/>
          </w:rPr>
          <w:fldChar w:fldCharType="separate"/>
        </w:r>
        <w:r>
          <w:rPr>
            <w:noProof/>
            <w:webHidden/>
          </w:rPr>
          <w:t>20</w:t>
        </w:r>
        <w:r w:rsidR="005C263B">
          <w:rPr>
            <w:noProof/>
            <w:webHidden/>
          </w:rPr>
          <w:fldChar w:fldCharType="end"/>
        </w:r>
      </w:hyperlink>
    </w:p>
    <w:p w14:paraId="2C6F8C1E" w14:textId="31A79973" w:rsidR="005C263B" w:rsidRDefault="008A7BC3">
      <w:pPr>
        <w:pStyle w:val="TOC2"/>
        <w:tabs>
          <w:tab w:val="right" w:leader="dot" w:pos="9350"/>
        </w:tabs>
        <w:rPr>
          <w:noProof/>
        </w:rPr>
      </w:pPr>
      <w:hyperlink w:anchor="_Toc235861759" w:history="1">
        <w:r w:rsidR="005C263B" w:rsidRPr="00D94063">
          <w:rPr>
            <w:rStyle w:val="Hyperlink"/>
            <w:noProof/>
          </w:rPr>
          <w:t>9.1 Screener</w:t>
        </w:r>
        <w:r w:rsidR="005C263B">
          <w:rPr>
            <w:noProof/>
            <w:webHidden/>
          </w:rPr>
          <w:tab/>
        </w:r>
        <w:r w:rsidR="005C263B">
          <w:rPr>
            <w:noProof/>
            <w:webHidden/>
          </w:rPr>
          <w:fldChar w:fldCharType="begin"/>
        </w:r>
        <w:r w:rsidR="005C263B">
          <w:rPr>
            <w:noProof/>
            <w:webHidden/>
          </w:rPr>
          <w:instrText xml:space="preserve"> PAGEREF _Toc235861759 \h </w:instrText>
        </w:r>
        <w:r w:rsidR="005C263B">
          <w:rPr>
            <w:noProof/>
            <w:webHidden/>
          </w:rPr>
        </w:r>
        <w:r w:rsidR="005C263B">
          <w:rPr>
            <w:noProof/>
            <w:webHidden/>
          </w:rPr>
          <w:fldChar w:fldCharType="separate"/>
        </w:r>
        <w:r>
          <w:rPr>
            <w:noProof/>
            <w:webHidden/>
          </w:rPr>
          <w:t>20</w:t>
        </w:r>
        <w:r w:rsidR="005C263B">
          <w:rPr>
            <w:noProof/>
            <w:webHidden/>
          </w:rPr>
          <w:fldChar w:fldCharType="end"/>
        </w:r>
      </w:hyperlink>
    </w:p>
    <w:p w14:paraId="4E5F33B0" w14:textId="7F6B858D" w:rsidR="005C263B" w:rsidRDefault="008A7BC3">
      <w:pPr>
        <w:pStyle w:val="TOC2"/>
        <w:tabs>
          <w:tab w:val="right" w:leader="dot" w:pos="9350"/>
        </w:tabs>
        <w:rPr>
          <w:noProof/>
        </w:rPr>
      </w:pPr>
      <w:hyperlink w:anchor="_Toc235861760" w:history="1">
        <w:r w:rsidR="005C263B" w:rsidRPr="00D94063">
          <w:rPr>
            <w:rStyle w:val="Hyperlink"/>
            <w:noProof/>
          </w:rPr>
          <w:t>9.2 Settings</w:t>
        </w:r>
        <w:r w:rsidR="005C263B">
          <w:rPr>
            <w:noProof/>
            <w:webHidden/>
          </w:rPr>
          <w:tab/>
        </w:r>
        <w:r w:rsidR="005C263B">
          <w:rPr>
            <w:noProof/>
            <w:webHidden/>
          </w:rPr>
          <w:fldChar w:fldCharType="begin"/>
        </w:r>
        <w:r w:rsidR="005C263B">
          <w:rPr>
            <w:noProof/>
            <w:webHidden/>
          </w:rPr>
          <w:instrText xml:space="preserve"> PAGEREF _Toc235861760 \h </w:instrText>
        </w:r>
        <w:r w:rsidR="005C263B">
          <w:rPr>
            <w:noProof/>
            <w:webHidden/>
          </w:rPr>
        </w:r>
        <w:r w:rsidR="005C263B">
          <w:rPr>
            <w:noProof/>
            <w:webHidden/>
          </w:rPr>
          <w:fldChar w:fldCharType="separate"/>
        </w:r>
        <w:r>
          <w:rPr>
            <w:noProof/>
            <w:webHidden/>
          </w:rPr>
          <w:t>20</w:t>
        </w:r>
        <w:r w:rsidR="005C263B">
          <w:rPr>
            <w:noProof/>
            <w:webHidden/>
          </w:rPr>
          <w:fldChar w:fldCharType="end"/>
        </w:r>
      </w:hyperlink>
    </w:p>
    <w:p w14:paraId="354ECA25" w14:textId="45518E69" w:rsidR="005C263B" w:rsidRDefault="008A7BC3">
      <w:pPr>
        <w:pStyle w:val="TOC1"/>
        <w:tabs>
          <w:tab w:val="right" w:leader="dot" w:pos="9350"/>
        </w:tabs>
        <w:rPr>
          <w:noProof/>
        </w:rPr>
      </w:pPr>
      <w:hyperlink w:anchor="_Toc235861761" w:history="1">
        <w:r w:rsidR="005C263B" w:rsidRPr="00D94063">
          <w:rPr>
            <w:rStyle w:val="Hyperlink"/>
            <w:noProof/>
          </w:rPr>
          <w:t>10. Safety Architecture Reference</w:t>
        </w:r>
        <w:r w:rsidR="005C263B">
          <w:rPr>
            <w:noProof/>
            <w:webHidden/>
          </w:rPr>
          <w:tab/>
        </w:r>
        <w:r w:rsidR="005C263B">
          <w:rPr>
            <w:noProof/>
            <w:webHidden/>
          </w:rPr>
          <w:fldChar w:fldCharType="begin"/>
        </w:r>
        <w:r w:rsidR="005C263B">
          <w:rPr>
            <w:noProof/>
            <w:webHidden/>
          </w:rPr>
          <w:instrText xml:space="preserve"> PAGEREF _Toc235861761 \h </w:instrText>
        </w:r>
        <w:r w:rsidR="005C263B">
          <w:rPr>
            <w:noProof/>
            <w:webHidden/>
          </w:rPr>
        </w:r>
        <w:r w:rsidR="005C263B">
          <w:rPr>
            <w:noProof/>
            <w:webHidden/>
          </w:rPr>
          <w:fldChar w:fldCharType="separate"/>
        </w:r>
        <w:r>
          <w:rPr>
            <w:noProof/>
            <w:webHidden/>
          </w:rPr>
          <w:t>21</w:t>
        </w:r>
        <w:r w:rsidR="005C263B">
          <w:rPr>
            <w:noProof/>
            <w:webHidden/>
          </w:rPr>
          <w:fldChar w:fldCharType="end"/>
        </w:r>
      </w:hyperlink>
    </w:p>
    <w:p w14:paraId="2AADB3CD" w14:textId="3C97B5F5" w:rsidR="005C263B" w:rsidRDefault="008A7BC3">
      <w:pPr>
        <w:pStyle w:val="TOC2"/>
        <w:tabs>
          <w:tab w:val="right" w:leader="dot" w:pos="9350"/>
        </w:tabs>
        <w:rPr>
          <w:noProof/>
        </w:rPr>
      </w:pPr>
      <w:hyperlink w:anchor="_Toc235861762" w:history="1">
        <w:r w:rsidR="005C263B" w:rsidRPr="00D94063">
          <w:rPr>
            <w:rStyle w:val="Hyperlink"/>
            <w:noProof/>
          </w:rPr>
          <w:t>10.1 Defence in Depth</w:t>
        </w:r>
        <w:r w:rsidR="005C263B">
          <w:rPr>
            <w:noProof/>
            <w:webHidden/>
          </w:rPr>
          <w:tab/>
        </w:r>
        <w:r w:rsidR="005C263B">
          <w:rPr>
            <w:noProof/>
            <w:webHidden/>
          </w:rPr>
          <w:fldChar w:fldCharType="begin"/>
        </w:r>
        <w:r w:rsidR="005C263B">
          <w:rPr>
            <w:noProof/>
            <w:webHidden/>
          </w:rPr>
          <w:instrText xml:space="preserve"> PAGEREF _Toc235861762 \h </w:instrText>
        </w:r>
        <w:r w:rsidR="005C263B">
          <w:rPr>
            <w:noProof/>
            <w:webHidden/>
          </w:rPr>
        </w:r>
        <w:r w:rsidR="005C263B">
          <w:rPr>
            <w:noProof/>
            <w:webHidden/>
          </w:rPr>
          <w:fldChar w:fldCharType="separate"/>
        </w:r>
        <w:r>
          <w:rPr>
            <w:noProof/>
            <w:webHidden/>
          </w:rPr>
          <w:t>21</w:t>
        </w:r>
        <w:r w:rsidR="005C263B">
          <w:rPr>
            <w:noProof/>
            <w:webHidden/>
          </w:rPr>
          <w:fldChar w:fldCharType="end"/>
        </w:r>
      </w:hyperlink>
    </w:p>
    <w:p w14:paraId="64D78873" w14:textId="2AB13C9F" w:rsidR="005C263B" w:rsidRDefault="008A7BC3">
      <w:pPr>
        <w:pStyle w:val="TOC2"/>
        <w:tabs>
          <w:tab w:val="right" w:leader="dot" w:pos="9350"/>
        </w:tabs>
        <w:rPr>
          <w:noProof/>
        </w:rPr>
      </w:pPr>
      <w:hyperlink w:anchor="_Toc235861763" w:history="1">
        <w:r w:rsidR="005C263B" w:rsidRPr="00D94063">
          <w:rPr>
            <w:rStyle w:val="Hyperlink"/>
            <w:noProof/>
          </w:rPr>
          <w:t>10.2 Distribution Note</w:t>
        </w:r>
        <w:r w:rsidR="005C263B">
          <w:rPr>
            <w:noProof/>
            <w:webHidden/>
          </w:rPr>
          <w:tab/>
        </w:r>
        <w:r w:rsidR="005C263B">
          <w:rPr>
            <w:noProof/>
            <w:webHidden/>
          </w:rPr>
          <w:fldChar w:fldCharType="begin"/>
        </w:r>
        <w:r w:rsidR="005C263B">
          <w:rPr>
            <w:noProof/>
            <w:webHidden/>
          </w:rPr>
          <w:instrText xml:space="preserve"> PAGEREF _Toc235861763 \h </w:instrText>
        </w:r>
        <w:r w:rsidR="005C263B">
          <w:rPr>
            <w:noProof/>
            <w:webHidden/>
          </w:rPr>
        </w:r>
        <w:r w:rsidR="005C263B">
          <w:rPr>
            <w:noProof/>
            <w:webHidden/>
          </w:rPr>
          <w:fldChar w:fldCharType="separate"/>
        </w:r>
        <w:r>
          <w:rPr>
            <w:noProof/>
            <w:webHidden/>
          </w:rPr>
          <w:t>21</w:t>
        </w:r>
        <w:r w:rsidR="005C263B">
          <w:rPr>
            <w:noProof/>
            <w:webHidden/>
          </w:rPr>
          <w:fldChar w:fldCharType="end"/>
        </w:r>
      </w:hyperlink>
    </w:p>
    <w:p w14:paraId="3B9AA0D5" w14:textId="21E9AF0A" w:rsidR="005C263B" w:rsidRDefault="008A7BC3">
      <w:pPr>
        <w:pStyle w:val="TOC1"/>
        <w:tabs>
          <w:tab w:val="right" w:leader="dot" w:pos="9350"/>
        </w:tabs>
        <w:rPr>
          <w:noProof/>
        </w:rPr>
      </w:pPr>
      <w:hyperlink w:anchor="_Toc235861764" w:history="1">
        <w:r w:rsidR="005C263B" w:rsidRPr="00D94063">
          <w:rPr>
            <w:rStyle w:val="Hyperlink"/>
            <w:noProof/>
          </w:rPr>
          <w:t>Appendix A: Glossary of Terms</w:t>
        </w:r>
        <w:r w:rsidR="005C263B">
          <w:rPr>
            <w:noProof/>
            <w:webHidden/>
          </w:rPr>
          <w:tab/>
        </w:r>
        <w:r w:rsidR="005C263B">
          <w:rPr>
            <w:noProof/>
            <w:webHidden/>
          </w:rPr>
          <w:fldChar w:fldCharType="begin"/>
        </w:r>
        <w:r w:rsidR="005C263B">
          <w:rPr>
            <w:noProof/>
            <w:webHidden/>
          </w:rPr>
          <w:instrText xml:space="preserve"> PAGEREF _Toc235861764 \h </w:instrText>
        </w:r>
        <w:r w:rsidR="005C263B">
          <w:rPr>
            <w:noProof/>
            <w:webHidden/>
          </w:rPr>
        </w:r>
        <w:r w:rsidR="005C263B">
          <w:rPr>
            <w:noProof/>
            <w:webHidden/>
          </w:rPr>
          <w:fldChar w:fldCharType="separate"/>
        </w:r>
        <w:r>
          <w:rPr>
            <w:noProof/>
            <w:webHidden/>
          </w:rPr>
          <w:t>22</w:t>
        </w:r>
        <w:r w:rsidR="005C263B">
          <w:rPr>
            <w:noProof/>
            <w:webHidden/>
          </w:rPr>
          <w:fldChar w:fldCharType="end"/>
        </w:r>
      </w:hyperlink>
    </w:p>
    <w:p w14:paraId="4CE57E89" w14:textId="3618EB4A" w:rsidR="0007017D" w:rsidRDefault="005C263B">
      <w:r>
        <w:fldChar w:fldCharType="end"/>
      </w:r>
    </w:p>
    <w:p w14:paraId="1B342BF5" w14:textId="77777777" w:rsidR="0007017D" w:rsidRDefault="005C263B">
      <w:r>
        <w:br w:type="page"/>
      </w:r>
    </w:p>
    <w:p w14:paraId="3B8715D8" w14:textId="77777777" w:rsidR="0007017D" w:rsidRDefault="005C263B">
      <w:pPr>
        <w:pStyle w:val="Heading1"/>
      </w:pPr>
      <w:bookmarkStart w:id="1" w:name="_Toc235861737"/>
      <w:r>
        <w:lastRenderedPageBreak/>
        <w:t>1. Introduction</w:t>
      </w:r>
      <w:bookmarkEnd w:id="1"/>
    </w:p>
    <w:p w14:paraId="485DD004" w14:textId="77777777" w:rsidR="0007017D" w:rsidRDefault="005C263B">
      <w:pPr>
        <w:pStyle w:val="Heading2"/>
      </w:pPr>
      <w:bookmarkStart w:id="2" w:name="_Toc235861738"/>
      <w:r>
        <w:t>1.1 About This Application</w:t>
      </w:r>
      <w:bookmarkEnd w:id="2"/>
    </w:p>
    <w:p w14:paraId="52020D68" w14:textId="77777777" w:rsidR="0007017D" w:rsidRDefault="005C263B">
      <w:r>
        <w:t>Quant Advisory Terminal (QAT) is a Windows desktop application that combines live market data, a market-regime detector, fifteen rules-based trading strategies, a vectorised backtester, a risk engine, and an AI research assistant into a single advisory and paper-trading workstation. It is built around one governing principle: the software proposes, and a human always disposes. No component of the system — not a strategy, not the risk engine, not the AI advisor — can transmit an order to a broker on its own.</w:t>
      </w:r>
    </w:p>
    <w:p w14:paraId="33C93476" w14:textId="77777777" w:rsidR="0007017D" w:rsidRDefault="005C263B">
      <w:r>
        <w:t>The application is organised as a single main window with a colour-coded mode banner and eight tabbed screens. Six of those screens are fully live: they read and act on real, continuously updating data from the application's internal engines. The remaining two (Screener and Settings) are reserved placeholders for future development and are documented in Section 9 for completeness.</w:t>
      </w:r>
    </w:p>
    <w:p w14:paraId="48EE5900" w14:textId="77777777" w:rsidR="0007017D" w:rsidRDefault="005C263B">
      <w:pPr>
        <w:pStyle w:val="Heading2"/>
      </w:pPr>
      <w:bookmarkStart w:id="3" w:name="_Toc235861739"/>
      <w:r>
        <w:t>1.2 Core Safety Principles</w:t>
      </w:r>
      <w:bookmarkEnd w:id="3"/>
    </w:p>
    <w:p w14:paraId="7AD92F6F" w14:textId="77777777" w:rsidR="0007017D" w:rsidRDefault="005C263B">
      <w:r>
        <w:t>Four principles hold across every screen in this manual and are re-stated wherever they apply directly:</w:t>
      </w:r>
    </w:p>
    <w:p w14:paraId="78FDBEBD" w14:textId="77777777" w:rsidR="0007017D" w:rsidRDefault="005C263B">
      <w:pPr>
        <w:pStyle w:val="ListBullet"/>
      </w:pPr>
      <w:r>
        <w:t>Paper by default — the application always starts in Paper trading mode unless Live mode is explicitly configured beforehand; the top banner makes the active mode unmistakable at all times.</w:t>
      </w:r>
    </w:p>
    <w:p w14:paraId="398B5DF5" w14:textId="77777777" w:rsidR="0007017D" w:rsidRDefault="005C263B">
      <w:pPr>
        <w:pStyle w:val="ListBullet"/>
      </w:pPr>
      <w:r>
        <w:t>Mandatory human sign-off — a trading signal can become a pending order, but only an explicit, confirmed action on the Order Blotter (Section 8) can transmit it to a broker.</w:t>
      </w:r>
    </w:p>
    <w:p w14:paraId="32A05F3D" w14:textId="77777777" w:rsidR="0007017D" w:rsidRDefault="005C263B">
      <w:pPr>
        <w:pStyle w:val="ListBullet"/>
      </w:pPr>
      <w:r>
        <w:t>An always-available kill-switch — the Risk Console (Section 6) exposes a single control that immediately halts all new order flow, and several risk conditions can trip it automatically.</w:t>
      </w:r>
    </w:p>
    <w:p w14:paraId="4D727BD4" w14:textId="77777777" w:rsidR="0007017D" w:rsidRDefault="005C263B">
      <w:pPr>
        <w:pStyle w:val="ListBullet"/>
      </w:pPr>
      <w:r>
        <w:t>An AI that only advises — the AI Advisor and every AI-generated note elsewhere in the application can recommend, explain, and flag risk, but has no code path to a broker; every recommendation it returns is independently re-checked against the Risk Engine before it is ever shown to you.</w:t>
      </w:r>
    </w:p>
    <w:p w14:paraId="3C055799" w14:textId="77777777" w:rsidR="0007017D" w:rsidRDefault="0007017D"/>
    <w:p w14:paraId="33FE4B6B" w14:textId="77777777" w:rsidR="0007017D" w:rsidRDefault="005C263B">
      <w:pPr>
        <w:pStyle w:val="Heading2"/>
      </w:pPr>
      <w:bookmarkStart w:id="4" w:name="_Toc235861740"/>
      <w:r>
        <w:t>1.3 System Requirements &amp; Installation</w:t>
      </w:r>
      <w:bookmarkEnd w:id="4"/>
    </w:p>
    <w:p w14:paraId="3DA0229C" w14:textId="77777777" w:rsidR="0007017D" w:rsidRDefault="005C263B">
      <w:r>
        <w:t>QAT targets Windows and requires Python 3.12 when run from source, or the packaged standalone executable, which requires no Python installation.</w:t>
      </w:r>
    </w:p>
    <w:tbl>
      <w:tblPr>
        <w:tblStyle w:val="TableGrid"/>
        <w:tblW w:w="0" w:type="auto"/>
        <w:jc w:val="center"/>
        <w:tblLayout w:type="fixed"/>
        <w:tblLook w:val="04A0" w:firstRow="1" w:lastRow="0" w:firstColumn="1" w:lastColumn="0" w:noHBand="0" w:noVBand="1"/>
      </w:tblPr>
      <w:tblGrid>
        <w:gridCol w:w="2304"/>
        <w:gridCol w:w="7056"/>
      </w:tblGrid>
      <w:tr w:rsidR="0007017D" w14:paraId="1D39D697" w14:textId="77777777">
        <w:trPr>
          <w:jc w:val="center"/>
        </w:trPr>
        <w:tc>
          <w:tcPr>
            <w:tcW w:w="2304" w:type="dxa"/>
            <w:shd w:val="clear" w:color="auto" w:fill="1F3864"/>
          </w:tcPr>
          <w:p w14:paraId="435C933D" w14:textId="77777777" w:rsidR="0007017D" w:rsidRDefault="005C263B">
            <w:r>
              <w:rPr>
                <w:b/>
                <w:color w:val="FFFFFF"/>
                <w:sz w:val="20"/>
              </w:rPr>
              <w:t>Topic</w:t>
            </w:r>
          </w:p>
        </w:tc>
        <w:tc>
          <w:tcPr>
            <w:tcW w:w="7056" w:type="dxa"/>
            <w:shd w:val="clear" w:color="auto" w:fill="1F3864"/>
          </w:tcPr>
          <w:p w14:paraId="51895976" w14:textId="77777777" w:rsidR="0007017D" w:rsidRDefault="005C263B">
            <w:r>
              <w:rPr>
                <w:b/>
                <w:color w:val="FFFFFF"/>
                <w:sz w:val="20"/>
              </w:rPr>
              <w:t>Details</w:t>
            </w:r>
          </w:p>
        </w:tc>
      </w:tr>
      <w:tr w:rsidR="0007017D" w14:paraId="1C6134E0" w14:textId="77777777">
        <w:trPr>
          <w:jc w:val="center"/>
        </w:trPr>
        <w:tc>
          <w:tcPr>
            <w:tcW w:w="2304" w:type="dxa"/>
          </w:tcPr>
          <w:p w14:paraId="4EEA26B6" w14:textId="77777777" w:rsidR="0007017D" w:rsidRDefault="005C263B">
            <w:r>
              <w:rPr>
                <w:b/>
                <w:sz w:val="20"/>
              </w:rPr>
              <w:t>Running from source</w:t>
            </w:r>
          </w:p>
        </w:tc>
        <w:tc>
          <w:tcPr>
            <w:tcW w:w="7056" w:type="dxa"/>
          </w:tcPr>
          <w:p w14:paraId="07DBF561" w14:textId="77777777" w:rsidR="0007017D" w:rsidRDefault="005C263B">
            <w:r>
              <w:rPr>
                <w:sz w:val="20"/>
              </w:rPr>
              <w:t>python -m venv .venv, then pip install -e ".[dev]", then invoke run (or python -m qat.app).</w:t>
            </w:r>
          </w:p>
        </w:tc>
      </w:tr>
      <w:tr w:rsidR="0007017D" w14:paraId="48F2703F" w14:textId="77777777">
        <w:trPr>
          <w:jc w:val="center"/>
        </w:trPr>
        <w:tc>
          <w:tcPr>
            <w:tcW w:w="2304" w:type="dxa"/>
            <w:shd w:val="clear" w:color="auto" w:fill="EDEFF4"/>
          </w:tcPr>
          <w:p w14:paraId="58363669" w14:textId="77777777" w:rsidR="0007017D" w:rsidRDefault="005C263B">
            <w:r>
              <w:rPr>
                <w:b/>
                <w:sz w:val="20"/>
              </w:rPr>
              <w:t>Running the packaged build</w:t>
            </w:r>
          </w:p>
        </w:tc>
        <w:tc>
          <w:tcPr>
            <w:tcW w:w="7056" w:type="dxa"/>
            <w:shd w:val="clear" w:color="auto" w:fill="EDEFF4"/>
          </w:tcPr>
          <w:p w14:paraId="32D24D76" w14:textId="77777777" w:rsidR="0007017D" w:rsidRDefault="005C263B">
            <w:r>
              <w:rPr>
                <w:sz w:val="20"/>
              </w:rPr>
              <w:t>invoke package builds dist\QuantAdvisoryTerminal\QuantAdvisoryTerminal.exe via PyInstaller. This build is unsigned; Windows SmartScreen will warn on first launch until a code-signing certificate is applied (see the project README).</w:t>
            </w:r>
          </w:p>
        </w:tc>
      </w:tr>
      <w:tr w:rsidR="0007017D" w14:paraId="1BF92CE5" w14:textId="77777777">
        <w:trPr>
          <w:jc w:val="center"/>
        </w:trPr>
        <w:tc>
          <w:tcPr>
            <w:tcW w:w="2304" w:type="dxa"/>
          </w:tcPr>
          <w:p w14:paraId="17C90C90" w14:textId="77777777" w:rsidR="0007017D" w:rsidRDefault="005C263B">
            <w:r>
              <w:rPr>
                <w:b/>
                <w:sz w:val="20"/>
              </w:rPr>
              <w:t>Default data sources</w:t>
            </w:r>
          </w:p>
        </w:tc>
        <w:tc>
          <w:tcPr>
            <w:tcW w:w="7056" w:type="dxa"/>
          </w:tcPr>
          <w:p w14:paraId="16F3A477" w14:textId="77777777" w:rsidR="0007017D" w:rsidRDefault="005C263B">
            <w:r>
              <w:rPr>
                <w:sz w:val="20"/>
              </w:rPr>
              <w:t>All market data, macro data, fundamentals, and the broker connection are synthetic/mock by default, so the application is fully usable out of the box with no external accounts or API keys.</w:t>
            </w:r>
          </w:p>
        </w:tc>
      </w:tr>
      <w:tr w:rsidR="0007017D" w14:paraId="6E0ADEEE" w14:textId="77777777">
        <w:trPr>
          <w:jc w:val="center"/>
        </w:trPr>
        <w:tc>
          <w:tcPr>
            <w:tcW w:w="2304" w:type="dxa"/>
            <w:shd w:val="clear" w:color="auto" w:fill="EDEFF4"/>
          </w:tcPr>
          <w:p w14:paraId="413C017E" w14:textId="77777777" w:rsidR="0007017D" w:rsidRDefault="005C263B">
            <w:r>
              <w:rPr>
                <w:b/>
                <w:sz w:val="20"/>
              </w:rPr>
              <w:t>Optional real integrations</w:t>
            </w:r>
          </w:p>
        </w:tc>
        <w:tc>
          <w:tcPr>
            <w:tcW w:w="7056" w:type="dxa"/>
            <w:shd w:val="clear" w:color="auto" w:fill="EDEFF4"/>
          </w:tcPr>
          <w:p w14:paraId="3612105F" w14:textId="77777777" w:rsidR="0007017D" w:rsidRDefault="005C263B">
            <w:r>
              <w:rPr>
                <w:sz w:val="20"/>
              </w:rPr>
              <w:t>Interactive Brokers (paper or live, via IB Gateway/TWS) for the broker connection, and Anthropic or a local Ollama server for the AI Advisor, are both supported but require explicit configuration — see the project README.</w:t>
            </w:r>
          </w:p>
        </w:tc>
      </w:tr>
    </w:tbl>
    <w:p w14:paraId="3217492C" w14:textId="77777777" w:rsidR="0007017D" w:rsidRDefault="0007017D"/>
    <w:p w14:paraId="425EE870" w14:textId="77777777" w:rsidR="0007017D" w:rsidRDefault="005C263B">
      <w:r>
        <w:br w:type="page"/>
      </w:r>
    </w:p>
    <w:p w14:paraId="4E07E727" w14:textId="77777777" w:rsidR="0007017D" w:rsidRDefault="005C263B">
      <w:pPr>
        <w:pStyle w:val="Heading1"/>
      </w:pPr>
      <w:bookmarkStart w:id="5" w:name="_Toc235861741"/>
      <w:r>
        <w:lastRenderedPageBreak/>
        <w:t>2. Getting Started</w:t>
      </w:r>
      <w:bookmarkEnd w:id="5"/>
    </w:p>
    <w:p w14:paraId="203BB489" w14:textId="77777777" w:rsidR="0007017D" w:rsidRDefault="005C263B">
      <w:pPr>
        <w:pStyle w:val="Heading2"/>
      </w:pPr>
      <w:bookmarkStart w:id="6" w:name="_Toc235861742"/>
      <w:r>
        <w:t>2.1 Launching the Application</w:t>
      </w:r>
      <w:bookmarkEnd w:id="6"/>
    </w:p>
    <w:p w14:paraId="2D89BECB" w14:textId="77777777" w:rsidR="0007017D" w:rsidRDefault="005C263B">
      <w:r>
        <w:t>Start the application with invoke run (source checkout) or by double-clicking QuantAdvisoryTerminal.exe (packaged build). The main window opens on the Dashboard tab.</w:t>
      </w:r>
    </w:p>
    <w:p w14:paraId="18692F1D" w14:textId="77777777" w:rsidR="0007017D" w:rsidRDefault="005C263B">
      <w:pPr>
        <w:pStyle w:val="Heading2"/>
      </w:pPr>
      <w:bookmarkStart w:id="7" w:name="_Toc235861743"/>
      <w:r>
        <w:t>2.2 The Main Window</w:t>
      </w:r>
      <w:bookmarkEnd w:id="7"/>
    </w:p>
    <w:p w14:paraId="16413C50" w14:textId="77777777" w:rsidR="0007017D" w:rsidRDefault="005C263B">
      <w:r>
        <w:t>Every screen shares the same frame: a mode banner fixed to the top of the window, and a row of eight tabs beneath it. Switching tabs never interrupts anything — all engines keep running and every screen keeps updating in the background whether or not it is the one currently visible.</w:t>
      </w:r>
    </w:p>
    <w:tbl>
      <w:tblPr>
        <w:tblStyle w:val="TableGrid"/>
        <w:tblW w:w="0" w:type="auto"/>
        <w:jc w:val="center"/>
        <w:tblLayout w:type="fixed"/>
        <w:tblLook w:val="04A0" w:firstRow="1" w:lastRow="0" w:firstColumn="1" w:lastColumn="0" w:noHBand="0" w:noVBand="1"/>
      </w:tblPr>
      <w:tblGrid>
        <w:gridCol w:w="576"/>
        <w:gridCol w:w="2736"/>
        <w:gridCol w:w="6048"/>
      </w:tblGrid>
      <w:tr w:rsidR="0007017D" w14:paraId="4881C66D" w14:textId="77777777">
        <w:trPr>
          <w:jc w:val="center"/>
        </w:trPr>
        <w:tc>
          <w:tcPr>
            <w:tcW w:w="576" w:type="dxa"/>
            <w:shd w:val="clear" w:color="auto" w:fill="1F3864"/>
          </w:tcPr>
          <w:p w14:paraId="5FB37532" w14:textId="77777777" w:rsidR="0007017D" w:rsidRDefault="005C263B">
            <w:r>
              <w:rPr>
                <w:b/>
                <w:color w:val="FFFFFF"/>
                <w:sz w:val="20"/>
              </w:rPr>
              <w:t>#</w:t>
            </w:r>
          </w:p>
        </w:tc>
        <w:tc>
          <w:tcPr>
            <w:tcW w:w="2736" w:type="dxa"/>
            <w:shd w:val="clear" w:color="auto" w:fill="1F3864"/>
          </w:tcPr>
          <w:p w14:paraId="02A3D87C" w14:textId="77777777" w:rsidR="0007017D" w:rsidRDefault="005C263B">
            <w:r>
              <w:rPr>
                <w:b/>
                <w:color w:val="FFFFFF"/>
                <w:sz w:val="20"/>
              </w:rPr>
              <w:t>Tab</w:t>
            </w:r>
          </w:p>
        </w:tc>
        <w:tc>
          <w:tcPr>
            <w:tcW w:w="6048" w:type="dxa"/>
            <w:shd w:val="clear" w:color="auto" w:fill="1F3864"/>
          </w:tcPr>
          <w:p w14:paraId="62B4ADF0" w14:textId="77777777" w:rsidR="0007017D" w:rsidRDefault="005C263B">
            <w:r>
              <w:rPr>
                <w:b/>
                <w:color w:val="FFFFFF"/>
                <w:sz w:val="20"/>
              </w:rPr>
              <w:t>Purpose</w:t>
            </w:r>
          </w:p>
        </w:tc>
      </w:tr>
      <w:tr w:rsidR="0007017D" w14:paraId="2E9BF683" w14:textId="77777777">
        <w:trPr>
          <w:jc w:val="center"/>
        </w:trPr>
        <w:tc>
          <w:tcPr>
            <w:tcW w:w="576" w:type="dxa"/>
          </w:tcPr>
          <w:p w14:paraId="35A62634" w14:textId="77777777" w:rsidR="0007017D" w:rsidRDefault="005C263B">
            <w:r>
              <w:rPr>
                <w:sz w:val="20"/>
              </w:rPr>
              <w:t>1</w:t>
            </w:r>
          </w:p>
        </w:tc>
        <w:tc>
          <w:tcPr>
            <w:tcW w:w="2736" w:type="dxa"/>
          </w:tcPr>
          <w:p w14:paraId="4214743A" w14:textId="77777777" w:rsidR="0007017D" w:rsidRDefault="005C263B">
            <w:r>
              <w:rPr>
                <w:sz w:val="20"/>
              </w:rPr>
              <w:t>Dashboard</w:t>
            </w:r>
          </w:p>
        </w:tc>
        <w:tc>
          <w:tcPr>
            <w:tcW w:w="6048" w:type="dxa"/>
          </w:tcPr>
          <w:p w14:paraId="25BBBF05" w14:textId="77777777" w:rsidR="0007017D" w:rsidRDefault="005C263B">
            <w:r>
              <w:rPr>
                <w:sz w:val="20"/>
              </w:rPr>
              <w:t>Portfolio overview: NAV, risk headline figures, equity curve, positions, AI regime note.</w:t>
            </w:r>
          </w:p>
        </w:tc>
      </w:tr>
      <w:tr w:rsidR="0007017D" w14:paraId="79D02F98" w14:textId="77777777">
        <w:trPr>
          <w:jc w:val="center"/>
        </w:trPr>
        <w:tc>
          <w:tcPr>
            <w:tcW w:w="576" w:type="dxa"/>
            <w:shd w:val="clear" w:color="auto" w:fill="EDEFF4"/>
          </w:tcPr>
          <w:p w14:paraId="304CD54F" w14:textId="77777777" w:rsidR="0007017D" w:rsidRDefault="005C263B">
            <w:r>
              <w:rPr>
                <w:sz w:val="20"/>
              </w:rPr>
              <w:t>2</w:t>
            </w:r>
          </w:p>
        </w:tc>
        <w:tc>
          <w:tcPr>
            <w:tcW w:w="2736" w:type="dxa"/>
            <w:shd w:val="clear" w:color="auto" w:fill="EDEFF4"/>
          </w:tcPr>
          <w:p w14:paraId="0EA009C0" w14:textId="77777777" w:rsidR="0007017D" w:rsidRDefault="005C263B">
            <w:r>
              <w:rPr>
                <w:sz w:val="20"/>
              </w:rPr>
              <w:t>Strategy Workbench</w:t>
            </w:r>
          </w:p>
        </w:tc>
        <w:tc>
          <w:tcPr>
            <w:tcW w:w="6048" w:type="dxa"/>
            <w:shd w:val="clear" w:color="auto" w:fill="EDEFF4"/>
          </w:tcPr>
          <w:p w14:paraId="2CA2BA42" w14:textId="77777777" w:rsidR="0007017D" w:rsidRDefault="005C263B">
            <w:r>
              <w:rPr>
                <w:sz w:val="20"/>
              </w:rPr>
              <w:t>Backtest a strategy against synthetic history and, once vetted, deploy it live.</w:t>
            </w:r>
          </w:p>
        </w:tc>
      </w:tr>
      <w:tr w:rsidR="0007017D" w14:paraId="3BF8CEA9" w14:textId="77777777">
        <w:trPr>
          <w:jc w:val="center"/>
        </w:trPr>
        <w:tc>
          <w:tcPr>
            <w:tcW w:w="576" w:type="dxa"/>
          </w:tcPr>
          <w:p w14:paraId="42BECE35" w14:textId="77777777" w:rsidR="0007017D" w:rsidRDefault="005C263B">
            <w:r>
              <w:rPr>
                <w:sz w:val="20"/>
              </w:rPr>
              <w:t>3</w:t>
            </w:r>
          </w:p>
        </w:tc>
        <w:tc>
          <w:tcPr>
            <w:tcW w:w="2736" w:type="dxa"/>
          </w:tcPr>
          <w:p w14:paraId="2CF9A7FD" w14:textId="77777777" w:rsidR="0007017D" w:rsidRDefault="005C263B">
            <w:r>
              <w:rPr>
                <w:sz w:val="20"/>
              </w:rPr>
              <w:t>Regime Monitor</w:t>
            </w:r>
          </w:p>
        </w:tc>
        <w:tc>
          <w:tcPr>
            <w:tcW w:w="6048" w:type="dxa"/>
          </w:tcPr>
          <w:p w14:paraId="00AE5B7F" w14:textId="77777777" w:rsidR="0007017D" w:rsidRDefault="005C263B">
            <w:r>
              <w:rPr>
                <w:sz w:val="20"/>
              </w:rPr>
              <w:t>Detail view of the current market regime, its probability distribution, and its drivers.</w:t>
            </w:r>
          </w:p>
        </w:tc>
      </w:tr>
      <w:tr w:rsidR="0007017D" w14:paraId="58199B12" w14:textId="77777777">
        <w:trPr>
          <w:jc w:val="center"/>
        </w:trPr>
        <w:tc>
          <w:tcPr>
            <w:tcW w:w="576" w:type="dxa"/>
            <w:shd w:val="clear" w:color="auto" w:fill="EDEFF4"/>
          </w:tcPr>
          <w:p w14:paraId="531CF3B9" w14:textId="77777777" w:rsidR="0007017D" w:rsidRDefault="005C263B">
            <w:r>
              <w:rPr>
                <w:sz w:val="20"/>
              </w:rPr>
              <w:t>4</w:t>
            </w:r>
          </w:p>
        </w:tc>
        <w:tc>
          <w:tcPr>
            <w:tcW w:w="2736" w:type="dxa"/>
            <w:shd w:val="clear" w:color="auto" w:fill="EDEFF4"/>
          </w:tcPr>
          <w:p w14:paraId="18BEECB5" w14:textId="77777777" w:rsidR="0007017D" w:rsidRDefault="005C263B">
            <w:r>
              <w:rPr>
                <w:sz w:val="20"/>
              </w:rPr>
              <w:t>Risk Console</w:t>
            </w:r>
          </w:p>
        </w:tc>
        <w:tc>
          <w:tcPr>
            <w:tcW w:w="6048" w:type="dxa"/>
            <w:shd w:val="clear" w:color="auto" w:fill="EDEFF4"/>
          </w:tcPr>
          <w:p w14:paraId="6F8B8FD4" w14:textId="77777777" w:rsidR="0007017D" w:rsidRDefault="005C263B">
            <w:r>
              <w:rPr>
                <w:sz w:val="20"/>
              </w:rPr>
              <w:t>Live risk tiles, a correlation table, and the kill-switch.</w:t>
            </w:r>
          </w:p>
        </w:tc>
      </w:tr>
      <w:tr w:rsidR="0007017D" w14:paraId="3DA39A5C" w14:textId="77777777">
        <w:trPr>
          <w:jc w:val="center"/>
        </w:trPr>
        <w:tc>
          <w:tcPr>
            <w:tcW w:w="576" w:type="dxa"/>
          </w:tcPr>
          <w:p w14:paraId="695EE079" w14:textId="77777777" w:rsidR="0007017D" w:rsidRDefault="005C263B">
            <w:r>
              <w:rPr>
                <w:sz w:val="20"/>
              </w:rPr>
              <w:t>5</w:t>
            </w:r>
          </w:p>
        </w:tc>
        <w:tc>
          <w:tcPr>
            <w:tcW w:w="2736" w:type="dxa"/>
          </w:tcPr>
          <w:p w14:paraId="77D6611D" w14:textId="77777777" w:rsidR="0007017D" w:rsidRDefault="005C263B">
            <w:r>
              <w:rPr>
                <w:sz w:val="20"/>
              </w:rPr>
              <w:t>AI Advisor</w:t>
            </w:r>
          </w:p>
        </w:tc>
        <w:tc>
          <w:tcPr>
            <w:tcW w:w="6048" w:type="dxa"/>
          </w:tcPr>
          <w:p w14:paraId="76588999" w14:textId="77777777" w:rsidR="0007017D" w:rsidRDefault="005C263B">
            <w:r>
              <w:rPr>
                <w:sz w:val="20"/>
              </w:rPr>
              <w:t>Free-text research Q&amp;A against the AI advisory service.</w:t>
            </w:r>
          </w:p>
        </w:tc>
      </w:tr>
      <w:tr w:rsidR="0007017D" w14:paraId="780231C7" w14:textId="77777777">
        <w:trPr>
          <w:jc w:val="center"/>
        </w:trPr>
        <w:tc>
          <w:tcPr>
            <w:tcW w:w="576" w:type="dxa"/>
            <w:shd w:val="clear" w:color="auto" w:fill="EDEFF4"/>
          </w:tcPr>
          <w:p w14:paraId="486584ED" w14:textId="77777777" w:rsidR="0007017D" w:rsidRDefault="005C263B">
            <w:r>
              <w:rPr>
                <w:sz w:val="20"/>
              </w:rPr>
              <w:t>6</w:t>
            </w:r>
          </w:p>
        </w:tc>
        <w:tc>
          <w:tcPr>
            <w:tcW w:w="2736" w:type="dxa"/>
            <w:shd w:val="clear" w:color="auto" w:fill="EDEFF4"/>
          </w:tcPr>
          <w:p w14:paraId="79A95934" w14:textId="77777777" w:rsidR="0007017D" w:rsidRDefault="005C263B">
            <w:r>
              <w:rPr>
                <w:sz w:val="20"/>
              </w:rPr>
              <w:t>Order Blotter</w:t>
            </w:r>
          </w:p>
        </w:tc>
        <w:tc>
          <w:tcPr>
            <w:tcW w:w="6048" w:type="dxa"/>
            <w:shd w:val="clear" w:color="auto" w:fill="EDEFF4"/>
          </w:tcPr>
          <w:p w14:paraId="70D00950" w14:textId="77777777" w:rsidR="0007017D" w:rsidRDefault="005C263B">
            <w:r>
              <w:rPr>
                <w:sz w:val="20"/>
              </w:rPr>
              <w:t>Every order the system knows about, and the human sign-off gate.</w:t>
            </w:r>
          </w:p>
        </w:tc>
      </w:tr>
      <w:tr w:rsidR="0007017D" w14:paraId="0CAF6922" w14:textId="77777777">
        <w:trPr>
          <w:jc w:val="center"/>
        </w:trPr>
        <w:tc>
          <w:tcPr>
            <w:tcW w:w="576" w:type="dxa"/>
          </w:tcPr>
          <w:p w14:paraId="073C98E8" w14:textId="77777777" w:rsidR="0007017D" w:rsidRDefault="005C263B">
            <w:r>
              <w:rPr>
                <w:sz w:val="20"/>
              </w:rPr>
              <w:t>7</w:t>
            </w:r>
          </w:p>
        </w:tc>
        <w:tc>
          <w:tcPr>
            <w:tcW w:w="2736" w:type="dxa"/>
          </w:tcPr>
          <w:p w14:paraId="3AC2A844" w14:textId="77777777" w:rsidR="0007017D" w:rsidRDefault="005C263B">
            <w:r>
              <w:rPr>
                <w:sz w:val="20"/>
              </w:rPr>
              <w:t>Screener</w:t>
            </w:r>
          </w:p>
        </w:tc>
        <w:tc>
          <w:tcPr>
            <w:tcW w:w="6048" w:type="dxa"/>
          </w:tcPr>
          <w:p w14:paraId="58BE0414" w14:textId="77777777" w:rsidR="0007017D" w:rsidRDefault="005C263B">
            <w:r>
              <w:rPr>
                <w:sz w:val="20"/>
              </w:rPr>
              <w:t>Reserved for future fundamental/technical screening (placeholder).</w:t>
            </w:r>
          </w:p>
        </w:tc>
      </w:tr>
      <w:tr w:rsidR="0007017D" w14:paraId="6B52C2BE" w14:textId="77777777">
        <w:trPr>
          <w:jc w:val="center"/>
        </w:trPr>
        <w:tc>
          <w:tcPr>
            <w:tcW w:w="576" w:type="dxa"/>
            <w:shd w:val="clear" w:color="auto" w:fill="EDEFF4"/>
          </w:tcPr>
          <w:p w14:paraId="4060E61D" w14:textId="77777777" w:rsidR="0007017D" w:rsidRDefault="005C263B">
            <w:r>
              <w:rPr>
                <w:sz w:val="20"/>
              </w:rPr>
              <w:t>8</w:t>
            </w:r>
          </w:p>
        </w:tc>
        <w:tc>
          <w:tcPr>
            <w:tcW w:w="2736" w:type="dxa"/>
            <w:shd w:val="clear" w:color="auto" w:fill="EDEFF4"/>
          </w:tcPr>
          <w:p w14:paraId="6068B92E" w14:textId="77777777" w:rsidR="0007017D" w:rsidRDefault="005C263B">
            <w:r>
              <w:rPr>
                <w:sz w:val="20"/>
              </w:rPr>
              <w:t>Settings</w:t>
            </w:r>
          </w:p>
        </w:tc>
        <w:tc>
          <w:tcPr>
            <w:tcW w:w="6048" w:type="dxa"/>
            <w:shd w:val="clear" w:color="auto" w:fill="EDEFF4"/>
          </w:tcPr>
          <w:p w14:paraId="2C9500F7" w14:textId="77777777" w:rsidR="0007017D" w:rsidRDefault="005C263B">
            <w:r>
              <w:rPr>
                <w:sz w:val="20"/>
              </w:rPr>
              <w:t>Reserved for future editable risk limits and endpoint configuration (placeholder).</w:t>
            </w:r>
          </w:p>
        </w:tc>
      </w:tr>
    </w:tbl>
    <w:p w14:paraId="6105EA02" w14:textId="77777777" w:rsidR="0007017D" w:rsidRDefault="0007017D"/>
    <w:p w14:paraId="3AEF39A6" w14:textId="77777777" w:rsidR="0007017D" w:rsidRDefault="005C263B">
      <w:pPr>
        <w:pStyle w:val="Heading2"/>
      </w:pPr>
      <w:bookmarkStart w:id="8" w:name="_Toc235861744"/>
      <w:r>
        <w:t>2.3 Paper vs Live Mode Indicator</w:t>
      </w:r>
      <w:bookmarkEnd w:id="8"/>
    </w:p>
    <w:p w14:paraId="068376DD" w14:textId="77777777" w:rsidR="0007017D" w:rsidRDefault="005C263B">
      <w:r>
        <w:t>The banner across the very top of the window is the single most important safety indicator in the application. It is always visible, cannot be hidden or dismissed, and its colour carries the meaning: solid green reads “MODE: PAPER”; solid red reads “MODE: LIVE.” The Order Blotter (Section 8) repeats this same banner immediately above its order table, since that is the one screen where the distinction matters most at the moment of action.</w:t>
      </w:r>
    </w:p>
    <w:p w14:paraId="7C73C2CA" w14:textId="77777777" w:rsidR="0007017D" w:rsidRDefault="005C263B">
      <w:pPr>
        <w:jc w:val="center"/>
      </w:pPr>
      <w:r>
        <w:rPr>
          <w:noProof/>
        </w:rPr>
        <w:lastRenderedPageBreak/>
        <w:drawing>
          <wp:inline distT="0" distB="0" distL="0" distR="0" wp14:anchorId="6F532BB1" wp14:editId="64C017F0">
            <wp:extent cx="5760720" cy="36499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8"/>
                    <a:stretch>
                      <a:fillRect/>
                    </a:stretch>
                  </pic:blipFill>
                  <pic:spPr>
                    <a:xfrm>
                      <a:off x="0" y="0"/>
                      <a:ext cx="5760720" cy="3649992"/>
                    </a:xfrm>
                    <a:prstGeom prst="rect">
                      <a:avLst/>
                    </a:prstGeom>
                  </pic:spPr>
                </pic:pic>
              </a:graphicData>
            </a:graphic>
          </wp:inline>
        </w:drawing>
      </w:r>
    </w:p>
    <w:p w14:paraId="0004BCAB" w14:textId="77777777" w:rsidR="0007017D" w:rsidRDefault="005C263B">
      <w:pPr>
        <w:jc w:val="center"/>
      </w:pPr>
      <w:r>
        <w:rPr>
          <w:i/>
          <w:color w:val="595959"/>
          <w:sz w:val="18"/>
        </w:rPr>
        <w:t>Figure 2.1 — Paper mode: the green banner reads “MODE: PAPER.”</w:t>
      </w:r>
    </w:p>
    <w:p w14:paraId="50C69435" w14:textId="77777777" w:rsidR="0007017D" w:rsidRDefault="0007017D"/>
    <w:p w14:paraId="6D3095E9" w14:textId="77777777" w:rsidR="0007017D" w:rsidRDefault="005C263B">
      <w:pPr>
        <w:jc w:val="center"/>
      </w:pPr>
      <w:r>
        <w:rPr>
          <w:noProof/>
        </w:rPr>
        <w:drawing>
          <wp:inline distT="0" distB="0" distL="0" distR="0" wp14:anchorId="38634F18" wp14:editId="54DE1DB0">
            <wp:extent cx="5760720" cy="36499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mode_banner.png"/>
                    <pic:cNvPicPr/>
                  </pic:nvPicPr>
                  <pic:blipFill>
                    <a:blip r:embed="rId9"/>
                    <a:stretch>
                      <a:fillRect/>
                    </a:stretch>
                  </pic:blipFill>
                  <pic:spPr>
                    <a:xfrm>
                      <a:off x="0" y="0"/>
                      <a:ext cx="5760720" cy="3649992"/>
                    </a:xfrm>
                    <a:prstGeom prst="rect">
                      <a:avLst/>
                    </a:prstGeom>
                  </pic:spPr>
                </pic:pic>
              </a:graphicData>
            </a:graphic>
          </wp:inline>
        </w:drawing>
      </w:r>
    </w:p>
    <w:p w14:paraId="7BF3FF7B" w14:textId="77777777" w:rsidR="0007017D" w:rsidRDefault="005C263B">
      <w:pPr>
        <w:jc w:val="center"/>
      </w:pPr>
      <w:r>
        <w:rPr>
          <w:i/>
          <w:color w:val="595959"/>
          <w:sz w:val="18"/>
        </w:rPr>
        <w:lastRenderedPageBreak/>
        <w:t>Figure 2.2 — Live mode: the same window with the banner switched to solid red, “MODE: LIVE.” Live mode requires a deliberate configuration change; it is never the default.</w:t>
      </w:r>
    </w:p>
    <w:p w14:paraId="5A9D0AFE" w14:textId="77777777" w:rsidR="0007017D" w:rsidRDefault="0007017D"/>
    <w:p w14:paraId="55BB8F1C" w14:textId="77777777" w:rsidR="0007017D" w:rsidRDefault="005C263B">
      <w:r>
        <w:br w:type="page"/>
      </w:r>
    </w:p>
    <w:p w14:paraId="176E0109" w14:textId="77777777" w:rsidR="0007017D" w:rsidRDefault="005C263B">
      <w:pPr>
        <w:pStyle w:val="Heading1"/>
      </w:pPr>
      <w:bookmarkStart w:id="9" w:name="_Toc235861745"/>
      <w:r>
        <w:lastRenderedPageBreak/>
        <w:t>3. The Dashboard</w:t>
      </w:r>
      <w:bookmarkEnd w:id="9"/>
    </w:p>
    <w:p w14:paraId="722A8444" w14:textId="77777777" w:rsidR="0007017D" w:rsidRDefault="005C263B">
      <w:r>
        <w:t>The Dashboard is the application's home screen and default landing tab. It gives a portfolio-level summary at a glance: account value, headline risk and performance figures, an equity curve, current holdings, and a plain-language note on the current market regime. All figures refresh automatically every two seconds; the AI regime note refreshes whenever the Regime Engine detects a new regime.</w:t>
      </w:r>
    </w:p>
    <w:p w14:paraId="64212846" w14:textId="77777777" w:rsidR="0007017D" w:rsidRDefault="005C263B">
      <w:pPr>
        <w:jc w:val="center"/>
      </w:pPr>
      <w:r>
        <w:rPr>
          <w:noProof/>
        </w:rPr>
        <w:drawing>
          <wp:inline distT="0" distB="0" distL="0" distR="0" wp14:anchorId="6825DE33" wp14:editId="0FCA2EA3">
            <wp:extent cx="5760720" cy="36499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8"/>
                    <a:stretch>
                      <a:fillRect/>
                    </a:stretch>
                  </pic:blipFill>
                  <pic:spPr>
                    <a:xfrm>
                      <a:off x="0" y="0"/>
                      <a:ext cx="5760720" cy="3649992"/>
                    </a:xfrm>
                    <a:prstGeom prst="rect">
                      <a:avLst/>
                    </a:prstGeom>
                  </pic:spPr>
                </pic:pic>
              </a:graphicData>
            </a:graphic>
          </wp:inline>
        </w:drawing>
      </w:r>
    </w:p>
    <w:p w14:paraId="67130422" w14:textId="77777777" w:rsidR="0007017D" w:rsidRDefault="005C263B">
      <w:pPr>
        <w:jc w:val="center"/>
      </w:pPr>
      <w:r>
        <w:rPr>
          <w:i/>
          <w:color w:val="595959"/>
          <w:sz w:val="18"/>
        </w:rPr>
        <w:t>Figure 3.1 — The Dashboard, showing a populated equity curve, an open SPY position, and an AI regime note awaiting review.</w:t>
      </w:r>
    </w:p>
    <w:p w14:paraId="5F926C1C" w14:textId="77777777" w:rsidR="0007017D" w:rsidRDefault="0007017D"/>
    <w:p w14:paraId="0F4A4D42" w14:textId="77777777" w:rsidR="0007017D" w:rsidRDefault="005C263B">
      <w:pPr>
        <w:pStyle w:val="Heading2"/>
      </w:pPr>
      <w:bookmarkStart w:id="10" w:name="_Toc235861746"/>
      <w:r>
        <w:t>3.1 Screen Elements</w:t>
      </w:r>
      <w:bookmarkEnd w:id="10"/>
    </w:p>
    <w:tbl>
      <w:tblPr>
        <w:tblStyle w:val="TableGrid"/>
        <w:tblW w:w="0" w:type="auto"/>
        <w:jc w:val="center"/>
        <w:tblLayout w:type="fixed"/>
        <w:tblLook w:val="04A0" w:firstRow="1" w:lastRow="0" w:firstColumn="1" w:lastColumn="0" w:noHBand="0" w:noVBand="1"/>
      </w:tblPr>
      <w:tblGrid>
        <w:gridCol w:w="2448"/>
        <w:gridCol w:w="6912"/>
      </w:tblGrid>
      <w:tr w:rsidR="0007017D" w14:paraId="1039E9DB" w14:textId="77777777">
        <w:trPr>
          <w:jc w:val="center"/>
        </w:trPr>
        <w:tc>
          <w:tcPr>
            <w:tcW w:w="2448" w:type="dxa"/>
            <w:shd w:val="clear" w:color="auto" w:fill="1F3864"/>
          </w:tcPr>
          <w:p w14:paraId="3082A3B6" w14:textId="77777777" w:rsidR="0007017D" w:rsidRDefault="005C263B">
            <w:r>
              <w:rPr>
                <w:b/>
                <w:color w:val="FFFFFF"/>
                <w:sz w:val="20"/>
              </w:rPr>
              <w:t>Element</w:t>
            </w:r>
          </w:p>
        </w:tc>
        <w:tc>
          <w:tcPr>
            <w:tcW w:w="6912" w:type="dxa"/>
            <w:shd w:val="clear" w:color="auto" w:fill="1F3864"/>
          </w:tcPr>
          <w:p w14:paraId="1ECF4294" w14:textId="77777777" w:rsidR="0007017D" w:rsidRDefault="005C263B">
            <w:r>
              <w:rPr>
                <w:b/>
                <w:color w:val="FFFFFF"/>
                <w:sz w:val="20"/>
              </w:rPr>
              <w:t>Description</w:t>
            </w:r>
          </w:p>
        </w:tc>
      </w:tr>
      <w:tr w:rsidR="0007017D" w14:paraId="79D20B59" w14:textId="77777777">
        <w:trPr>
          <w:jc w:val="center"/>
        </w:trPr>
        <w:tc>
          <w:tcPr>
            <w:tcW w:w="2448" w:type="dxa"/>
          </w:tcPr>
          <w:p w14:paraId="18CD31FB" w14:textId="77777777" w:rsidR="0007017D" w:rsidRDefault="005C263B">
            <w:r>
              <w:rPr>
                <w:b/>
                <w:sz w:val="20"/>
              </w:rPr>
              <w:t>Regime header</w:t>
            </w:r>
          </w:p>
        </w:tc>
        <w:tc>
          <w:tcPr>
            <w:tcW w:w="6912" w:type="dxa"/>
          </w:tcPr>
          <w:p w14:paraId="13031F3C" w14:textId="77777777" w:rsidR="0007017D" w:rsidRDefault="005C263B">
            <w:r>
              <w:rPr>
                <w:sz w:val="20"/>
              </w:rPr>
              <w:t>The current market regime label and its exposure scalar (e.g. “high_vol (scalar=0.40)”) — the scalar is the multiplier the Risk Engine applies to position sizing while that regime is active; see Section 5 for the full detail.</w:t>
            </w:r>
          </w:p>
        </w:tc>
      </w:tr>
      <w:tr w:rsidR="0007017D" w14:paraId="53A5EF29" w14:textId="77777777">
        <w:trPr>
          <w:jc w:val="center"/>
        </w:trPr>
        <w:tc>
          <w:tcPr>
            <w:tcW w:w="2448" w:type="dxa"/>
            <w:shd w:val="clear" w:color="auto" w:fill="EDEFF4"/>
          </w:tcPr>
          <w:p w14:paraId="0A0A4B46" w14:textId="77777777" w:rsidR="0007017D" w:rsidRDefault="005C263B">
            <w:r>
              <w:rPr>
                <w:b/>
                <w:sz w:val="20"/>
              </w:rPr>
              <w:t>NAV tile</w:t>
            </w:r>
          </w:p>
        </w:tc>
        <w:tc>
          <w:tcPr>
            <w:tcW w:w="6912" w:type="dxa"/>
            <w:shd w:val="clear" w:color="auto" w:fill="EDEFF4"/>
          </w:tcPr>
          <w:p w14:paraId="47F66C4F" w14:textId="77777777" w:rsidR="0007017D" w:rsidRDefault="005C263B">
            <w:r>
              <w:rPr>
                <w:sz w:val="20"/>
              </w:rPr>
              <w:t>Net Asset Value: total portfolio value (cash plus the market value of open positions), as reported by the broker.</w:t>
            </w:r>
          </w:p>
        </w:tc>
      </w:tr>
      <w:tr w:rsidR="0007017D" w14:paraId="7A63A164" w14:textId="77777777">
        <w:trPr>
          <w:jc w:val="center"/>
        </w:trPr>
        <w:tc>
          <w:tcPr>
            <w:tcW w:w="2448" w:type="dxa"/>
          </w:tcPr>
          <w:p w14:paraId="1FD4D748" w14:textId="77777777" w:rsidR="0007017D" w:rsidRDefault="005C263B">
            <w:r>
              <w:rPr>
                <w:b/>
                <w:sz w:val="20"/>
              </w:rPr>
              <w:t>Portfolio VaR (95%) tile</w:t>
            </w:r>
          </w:p>
        </w:tc>
        <w:tc>
          <w:tcPr>
            <w:tcW w:w="6912" w:type="dxa"/>
          </w:tcPr>
          <w:p w14:paraId="4353A166" w14:textId="77777777" w:rsidR="0007017D" w:rsidRDefault="005C263B">
            <w:r>
              <w:rPr>
                <w:sz w:val="20"/>
              </w:rPr>
              <w:t>The portfolio's one-period, 95%-confidence historical Value-at-Risk, taken from the Risk Engine's most recent evaluation.</w:t>
            </w:r>
          </w:p>
        </w:tc>
      </w:tr>
      <w:tr w:rsidR="0007017D" w14:paraId="56C546DE" w14:textId="77777777">
        <w:trPr>
          <w:jc w:val="center"/>
        </w:trPr>
        <w:tc>
          <w:tcPr>
            <w:tcW w:w="2448" w:type="dxa"/>
            <w:shd w:val="clear" w:color="auto" w:fill="EDEFF4"/>
          </w:tcPr>
          <w:p w14:paraId="5B336347" w14:textId="77777777" w:rsidR="0007017D" w:rsidRDefault="005C263B">
            <w:r>
              <w:rPr>
                <w:b/>
                <w:sz w:val="20"/>
              </w:rPr>
              <w:t>Realised Sharpe (naive) tile</w:t>
            </w:r>
          </w:p>
        </w:tc>
        <w:tc>
          <w:tcPr>
            <w:tcW w:w="6912" w:type="dxa"/>
            <w:shd w:val="clear" w:color="auto" w:fill="EDEFF4"/>
          </w:tcPr>
          <w:p w14:paraId="5D746EA3" w14:textId="77777777" w:rsidR="0007017D" w:rsidRDefault="005C263B">
            <w:r>
              <w:rPr>
                <w:sz w:val="20"/>
              </w:rPr>
              <w:t>An annualised Sharpe ratio computed from the live NAV history sampled every two seconds. Labelled “naive” because it is a simple realised-equity approximation, not the return-based Sharpe reported on a full backtest (see Section 4.1); it appears once at least ten samples have been collected.</w:t>
            </w:r>
          </w:p>
        </w:tc>
      </w:tr>
      <w:tr w:rsidR="0007017D" w14:paraId="4A516770" w14:textId="77777777">
        <w:trPr>
          <w:jc w:val="center"/>
        </w:trPr>
        <w:tc>
          <w:tcPr>
            <w:tcW w:w="2448" w:type="dxa"/>
          </w:tcPr>
          <w:p w14:paraId="693CA2D0" w14:textId="77777777" w:rsidR="0007017D" w:rsidRDefault="005C263B">
            <w:r>
              <w:rPr>
                <w:b/>
                <w:sz w:val="20"/>
              </w:rPr>
              <w:t>Drawdown vs limit tile</w:t>
            </w:r>
          </w:p>
        </w:tc>
        <w:tc>
          <w:tcPr>
            <w:tcW w:w="6912" w:type="dxa"/>
          </w:tcPr>
          <w:p w14:paraId="563F028B" w14:textId="77777777" w:rsidR="0007017D" w:rsidRDefault="005C263B">
            <w:r>
              <w:rPr>
                <w:sz w:val="20"/>
              </w:rPr>
              <w:t xml:space="preserve">Current drawdown from the highest NAV observed so far, shown against the configured maximum drawdown limit. Green while within limit; turns red if the </w:t>
            </w:r>
            <w:r>
              <w:rPr>
                <w:sz w:val="20"/>
              </w:rPr>
              <w:lastRenderedPageBreak/>
              <w:t>limit is breached.</w:t>
            </w:r>
          </w:p>
        </w:tc>
      </w:tr>
      <w:tr w:rsidR="0007017D" w14:paraId="4295B2D9" w14:textId="77777777">
        <w:trPr>
          <w:jc w:val="center"/>
        </w:trPr>
        <w:tc>
          <w:tcPr>
            <w:tcW w:w="2448" w:type="dxa"/>
            <w:shd w:val="clear" w:color="auto" w:fill="EDEFF4"/>
          </w:tcPr>
          <w:p w14:paraId="2FF9FE78" w14:textId="77777777" w:rsidR="0007017D" w:rsidRDefault="005C263B">
            <w:r>
              <w:rPr>
                <w:b/>
                <w:sz w:val="20"/>
              </w:rPr>
              <w:lastRenderedPageBreak/>
              <w:t>Equity Curve chart</w:t>
            </w:r>
          </w:p>
        </w:tc>
        <w:tc>
          <w:tcPr>
            <w:tcW w:w="6912" w:type="dxa"/>
            <w:shd w:val="clear" w:color="auto" w:fill="EDEFF4"/>
          </w:tcPr>
          <w:p w14:paraId="24A3FFB6" w14:textId="77777777" w:rsidR="0007017D" w:rsidRDefault="005C263B">
            <w:r>
              <w:rPr>
                <w:sz w:val="20"/>
              </w:rPr>
              <w:t>A live line chart of NAV over time, sampled every two seconds, up to the most recent 500 samples.</w:t>
            </w:r>
          </w:p>
        </w:tc>
      </w:tr>
      <w:tr w:rsidR="0007017D" w14:paraId="0A4116CB" w14:textId="77777777">
        <w:trPr>
          <w:jc w:val="center"/>
        </w:trPr>
        <w:tc>
          <w:tcPr>
            <w:tcW w:w="2448" w:type="dxa"/>
          </w:tcPr>
          <w:p w14:paraId="03FAFE7C" w14:textId="77777777" w:rsidR="0007017D" w:rsidRDefault="005C263B">
            <w:r>
              <w:rPr>
                <w:b/>
                <w:sz w:val="20"/>
              </w:rPr>
              <w:t>Positions table</w:t>
            </w:r>
          </w:p>
        </w:tc>
        <w:tc>
          <w:tcPr>
            <w:tcW w:w="6912" w:type="dxa"/>
          </w:tcPr>
          <w:p w14:paraId="4F0191BE" w14:textId="77777777" w:rsidR="0007017D" w:rsidRDefault="005C263B">
            <w:r>
              <w:rPr>
                <w:sz w:val="20"/>
              </w:rPr>
              <w:t>Every open position reported by the broker: Symbol, Quantity, and Average Price.</w:t>
            </w:r>
          </w:p>
        </w:tc>
      </w:tr>
      <w:tr w:rsidR="0007017D" w14:paraId="01B5C10B" w14:textId="77777777">
        <w:trPr>
          <w:jc w:val="center"/>
        </w:trPr>
        <w:tc>
          <w:tcPr>
            <w:tcW w:w="2448" w:type="dxa"/>
            <w:shd w:val="clear" w:color="auto" w:fill="EDEFF4"/>
          </w:tcPr>
          <w:p w14:paraId="7E142B61" w14:textId="77777777" w:rsidR="0007017D" w:rsidRDefault="005C263B">
            <w:r>
              <w:rPr>
                <w:b/>
                <w:sz w:val="20"/>
              </w:rPr>
              <w:t>AI Regime Note</w:t>
            </w:r>
          </w:p>
        </w:tc>
        <w:tc>
          <w:tcPr>
            <w:tcW w:w="6912" w:type="dxa"/>
            <w:shd w:val="clear" w:color="auto" w:fill="EDEFF4"/>
          </w:tcPr>
          <w:p w14:paraId="66D12CEF" w14:textId="77777777" w:rsidR="0007017D" w:rsidRDefault="005C263B">
            <w:r>
              <w:rPr>
                <w:sz w:val="20"/>
              </w:rPr>
              <w:t>A plain-language summary generated automatically whenever the regime changes, naming the new regime and its top three probability contributors.</w:t>
            </w:r>
          </w:p>
        </w:tc>
      </w:tr>
      <w:tr w:rsidR="0007017D" w14:paraId="27FAAB4D" w14:textId="77777777">
        <w:trPr>
          <w:jc w:val="center"/>
        </w:trPr>
        <w:tc>
          <w:tcPr>
            <w:tcW w:w="2448" w:type="dxa"/>
          </w:tcPr>
          <w:p w14:paraId="34BB6BE8" w14:textId="77777777" w:rsidR="0007017D" w:rsidRDefault="005C263B">
            <w:r>
              <w:rPr>
                <w:b/>
                <w:sz w:val="20"/>
              </w:rPr>
              <w:t>Review &amp; Apply button</w:t>
            </w:r>
          </w:p>
        </w:tc>
        <w:tc>
          <w:tcPr>
            <w:tcW w:w="6912" w:type="dxa"/>
          </w:tcPr>
          <w:p w14:paraId="152783DE" w14:textId="77777777" w:rsidR="0007017D" w:rsidRDefault="005C263B">
            <w:r>
              <w:rPr>
                <w:sz w:val="20"/>
              </w:rPr>
              <w:t>Acknowledges that the AI regime note has been read. This is a UI-only action — it never places, sizes, or modifies any order or position. The AI proposes information; a human decides what, if anything, to do about it.</w:t>
            </w:r>
          </w:p>
        </w:tc>
      </w:tr>
    </w:tbl>
    <w:p w14:paraId="568A5FAB" w14:textId="77777777" w:rsidR="0007017D" w:rsidRDefault="0007017D"/>
    <w:p w14:paraId="158513E4" w14:textId="77777777" w:rsidR="0007017D" w:rsidRDefault="005C263B">
      <w:r>
        <w:br w:type="page"/>
      </w:r>
    </w:p>
    <w:p w14:paraId="2D58D377" w14:textId="77777777" w:rsidR="0007017D" w:rsidRDefault="005C263B">
      <w:pPr>
        <w:pStyle w:val="Heading1"/>
      </w:pPr>
      <w:bookmarkStart w:id="11" w:name="_Toc235861747"/>
      <w:r>
        <w:lastRenderedPageBreak/>
        <w:t>4. The Strategy Workbench</w:t>
      </w:r>
      <w:bookmarkEnd w:id="11"/>
    </w:p>
    <w:p w14:paraId="43B55A91" w14:textId="77777777" w:rsidR="0007017D" w:rsidRDefault="005C263B">
      <w:r>
        <w:t>The Strategy Workbench is where a strategy is researched and vetted before it is allowed to run live. It backtests any of the application's fifteen built-in strategies against synthetic price history, reports a full performance and risk panel, runs a Monte Carlo resample of the resulting trades, and produces an AI commentary on the result — all before the one real, consequential action on this screen: deploying the strategy to the live signal pipeline.</w:t>
      </w:r>
    </w:p>
    <w:tbl>
      <w:tblPr>
        <w:tblStyle w:val="TableGrid"/>
        <w:tblW w:w="0" w:type="auto"/>
        <w:jc w:val="center"/>
        <w:tblLook w:val="04A0" w:firstRow="1" w:lastRow="0" w:firstColumn="1" w:lastColumn="0" w:noHBand="0" w:noVBand="1"/>
      </w:tblPr>
      <w:tblGrid>
        <w:gridCol w:w="9360"/>
      </w:tblGrid>
      <w:tr w:rsidR="0007017D" w14:paraId="62AEC61E" w14:textId="77777777">
        <w:trPr>
          <w:jc w:val="center"/>
        </w:trPr>
        <w:tc>
          <w:tcPr>
            <w:tcW w:w="9360" w:type="dxa"/>
            <w:shd w:val="clear" w:color="auto" w:fill="EDEFF4"/>
          </w:tcPr>
          <w:p w14:paraId="1F603A74" w14:textId="77777777" w:rsidR="0007017D" w:rsidRDefault="005C263B">
            <w:r>
              <w:rPr>
                <w:b/>
                <w:color w:val="2E5395"/>
                <w:sz w:val="20"/>
              </w:rPr>
              <w:t>Where the backtest data comes from</w:t>
            </w:r>
          </w:p>
          <w:p w14:paraId="49AF3C72" w14:textId="77777777" w:rsidR="0007017D" w:rsidRDefault="005C263B">
            <w:r>
              <w:rPr>
                <w:sz w:val="20"/>
              </w:rPr>
              <w:t>No historical market-data vendor is wired into this application. Backtests run against synthetic daily bars generated from a seeded random walk (the same generator used for live streaming, re-labelled with daily timestamps). Results are reproducible run-to-run for the same strategy and symbol, but they are illustrative, not a claim about real historical performance.</w:t>
            </w:r>
          </w:p>
        </w:tc>
      </w:tr>
    </w:tbl>
    <w:p w14:paraId="65F34B88" w14:textId="77777777" w:rsidR="0007017D" w:rsidRDefault="0007017D"/>
    <w:p w14:paraId="41A58A0E" w14:textId="77777777" w:rsidR="0007017D" w:rsidRDefault="005C263B">
      <w:pPr>
        <w:jc w:val="center"/>
      </w:pPr>
      <w:r>
        <w:rPr>
          <w:noProof/>
        </w:rPr>
        <w:drawing>
          <wp:inline distT="0" distB="0" distL="0" distR="0" wp14:anchorId="5A6BCA1A" wp14:editId="74352BB2">
            <wp:extent cx="5760720" cy="36499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bench.png"/>
                    <pic:cNvPicPr/>
                  </pic:nvPicPr>
                  <pic:blipFill>
                    <a:blip r:embed="rId10"/>
                    <a:stretch>
                      <a:fillRect/>
                    </a:stretch>
                  </pic:blipFill>
                  <pic:spPr>
                    <a:xfrm>
                      <a:off x="0" y="0"/>
                      <a:ext cx="5760720" cy="3649992"/>
                    </a:xfrm>
                    <a:prstGeom prst="rect">
                      <a:avLst/>
                    </a:prstGeom>
                  </pic:spPr>
                </pic:pic>
              </a:graphicData>
            </a:graphic>
          </wp:inline>
        </w:drawing>
      </w:r>
    </w:p>
    <w:p w14:paraId="06AE1946" w14:textId="77777777" w:rsidR="0007017D" w:rsidRDefault="005C263B">
      <w:pPr>
        <w:jc w:val="center"/>
      </w:pPr>
      <w:r>
        <w:rPr>
          <w:i/>
          <w:color w:val="595959"/>
          <w:sz w:val="18"/>
        </w:rPr>
        <w:t>Figure 4.1 — A completed backtest of the trend_following strategy on AAPL: equity-vs-benchmark chart, the ten-metric panel, the Monte Carlo cone, and the AI robustness note.</w:t>
      </w:r>
    </w:p>
    <w:p w14:paraId="600C5244" w14:textId="77777777" w:rsidR="0007017D" w:rsidRDefault="0007017D"/>
    <w:p w14:paraId="53BCF19D" w14:textId="77777777" w:rsidR="0007017D" w:rsidRDefault="005C263B">
      <w:pPr>
        <w:pStyle w:val="Heading2"/>
      </w:pPr>
      <w:bookmarkStart w:id="12" w:name="_Toc235861748"/>
      <w:r>
        <w:t>4.1 Screen Elements</w:t>
      </w:r>
      <w:bookmarkEnd w:id="12"/>
    </w:p>
    <w:tbl>
      <w:tblPr>
        <w:tblStyle w:val="TableGrid"/>
        <w:tblW w:w="0" w:type="auto"/>
        <w:jc w:val="center"/>
        <w:tblLayout w:type="fixed"/>
        <w:tblLook w:val="04A0" w:firstRow="1" w:lastRow="0" w:firstColumn="1" w:lastColumn="0" w:noHBand="0" w:noVBand="1"/>
      </w:tblPr>
      <w:tblGrid>
        <w:gridCol w:w="2448"/>
        <w:gridCol w:w="6912"/>
      </w:tblGrid>
      <w:tr w:rsidR="0007017D" w14:paraId="312488FD" w14:textId="77777777">
        <w:trPr>
          <w:jc w:val="center"/>
        </w:trPr>
        <w:tc>
          <w:tcPr>
            <w:tcW w:w="2448" w:type="dxa"/>
            <w:shd w:val="clear" w:color="auto" w:fill="1F3864"/>
          </w:tcPr>
          <w:p w14:paraId="128DF7FE" w14:textId="77777777" w:rsidR="0007017D" w:rsidRDefault="005C263B">
            <w:r>
              <w:rPr>
                <w:b/>
                <w:color w:val="FFFFFF"/>
                <w:sz w:val="20"/>
              </w:rPr>
              <w:t>Element</w:t>
            </w:r>
          </w:p>
        </w:tc>
        <w:tc>
          <w:tcPr>
            <w:tcW w:w="6912" w:type="dxa"/>
            <w:shd w:val="clear" w:color="auto" w:fill="1F3864"/>
          </w:tcPr>
          <w:p w14:paraId="6B6F8A96" w14:textId="77777777" w:rsidR="0007017D" w:rsidRDefault="005C263B">
            <w:r>
              <w:rPr>
                <w:b/>
                <w:color w:val="FFFFFF"/>
                <w:sz w:val="20"/>
              </w:rPr>
              <w:t>Description</w:t>
            </w:r>
          </w:p>
        </w:tc>
      </w:tr>
      <w:tr w:rsidR="0007017D" w14:paraId="019EF5C1" w14:textId="77777777">
        <w:trPr>
          <w:jc w:val="center"/>
        </w:trPr>
        <w:tc>
          <w:tcPr>
            <w:tcW w:w="2448" w:type="dxa"/>
          </w:tcPr>
          <w:p w14:paraId="61A82C59" w14:textId="77777777" w:rsidR="0007017D" w:rsidRDefault="005C263B">
            <w:r>
              <w:rPr>
                <w:b/>
                <w:sz w:val="20"/>
              </w:rPr>
              <w:t>Strategy dropdown</w:t>
            </w:r>
          </w:p>
        </w:tc>
        <w:tc>
          <w:tcPr>
            <w:tcW w:w="6912" w:type="dxa"/>
          </w:tcPr>
          <w:p w14:paraId="0BBA3564" w14:textId="77777777" w:rsidR="0007017D" w:rsidRDefault="005C263B">
            <w:r>
              <w:rPr>
                <w:sz w:val="20"/>
              </w:rPr>
              <w:t>Selects which of the fifteen built-in strategies to backtest (e.g. momentum, mean_reversion, trend_following, can_slim, growth, value, garp, quality, dividend_growth, swing, breakout, volatility, pairs_stat_arb, sector_rotation, multi_factor).</w:t>
            </w:r>
          </w:p>
        </w:tc>
      </w:tr>
      <w:tr w:rsidR="0007017D" w14:paraId="05DF9879" w14:textId="77777777">
        <w:trPr>
          <w:jc w:val="center"/>
        </w:trPr>
        <w:tc>
          <w:tcPr>
            <w:tcW w:w="2448" w:type="dxa"/>
            <w:shd w:val="clear" w:color="auto" w:fill="EDEFF4"/>
          </w:tcPr>
          <w:p w14:paraId="4A4697F9" w14:textId="77777777" w:rsidR="0007017D" w:rsidRDefault="005C263B">
            <w:r>
              <w:rPr>
                <w:b/>
                <w:sz w:val="20"/>
              </w:rPr>
              <w:lastRenderedPageBreak/>
              <w:t>Symbol dropdown</w:t>
            </w:r>
          </w:p>
        </w:tc>
        <w:tc>
          <w:tcPr>
            <w:tcW w:w="6912" w:type="dxa"/>
            <w:shd w:val="clear" w:color="auto" w:fill="EDEFF4"/>
          </w:tcPr>
          <w:p w14:paraId="11410167" w14:textId="77777777" w:rsidR="0007017D" w:rsidRDefault="005C263B">
            <w:r>
              <w:rPr>
                <w:sz w:val="20"/>
              </w:rPr>
              <w:t>Selects which watchlist symbol to backtest the strategy against.</w:t>
            </w:r>
          </w:p>
        </w:tc>
      </w:tr>
      <w:tr w:rsidR="0007017D" w14:paraId="6EFB65A7" w14:textId="77777777">
        <w:trPr>
          <w:jc w:val="center"/>
        </w:trPr>
        <w:tc>
          <w:tcPr>
            <w:tcW w:w="2448" w:type="dxa"/>
          </w:tcPr>
          <w:p w14:paraId="6DE91B71" w14:textId="77777777" w:rsidR="0007017D" w:rsidRDefault="005C263B">
            <w:r>
              <w:rPr>
                <w:b/>
                <w:sz w:val="20"/>
              </w:rPr>
              <w:t>Run Backtest button</w:t>
            </w:r>
          </w:p>
        </w:tc>
        <w:tc>
          <w:tcPr>
            <w:tcW w:w="6912" w:type="dxa"/>
          </w:tcPr>
          <w:p w14:paraId="22CEB4D0" w14:textId="77777777" w:rsidR="0007017D" w:rsidRDefault="005C263B">
            <w:r>
              <w:rPr>
                <w:sz w:val="20"/>
              </w:rPr>
              <w:t>Generates roughly 300 days of synthetic history for the chosen symbol (and for the benchmark symbol, if different), replays the strategy bar-by-bar with no look-ahead, and runs a cost-aware vectorised backtest.</w:t>
            </w:r>
          </w:p>
        </w:tc>
      </w:tr>
      <w:tr w:rsidR="0007017D" w14:paraId="7A6C1878" w14:textId="77777777">
        <w:trPr>
          <w:jc w:val="center"/>
        </w:trPr>
        <w:tc>
          <w:tcPr>
            <w:tcW w:w="2448" w:type="dxa"/>
            <w:shd w:val="clear" w:color="auto" w:fill="EDEFF4"/>
          </w:tcPr>
          <w:p w14:paraId="3D77AC8E" w14:textId="77777777" w:rsidR="0007017D" w:rsidRDefault="005C263B">
            <w:r>
              <w:rPr>
                <w:b/>
                <w:sz w:val="20"/>
              </w:rPr>
              <w:t>Warnings line (red text)</w:t>
            </w:r>
          </w:p>
        </w:tc>
        <w:tc>
          <w:tcPr>
            <w:tcW w:w="6912" w:type="dxa"/>
            <w:shd w:val="clear" w:color="auto" w:fill="EDEFF4"/>
          </w:tcPr>
          <w:p w14:paraId="3323AB36" w14:textId="77777777" w:rsidR="0007017D" w:rsidRDefault="005C263B">
            <w:r>
              <w:rPr>
                <w:sz w:val="20"/>
              </w:rPr>
              <w:t>Guardrail warnings raised by the backtester itself — for example, a zero-cost backtest, or a Sharpe ratio implausibly above 2.0 on daily data, both common signs of overfitting or unrealistic assumptions.</w:t>
            </w:r>
          </w:p>
        </w:tc>
      </w:tr>
      <w:tr w:rsidR="0007017D" w14:paraId="147C5B74" w14:textId="77777777">
        <w:trPr>
          <w:jc w:val="center"/>
        </w:trPr>
        <w:tc>
          <w:tcPr>
            <w:tcW w:w="2448" w:type="dxa"/>
          </w:tcPr>
          <w:p w14:paraId="1FF3BC57" w14:textId="77777777" w:rsidR="0007017D" w:rsidRDefault="005C263B">
            <w:r>
              <w:rPr>
                <w:b/>
                <w:sz w:val="20"/>
              </w:rPr>
              <w:t>Equity vs Benchmark chart</w:t>
            </w:r>
          </w:p>
        </w:tc>
        <w:tc>
          <w:tcPr>
            <w:tcW w:w="6912" w:type="dxa"/>
          </w:tcPr>
          <w:p w14:paraId="648D1C1C" w14:textId="77777777" w:rsidR="0007017D" w:rsidRDefault="005C263B">
            <w:r>
              <w:rPr>
                <w:sz w:val="20"/>
              </w:rPr>
              <w:t>Yellow line: the strategy's simulated equity curve. Cyan line: a buy-and-hold benchmark on the same symbol. Both start from the same $100,000 notional.</w:t>
            </w:r>
          </w:p>
        </w:tc>
      </w:tr>
      <w:tr w:rsidR="0007017D" w14:paraId="2ED5DB92" w14:textId="77777777">
        <w:trPr>
          <w:jc w:val="center"/>
        </w:trPr>
        <w:tc>
          <w:tcPr>
            <w:tcW w:w="2448" w:type="dxa"/>
            <w:shd w:val="clear" w:color="auto" w:fill="EDEFF4"/>
          </w:tcPr>
          <w:p w14:paraId="01CD3F98" w14:textId="77777777" w:rsidR="0007017D" w:rsidRDefault="005C263B">
            <w:r>
              <w:rPr>
                <w:b/>
                <w:sz w:val="20"/>
              </w:rPr>
              <w:t>Ten-metric panel</w:t>
            </w:r>
          </w:p>
        </w:tc>
        <w:tc>
          <w:tcPr>
            <w:tcW w:w="6912" w:type="dxa"/>
            <w:shd w:val="clear" w:color="auto" w:fill="EDEFF4"/>
          </w:tcPr>
          <w:p w14:paraId="3A0D6483" w14:textId="77777777" w:rsidR="0007017D" w:rsidRDefault="005C263B">
            <w:r>
              <w:rPr>
                <w:sz w:val="20"/>
              </w:rPr>
              <w:t>CAGR, annualised volatility, Sharpe, Sortino, maximum drawdown, Calmar ratio, win rate, profit factor, and parametric VaR (95%), plus beta, alpha, and information ratio versus the benchmark. See the Glossary (Appendix A) for definitions.</w:t>
            </w:r>
          </w:p>
        </w:tc>
      </w:tr>
      <w:tr w:rsidR="0007017D" w14:paraId="3ECDF608" w14:textId="77777777">
        <w:trPr>
          <w:jc w:val="center"/>
        </w:trPr>
        <w:tc>
          <w:tcPr>
            <w:tcW w:w="2448" w:type="dxa"/>
          </w:tcPr>
          <w:p w14:paraId="5D5542AF" w14:textId="77777777" w:rsidR="0007017D" w:rsidRDefault="005C263B">
            <w:r>
              <w:rPr>
                <w:b/>
                <w:sz w:val="20"/>
              </w:rPr>
              <w:t>Monte Carlo Outcome Cone</w:t>
            </w:r>
          </w:p>
        </w:tc>
        <w:tc>
          <w:tcPr>
            <w:tcW w:w="6912" w:type="dxa"/>
          </w:tcPr>
          <w:p w14:paraId="2AEC1AD4" w14:textId="77777777" w:rsidR="0007017D" w:rsidRDefault="005C263B">
            <w:r>
              <w:rPr>
                <w:sz w:val="20"/>
              </w:rPr>
              <w:t>A 1,000-simulation bootstrap resample of the backtest's own trade returns. Red = 5th-percentile (pessimistic) equity path, yellow = median, green = 95th-percentile (optimistic) path.</w:t>
            </w:r>
          </w:p>
        </w:tc>
      </w:tr>
      <w:tr w:rsidR="0007017D" w14:paraId="19277F5D" w14:textId="77777777">
        <w:trPr>
          <w:jc w:val="center"/>
        </w:trPr>
        <w:tc>
          <w:tcPr>
            <w:tcW w:w="2448" w:type="dxa"/>
            <w:shd w:val="clear" w:color="auto" w:fill="EDEFF4"/>
          </w:tcPr>
          <w:p w14:paraId="7E646187" w14:textId="77777777" w:rsidR="0007017D" w:rsidRDefault="005C263B">
            <w:r>
              <w:rPr>
                <w:b/>
                <w:sz w:val="20"/>
              </w:rPr>
              <w:t>AI Robustness Note</w:t>
            </w:r>
          </w:p>
        </w:tc>
        <w:tc>
          <w:tcPr>
            <w:tcW w:w="6912" w:type="dxa"/>
            <w:shd w:val="clear" w:color="auto" w:fill="EDEFF4"/>
          </w:tcPr>
          <w:p w14:paraId="6BFE62F7" w14:textId="77777777" w:rsidR="0007017D" w:rsidRDefault="005C263B">
            <w:r>
              <w:rPr>
                <w:sz w:val="20"/>
              </w:rPr>
              <w:t>A plain-language commentary on the backtest result, generated from the same metrics shown in the panel above.</w:t>
            </w:r>
          </w:p>
        </w:tc>
      </w:tr>
      <w:tr w:rsidR="0007017D" w14:paraId="53F9A06E" w14:textId="77777777">
        <w:trPr>
          <w:jc w:val="center"/>
        </w:trPr>
        <w:tc>
          <w:tcPr>
            <w:tcW w:w="2448" w:type="dxa"/>
          </w:tcPr>
          <w:p w14:paraId="1B4DE057" w14:textId="77777777" w:rsidR="0007017D" w:rsidRDefault="005C263B">
            <w:r>
              <w:rPr>
                <w:b/>
                <w:sz w:val="20"/>
              </w:rPr>
              <w:t>Deploy to Paper button</w:t>
            </w:r>
          </w:p>
        </w:tc>
        <w:tc>
          <w:tcPr>
            <w:tcW w:w="6912" w:type="dxa"/>
          </w:tcPr>
          <w:p w14:paraId="15A41D02" w14:textId="77777777" w:rsidR="0007017D" w:rsidRDefault="005C263B">
            <w:r>
              <w:rPr>
                <w:sz w:val="20"/>
              </w:rPr>
              <w:t>The one real action on this screen. Enabled once a backtest has run; adds the selected strategy to the live Strategy Engine's active list, so it begins generating real trading signals from live streaming data. Relabels to “Deployed: &lt;name&gt; ✓” and disables once deployed.</w:t>
            </w:r>
          </w:p>
        </w:tc>
      </w:tr>
    </w:tbl>
    <w:p w14:paraId="2A8C7979" w14:textId="77777777" w:rsidR="0007017D" w:rsidRDefault="0007017D"/>
    <w:tbl>
      <w:tblPr>
        <w:tblStyle w:val="TableGrid"/>
        <w:tblW w:w="0" w:type="auto"/>
        <w:jc w:val="center"/>
        <w:tblLook w:val="04A0" w:firstRow="1" w:lastRow="0" w:firstColumn="1" w:lastColumn="0" w:noHBand="0" w:noVBand="1"/>
      </w:tblPr>
      <w:tblGrid>
        <w:gridCol w:w="9360"/>
      </w:tblGrid>
      <w:tr w:rsidR="0007017D" w14:paraId="3C860A8A" w14:textId="77777777">
        <w:trPr>
          <w:jc w:val="center"/>
        </w:trPr>
        <w:tc>
          <w:tcPr>
            <w:tcW w:w="9360" w:type="dxa"/>
            <w:shd w:val="clear" w:color="auto" w:fill="EDEFF4"/>
          </w:tcPr>
          <w:p w14:paraId="6A1CE4CE" w14:textId="77777777" w:rsidR="0007017D" w:rsidRDefault="005C263B">
            <w:r>
              <w:rPr>
                <w:b/>
                <w:color w:val="1B5E20"/>
                <w:sz w:val="20"/>
              </w:rPr>
              <w:t>What “Deploy to Paper” does not do</w:t>
            </w:r>
          </w:p>
          <w:p w14:paraId="7182A878" w14:textId="77777777" w:rsidR="0007017D" w:rsidRDefault="005C263B">
            <w:r>
              <w:rPr>
                <w:sz w:val="20"/>
              </w:rPr>
              <w:t>No strategy is active on launch — the live Strategy Engine starts with an empty list. Deploying a strategy only makes it eligible to generate signals; every signal it produces still passes through the Risk Engine's sizing and limit checks and lands on the Order Blotter as pending_signoff. A human must still sign off every resulting order (Section 8) before it is ever transmitted to the broker.</w:t>
            </w:r>
          </w:p>
        </w:tc>
      </w:tr>
    </w:tbl>
    <w:p w14:paraId="7D4F2F37" w14:textId="77777777" w:rsidR="0007017D" w:rsidRDefault="0007017D"/>
    <w:p w14:paraId="61D33E13" w14:textId="77777777" w:rsidR="0007017D" w:rsidRDefault="005C263B">
      <w:r>
        <w:br w:type="page"/>
      </w:r>
    </w:p>
    <w:p w14:paraId="00014ABA" w14:textId="77777777" w:rsidR="0007017D" w:rsidRDefault="005C263B">
      <w:pPr>
        <w:pStyle w:val="Heading1"/>
      </w:pPr>
      <w:bookmarkStart w:id="13" w:name="_Toc235861749"/>
      <w:r>
        <w:lastRenderedPageBreak/>
        <w:t>5. The Regime Monitor</w:t>
      </w:r>
      <w:bookmarkEnd w:id="13"/>
    </w:p>
    <w:p w14:paraId="4C9C83A8" w14:textId="77777777" w:rsidR="0007017D" w:rsidRDefault="005C263B">
      <w:r>
        <w:t>The Regime Monitor is the detailed view behind the short regime summary shown on the Dashboard. The application classifies the market into one of seven regimes using a Gaussian Hidden Markov Model blended with a macro/technical rules overlay and a hysteresis gate (to avoid flickering between regimes on noisy data). This screen shows the model's full probability distribution, the raw inputs driving it, and a history of every actual regime change.</w:t>
      </w:r>
    </w:p>
    <w:p w14:paraId="2B73A5D1" w14:textId="77777777" w:rsidR="0007017D" w:rsidRDefault="005C263B">
      <w:pPr>
        <w:jc w:val="center"/>
      </w:pPr>
      <w:r>
        <w:rPr>
          <w:noProof/>
        </w:rPr>
        <w:drawing>
          <wp:inline distT="0" distB="0" distL="0" distR="0" wp14:anchorId="36DA4D37" wp14:editId="6FD11311">
            <wp:extent cx="5760720" cy="364999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onitor.png"/>
                    <pic:cNvPicPr/>
                  </pic:nvPicPr>
                  <pic:blipFill>
                    <a:blip r:embed="rId11"/>
                    <a:stretch>
                      <a:fillRect/>
                    </a:stretch>
                  </pic:blipFill>
                  <pic:spPr>
                    <a:xfrm>
                      <a:off x="0" y="0"/>
                      <a:ext cx="5760720" cy="3649992"/>
                    </a:xfrm>
                    <a:prstGeom prst="rect">
                      <a:avLst/>
                    </a:prstGeom>
                  </pic:spPr>
                </pic:pic>
              </a:graphicData>
            </a:graphic>
          </wp:inline>
        </w:drawing>
      </w:r>
    </w:p>
    <w:p w14:paraId="0EAD05D7" w14:textId="77777777" w:rsidR="0007017D" w:rsidRDefault="005C263B">
      <w:pPr>
        <w:jc w:val="center"/>
      </w:pPr>
      <w:r>
        <w:rPr>
          <w:i/>
          <w:color w:val="595959"/>
          <w:sz w:val="18"/>
        </w:rPr>
        <w:t>Figure 5.1 — The Regime Monitor showing a high_vol regime, its probability distribution across all seven states, the feature-driver values feeding the model, and the transition history.</w:t>
      </w:r>
    </w:p>
    <w:p w14:paraId="1EC5C473" w14:textId="77777777" w:rsidR="0007017D" w:rsidRDefault="0007017D"/>
    <w:p w14:paraId="240E4439" w14:textId="77777777" w:rsidR="0007017D" w:rsidRDefault="005C263B">
      <w:pPr>
        <w:pStyle w:val="Heading2"/>
      </w:pPr>
      <w:bookmarkStart w:id="14" w:name="_Toc235861750"/>
      <w:r>
        <w:t>5.1 Screen Elements</w:t>
      </w:r>
      <w:bookmarkEnd w:id="14"/>
    </w:p>
    <w:tbl>
      <w:tblPr>
        <w:tblStyle w:val="TableGrid"/>
        <w:tblW w:w="0" w:type="auto"/>
        <w:jc w:val="center"/>
        <w:tblLayout w:type="fixed"/>
        <w:tblLook w:val="04A0" w:firstRow="1" w:lastRow="0" w:firstColumn="1" w:lastColumn="0" w:noHBand="0" w:noVBand="1"/>
      </w:tblPr>
      <w:tblGrid>
        <w:gridCol w:w="2448"/>
        <w:gridCol w:w="6912"/>
      </w:tblGrid>
      <w:tr w:rsidR="0007017D" w14:paraId="5BBB8D16" w14:textId="77777777">
        <w:trPr>
          <w:jc w:val="center"/>
        </w:trPr>
        <w:tc>
          <w:tcPr>
            <w:tcW w:w="2448" w:type="dxa"/>
            <w:shd w:val="clear" w:color="auto" w:fill="1F3864"/>
          </w:tcPr>
          <w:p w14:paraId="525C0D62" w14:textId="77777777" w:rsidR="0007017D" w:rsidRDefault="005C263B">
            <w:r>
              <w:rPr>
                <w:b/>
                <w:color w:val="FFFFFF"/>
                <w:sz w:val="20"/>
              </w:rPr>
              <w:t>Element</w:t>
            </w:r>
          </w:p>
        </w:tc>
        <w:tc>
          <w:tcPr>
            <w:tcW w:w="6912" w:type="dxa"/>
            <w:shd w:val="clear" w:color="auto" w:fill="1F3864"/>
          </w:tcPr>
          <w:p w14:paraId="307A37CD" w14:textId="77777777" w:rsidR="0007017D" w:rsidRDefault="005C263B">
            <w:r>
              <w:rPr>
                <w:b/>
                <w:color w:val="FFFFFF"/>
                <w:sz w:val="20"/>
              </w:rPr>
              <w:t>Description</w:t>
            </w:r>
          </w:p>
        </w:tc>
      </w:tr>
      <w:tr w:rsidR="0007017D" w14:paraId="56488D8E" w14:textId="77777777">
        <w:trPr>
          <w:jc w:val="center"/>
        </w:trPr>
        <w:tc>
          <w:tcPr>
            <w:tcW w:w="2448" w:type="dxa"/>
          </w:tcPr>
          <w:p w14:paraId="4520681F" w14:textId="77777777" w:rsidR="0007017D" w:rsidRDefault="005C263B">
            <w:r>
              <w:rPr>
                <w:b/>
                <w:sz w:val="20"/>
              </w:rPr>
              <w:t>Regime header</w:t>
            </w:r>
          </w:p>
        </w:tc>
        <w:tc>
          <w:tcPr>
            <w:tcW w:w="6912" w:type="dxa"/>
          </w:tcPr>
          <w:p w14:paraId="07475305" w14:textId="77777777" w:rsidR="0007017D" w:rsidRDefault="005C263B">
            <w:r>
              <w:rPr>
                <w:sz w:val="20"/>
              </w:rPr>
              <w:t>The current regime label and its exposure scalar — the portfolio-wide position-sizing multiplier the Risk Engine applies while that regime is active (for example, a high_vol regime scales new-position sizing down).</w:t>
            </w:r>
          </w:p>
        </w:tc>
      </w:tr>
      <w:tr w:rsidR="0007017D" w14:paraId="3D469498" w14:textId="77777777">
        <w:trPr>
          <w:jc w:val="center"/>
        </w:trPr>
        <w:tc>
          <w:tcPr>
            <w:tcW w:w="2448" w:type="dxa"/>
            <w:shd w:val="clear" w:color="auto" w:fill="EDEFF4"/>
          </w:tcPr>
          <w:p w14:paraId="386B56E7" w14:textId="77777777" w:rsidR="0007017D" w:rsidRDefault="005C263B">
            <w:r>
              <w:rPr>
                <w:b/>
                <w:sz w:val="20"/>
              </w:rPr>
              <w:t>Probability bars</w:t>
            </w:r>
          </w:p>
        </w:tc>
        <w:tc>
          <w:tcPr>
            <w:tcW w:w="6912" w:type="dxa"/>
            <w:shd w:val="clear" w:color="auto" w:fill="EDEFF4"/>
          </w:tcPr>
          <w:p w14:paraId="08F1BF5A" w14:textId="77777777" w:rsidR="0007017D" w:rsidRDefault="005C263B">
            <w:r>
              <w:rPr>
                <w:sz w:val="20"/>
              </w:rPr>
              <w:t>One bar per possible regime — bear, bull, high_vol, low_vol, recession, recovery, sideways — each showing the model's current confidence (0–100%) that the market is in that state.</w:t>
            </w:r>
          </w:p>
        </w:tc>
      </w:tr>
      <w:tr w:rsidR="0007017D" w14:paraId="47766F50" w14:textId="77777777">
        <w:trPr>
          <w:jc w:val="center"/>
        </w:trPr>
        <w:tc>
          <w:tcPr>
            <w:tcW w:w="2448" w:type="dxa"/>
          </w:tcPr>
          <w:p w14:paraId="57BF6E33" w14:textId="77777777" w:rsidR="0007017D" w:rsidRDefault="005C263B">
            <w:r>
              <w:rPr>
                <w:b/>
                <w:sz w:val="20"/>
              </w:rPr>
              <w:t>Feature drivers table</w:t>
            </w:r>
          </w:p>
        </w:tc>
        <w:tc>
          <w:tcPr>
            <w:tcW w:w="6912" w:type="dxa"/>
          </w:tcPr>
          <w:p w14:paraId="65F37257" w14:textId="77777777" w:rsidR="0007017D" w:rsidRDefault="005C263B">
            <w:r>
              <w:rPr>
                <w:sz w:val="20"/>
              </w:rPr>
              <w:t>The live values feeding the regime model: the macro series it tracks (DGS3MO, DGS10, T10Y3M, VIXCLS, BAA10Y — FRED series for short/long yields, the yield-curve spread, the VIX, and the Baa–10Y credit spread) plus the benchmark symbol's current price.</w:t>
            </w:r>
          </w:p>
        </w:tc>
      </w:tr>
      <w:tr w:rsidR="0007017D" w14:paraId="27B16A7B" w14:textId="77777777">
        <w:trPr>
          <w:jc w:val="center"/>
        </w:trPr>
        <w:tc>
          <w:tcPr>
            <w:tcW w:w="2448" w:type="dxa"/>
            <w:shd w:val="clear" w:color="auto" w:fill="EDEFF4"/>
          </w:tcPr>
          <w:p w14:paraId="259925A2" w14:textId="77777777" w:rsidR="0007017D" w:rsidRDefault="005C263B">
            <w:r>
              <w:rPr>
                <w:b/>
                <w:sz w:val="20"/>
              </w:rPr>
              <w:t>Transition history</w:t>
            </w:r>
          </w:p>
        </w:tc>
        <w:tc>
          <w:tcPr>
            <w:tcW w:w="6912" w:type="dxa"/>
            <w:shd w:val="clear" w:color="auto" w:fill="EDEFF4"/>
          </w:tcPr>
          <w:p w14:paraId="7F457BF5" w14:textId="77777777" w:rsidR="0007017D" w:rsidRDefault="005C263B">
            <w:r>
              <w:rPr>
                <w:sz w:val="20"/>
              </w:rPr>
              <w:t xml:space="preserve">A newest-first, timestamped log of every actual regime change — an entry is </w:t>
            </w:r>
            <w:r>
              <w:rPr>
                <w:sz w:val="20"/>
              </w:rPr>
              <w:lastRenderedPageBreak/>
              <w:t>added only when the detected label changes, not on every tick.</w:t>
            </w:r>
          </w:p>
        </w:tc>
      </w:tr>
    </w:tbl>
    <w:p w14:paraId="5C4EA98E" w14:textId="77777777" w:rsidR="0007017D" w:rsidRDefault="0007017D"/>
    <w:p w14:paraId="50CB8141" w14:textId="77777777" w:rsidR="0007017D" w:rsidRDefault="005C263B">
      <w:r>
        <w:br w:type="page"/>
      </w:r>
    </w:p>
    <w:p w14:paraId="2A2A7E32" w14:textId="77777777" w:rsidR="0007017D" w:rsidRDefault="005C263B">
      <w:pPr>
        <w:pStyle w:val="Heading1"/>
      </w:pPr>
      <w:bookmarkStart w:id="15" w:name="_Toc235861751"/>
      <w:r>
        <w:lastRenderedPageBreak/>
        <w:t>6. The Risk Console</w:t>
      </w:r>
      <w:bookmarkEnd w:id="15"/>
    </w:p>
    <w:p w14:paraId="3B380700" w14:textId="77777777" w:rsidR="0007017D" w:rsidRDefault="005C263B">
      <w:r>
        <w:t>The Risk Console is the control room for portfolio risk. It surfaces the same risk figures the Risk Engine uses to size and gate every order, shows how correlated the watchlist currently is, and hosts the kill-switch — the single control that overrides every strategy and the AI layer and halts new order flow immediately.</w:t>
      </w:r>
    </w:p>
    <w:p w14:paraId="6F7165BC" w14:textId="77777777" w:rsidR="0007017D" w:rsidRDefault="005C263B">
      <w:pPr>
        <w:jc w:val="center"/>
      </w:pPr>
      <w:r>
        <w:rPr>
          <w:noProof/>
        </w:rPr>
        <w:drawing>
          <wp:inline distT="0" distB="0" distL="0" distR="0" wp14:anchorId="42D55615" wp14:editId="0D54347B">
            <wp:extent cx="5760720" cy="36499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console.png"/>
                    <pic:cNvPicPr/>
                  </pic:nvPicPr>
                  <pic:blipFill>
                    <a:blip r:embed="rId12"/>
                    <a:stretch>
                      <a:fillRect/>
                    </a:stretch>
                  </pic:blipFill>
                  <pic:spPr>
                    <a:xfrm>
                      <a:off x="0" y="0"/>
                      <a:ext cx="5760720" cy="3649992"/>
                    </a:xfrm>
                    <a:prstGeom prst="rect">
                      <a:avLst/>
                    </a:prstGeom>
                  </pic:spPr>
                </pic:pic>
              </a:graphicData>
            </a:graphic>
          </wp:inline>
        </w:drawing>
      </w:r>
    </w:p>
    <w:p w14:paraId="6C58DC39" w14:textId="77777777" w:rsidR="0007017D" w:rsidRDefault="005C263B">
      <w:pPr>
        <w:jc w:val="center"/>
      </w:pPr>
      <w:r>
        <w:rPr>
          <w:i/>
          <w:color w:val="595959"/>
          <w:sz w:val="18"/>
        </w:rPr>
        <w:t>Figure 6.1 — The Risk Console: an inactive (green) kill-switch, live VaR/ES/concentration tiles, and a colour-coded correlation table across the four-symbol watchlist.</w:t>
      </w:r>
    </w:p>
    <w:p w14:paraId="28056B86" w14:textId="77777777" w:rsidR="0007017D" w:rsidRDefault="0007017D"/>
    <w:p w14:paraId="72FAAE0C" w14:textId="77777777" w:rsidR="0007017D" w:rsidRDefault="005C263B">
      <w:pPr>
        <w:pStyle w:val="Heading2"/>
      </w:pPr>
      <w:bookmarkStart w:id="16" w:name="_Toc235861752"/>
      <w:r>
        <w:t>6.1 Screen Elements</w:t>
      </w:r>
      <w:bookmarkEnd w:id="16"/>
    </w:p>
    <w:tbl>
      <w:tblPr>
        <w:tblStyle w:val="TableGrid"/>
        <w:tblW w:w="0" w:type="auto"/>
        <w:jc w:val="center"/>
        <w:tblLayout w:type="fixed"/>
        <w:tblLook w:val="04A0" w:firstRow="1" w:lastRow="0" w:firstColumn="1" w:lastColumn="0" w:noHBand="0" w:noVBand="1"/>
      </w:tblPr>
      <w:tblGrid>
        <w:gridCol w:w="2448"/>
        <w:gridCol w:w="6912"/>
      </w:tblGrid>
      <w:tr w:rsidR="0007017D" w14:paraId="3D1451C7" w14:textId="77777777">
        <w:trPr>
          <w:jc w:val="center"/>
        </w:trPr>
        <w:tc>
          <w:tcPr>
            <w:tcW w:w="2448" w:type="dxa"/>
            <w:shd w:val="clear" w:color="auto" w:fill="1F3864"/>
          </w:tcPr>
          <w:p w14:paraId="15F3EF4F" w14:textId="77777777" w:rsidR="0007017D" w:rsidRDefault="005C263B">
            <w:r>
              <w:rPr>
                <w:b/>
                <w:color w:val="FFFFFF"/>
                <w:sz w:val="20"/>
              </w:rPr>
              <w:t>Element</w:t>
            </w:r>
          </w:p>
        </w:tc>
        <w:tc>
          <w:tcPr>
            <w:tcW w:w="6912" w:type="dxa"/>
            <w:shd w:val="clear" w:color="auto" w:fill="1F3864"/>
          </w:tcPr>
          <w:p w14:paraId="4A30615F" w14:textId="77777777" w:rsidR="0007017D" w:rsidRDefault="005C263B">
            <w:r>
              <w:rPr>
                <w:b/>
                <w:color w:val="FFFFFF"/>
                <w:sz w:val="20"/>
              </w:rPr>
              <w:t>Description</w:t>
            </w:r>
          </w:p>
        </w:tc>
      </w:tr>
      <w:tr w:rsidR="0007017D" w14:paraId="0E9C981A" w14:textId="77777777">
        <w:trPr>
          <w:jc w:val="center"/>
        </w:trPr>
        <w:tc>
          <w:tcPr>
            <w:tcW w:w="2448" w:type="dxa"/>
          </w:tcPr>
          <w:p w14:paraId="4F921815" w14:textId="77777777" w:rsidR="0007017D" w:rsidRDefault="005C263B">
            <w:r>
              <w:rPr>
                <w:b/>
                <w:sz w:val="20"/>
              </w:rPr>
              <w:t>Kill-switch button</w:t>
            </w:r>
          </w:p>
        </w:tc>
        <w:tc>
          <w:tcPr>
            <w:tcW w:w="6912" w:type="dxa"/>
          </w:tcPr>
          <w:p w14:paraId="32B2C0D6" w14:textId="77777777" w:rsidR="0007017D" w:rsidRDefault="005C263B">
            <w:r>
              <w:rPr>
                <w:sz w:val="20"/>
              </w:rPr>
              <w:t>Always visible at the top of the screen. Green, reading “KILL-SWITCH: inactive — click to halt trading,” when inactive; one click trips it. Red, reading “KILL-SWITCH TRIPPED (&lt;reason&gt;) — click to reset,” when tripped; one click resets it. In addition to this manual control, the same kill-switch trips automatically on a daily-loss breach, a drawdown-from-high-water-mark breach, stale market data, a broker-reconciliation mismatch, or an exhausted broker-reconnect budget. While tripped, no new order can reach pending sign-off.</w:t>
            </w:r>
          </w:p>
        </w:tc>
      </w:tr>
      <w:tr w:rsidR="0007017D" w14:paraId="139688CB" w14:textId="77777777">
        <w:trPr>
          <w:jc w:val="center"/>
        </w:trPr>
        <w:tc>
          <w:tcPr>
            <w:tcW w:w="2448" w:type="dxa"/>
            <w:shd w:val="clear" w:color="auto" w:fill="EDEFF4"/>
          </w:tcPr>
          <w:p w14:paraId="2883E66D" w14:textId="77777777" w:rsidR="0007017D" w:rsidRDefault="005C263B">
            <w:r>
              <w:rPr>
                <w:b/>
                <w:sz w:val="20"/>
              </w:rPr>
              <w:t>Portfolio VaR (95%) / (99%) tiles</w:t>
            </w:r>
          </w:p>
        </w:tc>
        <w:tc>
          <w:tcPr>
            <w:tcW w:w="6912" w:type="dxa"/>
            <w:shd w:val="clear" w:color="auto" w:fill="EDEFF4"/>
          </w:tcPr>
          <w:p w14:paraId="672BBA4A" w14:textId="77777777" w:rsidR="0007017D" w:rsidRDefault="005C263B">
            <w:r>
              <w:rPr>
                <w:sz w:val="20"/>
              </w:rPr>
              <w:t>The portfolio's historical Value-at-Risk at each confidence level, from the Risk Engine's most recent evaluation.</w:t>
            </w:r>
          </w:p>
        </w:tc>
      </w:tr>
      <w:tr w:rsidR="0007017D" w14:paraId="43DEB1A3" w14:textId="77777777">
        <w:trPr>
          <w:jc w:val="center"/>
        </w:trPr>
        <w:tc>
          <w:tcPr>
            <w:tcW w:w="2448" w:type="dxa"/>
          </w:tcPr>
          <w:p w14:paraId="110A9A68" w14:textId="77777777" w:rsidR="0007017D" w:rsidRDefault="005C263B">
            <w:r>
              <w:rPr>
                <w:b/>
                <w:sz w:val="20"/>
              </w:rPr>
              <w:t>Expected Shortfall (97.5%) tile</w:t>
            </w:r>
          </w:p>
        </w:tc>
        <w:tc>
          <w:tcPr>
            <w:tcW w:w="6912" w:type="dxa"/>
          </w:tcPr>
          <w:p w14:paraId="5ED24645" w14:textId="77777777" w:rsidR="0007017D" w:rsidRDefault="005C263B">
            <w:r>
              <w:rPr>
                <w:sz w:val="20"/>
              </w:rPr>
              <w:t>The average loss in the worst-case tail beyond the 97.5% VaR threshold, shown against the configured ES limit; green while within limit, red if breached.</w:t>
            </w:r>
          </w:p>
        </w:tc>
      </w:tr>
      <w:tr w:rsidR="0007017D" w14:paraId="2769E8D3" w14:textId="77777777">
        <w:trPr>
          <w:jc w:val="center"/>
        </w:trPr>
        <w:tc>
          <w:tcPr>
            <w:tcW w:w="2448" w:type="dxa"/>
            <w:shd w:val="clear" w:color="auto" w:fill="EDEFF4"/>
          </w:tcPr>
          <w:p w14:paraId="51519B9F" w14:textId="77777777" w:rsidR="0007017D" w:rsidRDefault="005C263B">
            <w:r>
              <w:rPr>
                <w:b/>
                <w:sz w:val="20"/>
              </w:rPr>
              <w:t>Single-name concentration tile</w:t>
            </w:r>
          </w:p>
        </w:tc>
        <w:tc>
          <w:tcPr>
            <w:tcW w:w="6912" w:type="dxa"/>
            <w:shd w:val="clear" w:color="auto" w:fill="EDEFF4"/>
          </w:tcPr>
          <w:p w14:paraId="42CC01B2" w14:textId="77777777" w:rsidR="0007017D" w:rsidRDefault="005C263B">
            <w:r>
              <w:rPr>
                <w:sz w:val="20"/>
              </w:rPr>
              <w:t>The largest single position's share of total portfolio equity.</w:t>
            </w:r>
          </w:p>
        </w:tc>
      </w:tr>
      <w:tr w:rsidR="0007017D" w14:paraId="4E78B384" w14:textId="77777777">
        <w:trPr>
          <w:jc w:val="center"/>
        </w:trPr>
        <w:tc>
          <w:tcPr>
            <w:tcW w:w="2448" w:type="dxa"/>
          </w:tcPr>
          <w:p w14:paraId="2515B45B" w14:textId="77777777" w:rsidR="0007017D" w:rsidRDefault="005C263B">
            <w:r>
              <w:rPr>
                <w:b/>
                <w:sz w:val="20"/>
              </w:rPr>
              <w:lastRenderedPageBreak/>
              <w:t>Correlation table</w:t>
            </w:r>
          </w:p>
        </w:tc>
        <w:tc>
          <w:tcPr>
            <w:tcW w:w="6912" w:type="dxa"/>
          </w:tcPr>
          <w:p w14:paraId="4CB4C865" w14:textId="77777777" w:rsidR="0007017D" w:rsidRDefault="005C263B">
            <w:r>
              <w:rPr>
                <w:sz w:val="20"/>
              </w:rPr>
              <w:t>Pairwise trailing-return correlation across every symbol in the watchlist, over a rolling 60-tick window. Colour intensity scales with the correlation's magnitude — red shading for positive correlation, blue shading for negative; the diagonal is always 1.00 (a symbol's correlation with itself).</w:t>
            </w:r>
          </w:p>
        </w:tc>
      </w:tr>
    </w:tbl>
    <w:p w14:paraId="078BAD37" w14:textId="77777777" w:rsidR="0007017D" w:rsidRDefault="0007017D"/>
    <w:p w14:paraId="1480DDCA" w14:textId="77777777" w:rsidR="0007017D" w:rsidRDefault="005C263B">
      <w:r>
        <w:br w:type="page"/>
      </w:r>
    </w:p>
    <w:p w14:paraId="2EC95AD0" w14:textId="77777777" w:rsidR="0007017D" w:rsidRDefault="005C263B">
      <w:pPr>
        <w:pStyle w:val="Heading1"/>
      </w:pPr>
      <w:bookmarkStart w:id="17" w:name="_Toc235861753"/>
      <w:r>
        <w:lastRenderedPageBreak/>
        <w:t>7. The AI Advisor</w:t>
      </w:r>
      <w:bookmarkEnd w:id="17"/>
    </w:p>
    <w:p w14:paraId="7DAD9B86" w14:textId="77777777" w:rsidR="0007017D" w:rsidRDefault="005C263B">
      <w:r>
        <w:t>The AI Advisor is a free-text research interface into the same AI advisory service that generates the regime notes and backtest commentary elsewhere in the application. It is an analyst, never a trader: this screen has no reference to the Order Management System or to a broker at all, so there is no code path from a question typed here to an order placed anywhere.</w:t>
      </w:r>
    </w:p>
    <w:p w14:paraId="08346C34" w14:textId="77777777" w:rsidR="0007017D" w:rsidRDefault="005C263B">
      <w:pPr>
        <w:jc w:val="center"/>
      </w:pPr>
      <w:r>
        <w:rPr>
          <w:noProof/>
        </w:rPr>
        <w:drawing>
          <wp:inline distT="0" distB="0" distL="0" distR="0" wp14:anchorId="726E05C8" wp14:editId="01E0C538">
            <wp:extent cx="5760720" cy="36499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_advisor.png"/>
                    <pic:cNvPicPr/>
                  </pic:nvPicPr>
                  <pic:blipFill>
                    <a:blip r:embed="rId13"/>
                    <a:stretch>
                      <a:fillRect/>
                    </a:stretch>
                  </pic:blipFill>
                  <pic:spPr>
                    <a:xfrm>
                      <a:off x="0" y="0"/>
                      <a:ext cx="5760720" cy="3649992"/>
                    </a:xfrm>
                    <a:prstGeom prst="rect">
                      <a:avLst/>
                    </a:prstGeom>
                  </pic:spPr>
                </pic:pic>
              </a:graphicData>
            </a:graphic>
          </wp:inline>
        </w:drawing>
      </w:r>
    </w:p>
    <w:p w14:paraId="5E27B891" w14:textId="77777777" w:rsidR="0007017D" w:rsidRDefault="005C263B">
      <w:pPr>
        <w:jc w:val="center"/>
      </w:pPr>
      <w:r>
        <w:rPr>
          <w:i/>
          <w:color w:val="595959"/>
          <w:sz w:val="18"/>
        </w:rPr>
        <w:t>Figure 7.1 — The AI Advisor screen after a research question, showing the conversation pane with the advisor's recommendation, confidence, and risk flags.</w:t>
      </w:r>
    </w:p>
    <w:p w14:paraId="34E07CED" w14:textId="77777777" w:rsidR="0007017D" w:rsidRDefault="0007017D"/>
    <w:p w14:paraId="2325594E" w14:textId="77777777" w:rsidR="0007017D" w:rsidRDefault="005C263B">
      <w:pPr>
        <w:pStyle w:val="Heading2"/>
      </w:pPr>
      <w:bookmarkStart w:id="18" w:name="_Toc235861754"/>
      <w:r>
        <w:t>7.1 Screen Elements</w:t>
      </w:r>
      <w:bookmarkEnd w:id="18"/>
    </w:p>
    <w:tbl>
      <w:tblPr>
        <w:tblStyle w:val="TableGrid"/>
        <w:tblW w:w="0" w:type="auto"/>
        <w:jc w:val="center"/>
        <w:tblLayout w:type="fixed"/>
        <w:tblLook w:val="04A0" w:firstRow="1" w:lastRow="0" w:firstColumn="1" w:lastColumn="0" w:noHBand="0" w:noVBand="1"/>
      </w:tblPr>
      <w:tblGrid>
        <w:gridCol w:w="2448"/>
        <w:gridCol w:w="6912"/>
      </w:tblGrid>
      <w:tr w:rsidR="0007017D" w14:paraId="754E4058" w14:textId="77777777">
        <w:trPr>
          <w:jc w:val="center"/>
        </w:trPr>
        <w:tc>
          <w:tcPr>
            <w:tcW w:w="2448" w:type="dxa"/>
            <w:shd w:val="clear" w:color="auto" w:fill="1F3864"/>
          </w:tcPr>
          <w:p w14:paraId="6ADFCA91" w14:textId="77777777" w:rsidR="0007017D" w:rsidRDefault="005C263B">
            <w:r>
              <w:rPr>
                <w:b/>
                <w:color w:val="FFFFFF"/>
                <w:sz w:val="20"/>
              </w:rPr>
              <w:t>Element</w:t>
            </w:r>
          </w:p>
        </w:tc>
        <w:tc>
          <w:tcPr>
            <w:tcW w:w="6912" w:type="dxa"/>
            <w:shd w:val="clear" w:color="auto" w:fill="1F3864"/>
          </w:tcPr>
          <w:p w14:paraId="266B1696" w14:textId="77777777" w:rsidR="0007017D" w:rsidRDefault="005C263B">
            <w:r>
              <w:rPr>
                <w:b/>
                <w:color w:val="FFFFFF"/>
                <w:sz w:val="20"/>
              </w:rPr>
              <w:t>Description</w:t>
            </w:r>
          </w:p>
        </w:tc>
      </w:tr>
      <w:tr w:rsidR="0007017D" w14:paraId="1190CE57" w14:textId="77777777">
        <w:trPr>
          <w:jc w:val="center"/>
        </w:trPr>
        <w:tc>
          <w:tcPr>
            <w:tcW w:w="2448" w:type="dxa"/>
          </w:tcPr>
          <w:p w14:paraId="56077797" w14:textId="77777777" w:rsidR="0007017D" w:rsidRDefault="005C263B">
            <w:r>
              <w:rPr>
                <w:b/>
                <w:sz w:val="20"/>
              </w:rPr>
              <w:t>Symbol dropdown</w:t>
            </w:r>
          </w:p>
        </w:tc>
        <w:tc>
          <w:tcPr>
            <w:tcW w:w="6912" w:type="dxa"/>
          </w:tcPr>
          <w:p w14:paraId="7783AD00" w14:textId="77777777" w:rsidR="0007017D" w:rsidRDefault="005C263B">
            <w:r>
              <w:rPr>
                <w:sz w:val="20"/>
              </w:rPr>
              <w:t>The symbol context to include with the next question (current positions, risk metrics, and regime state are all captured relative to this symbol).</w:t>
            </w:r>
          </w:p>
        </w:tc>
      </w:tr>
      <w:tr w:rsidR="0007017D" w14:paraId="4BE18025" w14:textId="77777777">
        <w:trPr>
          <w:jc w:val="center"/>
        </w:trPr>
        <w:tc>
          <w:tcPr>
            <w:tcW w:w="2448" w:type="dxa"/>
            <w:shd w:val="clear" w:color="auto" w:fill="EDEFF4"/>
          </w:tcPr>
          <w:p w14:paraId="7B48A476" w14:textId="77777777" w:rsidR="0007017D" w:rsidRDefault="005C263B">
            <w:r>
              <w:rPr>
                <w:b/>
                <w:sz w:val="20"/>
              </w:rPr>
              <w:t>Question input</w:t>
            </w:r>
          </w:p>
        </w:tc>
        <w:tc>
          <w:tcPr>
            <w:tcW w:w="6912" w:type="dxa"/>
            <w:shd w:val="clear" w:color="auto" w:fill="EDEFF4"/>
          </w:tcPr>
          <w:p w14:paraId="2CDA404C" w14:textId="77777777" w:rsidR="0007017D" w:rsidRDefault="005C263B">
            <w:r>
              <w:rPr>
                <w:sz w:val="20"/>
              </w:rPr>
              <w:t>A free-text field for a research question; press Enter or click Ask to submit.</w:t>
            </w:r>
          </w:p>
        </w:tc>
      </w:tr>
      <w:tr w:rsidR="0007017D" w14:paraId="3C1ACE25" w14:textId="77777777">
        <w:trPr>
          <w:jc w:val="center"/>
        </w:trPr>
        <w:tc>
          <w:tcPr>
            <w:tcW w:w="2448" w:type="dxa"/>
          </w:tcPr>
          <w:p w14:paraId="24FDF1CC" w14:textId="77777777" w:rsidR="0007017D" w:rsidRDefault="005C263B">
            <w:r>
              <w:rPr>
                <w:b/>
                <w:sz w:val="20"/>
              </w:rPr>
              <w:t>Ask button</w:t>
            </w:r>
          </w:p>
        </w:tc>
        <w:tc>
          <w:tcPr>
            <w:tcW w:w="6912" w:type="dxa"/>
          </w:tcPr>
          <w:p w14:paraId="3D31D73B" w14:textId="77777777" w:rsidR="0007017D" w:rsidRDefault="005C263B">
            <w:r>
              <w:rPr>
                <w:sz w:val="20"/>
              </w:rPr>
              <w:t>Sends the question, together with the current regime, positions, and risk-metric context, to the advisory service.</w:t>
            </w:r>
          </w:p>
        </w:tc>
      </w:tr>
      <w:tr w:rsidR="0007017D" w14:paraId="6A6FBE2F" w14:textId="77777777">
        <w:trPr>
          <w:jc w:val="center"/>
        </w:trPr>
        <w:tc>
          <w:tcPr>
            <w:tcW w:w="2448" w:type="dxa"/>
            <w:shd w:val="clear" w:color="auto" w:fill="EDEFF4"/>
          </w:tcPr>
          <w:p w14:paraId="6B6347DE" w14:textId="77777777" w:rsidR="0007017D" w:rsidRDefault="005C263B">
            <w:r>
              <w:rPr>
                <w:b/>
                <w:sz w:val="20"/>
              </w:rPr>
              <w:t>Conversation pane</w:t>
            </w:r>
          </w:p>
        </w:tc>
        <w:tc>
          <w:tcPr>
            <w:tcW w:w="6912" w:type="dxa"/>
            <w:shd w:val="clear" w:color="auto" w:fill="EDEFF4"/>
          </w:tcPr>
          <w:p w14:paraId="5AC8F51A" w14:textId="77777777" w:rsidR="0007017D" w:rsidRDefault="005C263B">
            <w:r>
              <w:rPr>
                <w:sz w:val="20"/>
              </w:rPr>
              <w:t>A running, read-only transcript. Each answer is tagged with the advisor's recommendation (buy / sell / hold), a confidence percentage, and any risk flags it raised.</w:t>
            </w:r>
          </w:p>
        </w:tc>
      </w:tr>
    </w:tbl>
    <w:p w14:paraId="5BE005D0" w14:textId="77777777" w:rsidR="0007017D" w:rsidRDefault="0007017D"/>
    <w:tbl>
      <w:tblPr>
        <w:tblStyle w:val="TableGrid"/>
        <w:tblW w:w="0" w:type="auto"/>
        <w:jc w:val="center"/>
        <w:tblLook w:val="04A0" w:firstRow="1" w:lastRow="0" w:firstColumn="1" w:lastColumn="0" w:noHBand="0" w:noVBand="1"/>
      </w:tblPr>
      <w:tblGrid>
        <w:gridCol w:w="9360"/>
      </w:tblGrid>
      <w:tr w:rsidR="0007017D" w14:paraId="47F61AF7" w14:textId="77777777">
        <w:trPr>
          <w:jc w:val="center"/>
        </w:trPr>
        <w:tc>
          <w:tcPr>
            <w:tcW w:w="9360" w:type="dxa"/>
            <w:shd w:val="clear" w:color="auto" w:fill="EDEFF4"/>
          </w:tcPr>
          <w:p w14:paraId="3C4BD641" w14:textId="77777777" w:rsidR="0007017D" w:rsidRDefault="005C263B">
            <w:r>
              <w:rPr>
                <w:b/>
                <w:color w:val="2E5395"/>
                <w:sz w:val="20"/>
              </w:rPr>
              <w:t>How your question is handled</w:t>
            </w:r>
          </w:p>
          <w:p w14:paraId="44673F59" w14:textId="77777777" w:rsidR="0007017D" w:rsidRDefault="005C263B">
            <w:r>
              <w:rPr>
                <w:sz w:val="20"/>
              </w:rPr>
              <w:t xml:space="preserve">The text you type is passed to the model as clearly-labelled, untrusted “fetched” context — the same channel </w:t>
            </w:r>
            <w:r>
              <w:rPr>
                <w:sz w:val="20"/>
              </w:rPr>
              <w:lastRenderedPageBreak/>
              <w:t>used for any other external text the system might quote — never as part of the instruction-bearing system prompt. This is a structural defence against prompt injection: nothing typed here, or found in any fetched data elsewhere in the application, can make the model act outside its fixed role as an analyst.</w:t>
            </w:r>
          </w:p>
        </w:tc>
      </w:tr>
    </w:tbl>
    <w:p w14:paraId="47754335" w14:textId="77777777" w:rsidR="0007017D" w:rsidRDefault="0007017D"/>
    <w:tbl>
      <w:tblPr>
        <w:tblStyle w:val="TableGrid"/>
        <w:tblW w:w="0" w:type="auto"/>
        <w:jc w:val="center"/>
        <w:tblLook w:val="04A0" w:firstRow="1" w:lastRow="0" w:firstColumn="1" w:lastColumn="0" w:noHBand="0" w:noVBand="1"/>
      </w:tblPr>
      <w:tblGrid>
        <w:gridCol w:w="9360"/>
      </w:tblGrid>
      <w:tr w:rsidR="0007017D" w14:paraId="2EC827FF" w14:textId="77777777">
        <w:trPr>
          <w:jc w:val="center"/>
        </w:trPr>
        <w:tc>
          <w:tcPr>
            <w:tcW w:w="9360" w:type="dxa"/>
            <w:shd w:val="clear" w:color="auto" w:fill="EDEFF4"/>
          </w:tcPr>
          <w:p w14:paraId="78A01B0C" w14:textId="77777777" w:rsidR="0007017D" w:rsidRDefault="005C263B">
            <w:r>
              <w:rPr>
                <w:b/>
                <w:color w:val="595959"/>
                <w:sz w:val="20"/>
              </w:rPr>
              <w:t>About demo mode</w:t>
            </w:r>
          </w:p>
          <w:p w14:paraId="313A908C" w14:textId="77777777" w:rsidR="0007017D" w:rsidRDefault="005C263B">
            <w:r>
              <w:rPr>
                <w:sz w:val="20"/>
              </w:rPr>
              <w:t>Without a configured Anthropic API key or a running local Ollama server, the advisory service falls back to a canned demo response (always “hold,” confidence 0%, risk flag demo_mode_no_real_llm), so the application is fully usable out of the box. Configure a real key or a local server (see the project README) for genuine analysis.</w:t>
            </w:r>
          </w:p>
        </w:tc>
      </w:tr>
    </w:tbl>
    <w:p w14:paraId="4FB33302" w14:textId="77777777" w:rsidR="0007017D" w:rsidRDefault="0007017D"/>
    <w:p w14:paraId="28B8B79C" w14:textId="77777777" w:rsidR="0007017D" w:rsidRDefault="005C263B">
      <w:r>
        <w:br w:type="page"/>
      </w:r>
    </w:p>
    <w:p w14:paraId="51689404" w14:textId="77777777" w:rsidR="0007017D" w:rsidRDefault="005C263B">
      <w:pPr>
        <w:pStyle w:val="Heading1"/>
      </w:pPr>
      <w:bookmarkStart w:id="19" w:name="_Toc235861755"/>
      <w:r>
        <w:lastRenderedPageBreak/>
        <w:t>8. The Order Blotter</w:t>
      </w:r>
      <w:bookmarkEnd w:id="19"/>
    </w:p>
    <w:p w14:paraId="34034E12" w14:textId="77777777" w:rsidR="0007017D" w:rsidRDefault="005C263B">
      <w:r>
        <w:t>The Order Blotter is the single place every order in the system — pending, transmitted, filled, cancelled, or rejected — can be reviewed, and the one screen that can actually send an order to the broker. It repeats the paper/live mode banner directly above the order table, since that is the moment the distinction matters most.</w:t>
      </w:r>
    </w:p>
    <w:p w14:paraId="7DD6E299" w14:textId="77777777" w:rsidR="0007017D" w:rsidRDefault="005C263B">
      <w:pPr>
        <w:jc w:val="center"/>
      </w:pPr>
      <w:r>
        <w:rPr>
          <w:noProof/>
        </w:rPr>
        <w:drawing>
          <wp:inline distT="0" distB="0" distL="0" distR="0" wp14:anchorId="26FA96B0" wp14:editId="7673B142">
            <wp:extent cx="5760720" cy="36499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tter.png"/>
                    <pic:cNvPicPr/>
                  </pic:nvPicPr>
                  <pic:blipFill>
                    <a:blip r:embed="rId14"/>
                    <a:stretch>
                      <a:fillRect/>
                    </a:stretch>
                  </pic:blipFill>
                  <pic:spPr>
                    <a:xfrm>
                      <a:off x="0" y="0"/>
                      <a:ext cx="5760720" cy="3649992"/>
                    </a:xfrm>
                    <a:prstGeom prst="rect">
                      <a:avLst/>
                    </a:prstGeom>
                  </pic:spPr>
                </pic:pic>
              </a:graphicData>
            </a:graphic>
          </wp:inline>
        </w:drawing>
      </w:r>
    </w:p>
    <w:p w14:paraId="37C01486" w14:textId="77777777" w:rsidR="0007017D" w:rsidRDefault="005C263B">
      <w:pPr>
        <w:jc w:val="center"/>
      </w:pPr>
      <w:r>
        <w:rPr>
          <w:i/>
          <w:color w:val="595959"/>
          <w:sz w:val="18"/>
        </w:rPr>
        <w:t>Figure 8.1 — The Order Blotter showing one filled order. The Sign Off and Reject buttons are disabled here because no order is currently pending sign-off.</w:t>
      </w:r>
    </w:p>
    <w:p w14:paraId="5EE025C8" w14:textId="77777777" w:rsidR="0007017D" w:rsidRDefault="0007017D"/>
    <w:p w14:paraId="58163FF9" w14:textId="77777777" w:rsidR="0007017D" w:rsidRDefault="005C263B">
      <w:pPr>
        <w:pStyle w:val="Heading2"/>
      </w:pPr>
      <w:bookmarkStart w:id="20" w:name="_Toc235861756"/>
      <w:r>
        <w:t>8.1 Screen Elements</w:t>
      </w:r>
      <w:bookmarkEnd w:id="20"/>
    </w:p>
    <w:tbl>
      <w:tblPr>
        <w:tblStyle w:val="TableGrid"/>
        <w:tblW w:w="0" w:type="auto"/>
        <w:jc w:val="center"/>
        <w:tblLayout w:type="fixed"/>
        <w:tblLook w:val="04A0" w:firstRow="1" w:lastRow="0" w:firstColumn="1" w:lastColumn="0" w:noHBand="0" w:noVBand="1"/>
      </w:tblPr>
      <w:tblGrid>
        <w:gridCol w:w="2448"/>
        <w:gridCol w:w="6912"/>
      </w:tblGrid>
      <w:tr w:rsidR="0007017D" w14:paraId="6E020B8C" w14:textId="77777777">
        <w:trPr>
          <w:jc w:val="center"/>
        </w:trPr>
        <w:tc>
          <w:tcPr>
            <w:tcW w:w="2448" w:type="dxa"/>
            <w:shd w:val="clear" w:color="auto" w:fill="1F3864"/>
          </w:tcPr>
          <w:p w14:paraId="68A116E2" w14:textId="77777777" w:rsidR="0007017D" w:rsidRDefault="005C263B">
            <w:r>
              <w:rPr>
                <w:b/>
                <w:color w:val="FFFFFF"/>
                <w:sz w:val="20"/>
              </w:rPr>
              <w:t>Element</w:t>
            </w:r>
          </w:p>
        </w:tc>
        <w:tc>
          <w:tcPr>
            <w:tcW w:w="6912" w:type="dxa"/>
            <w:shd w:val="clear" w:color="auto" w:fill="1F3864"/>
          </w:tcPr>
          <w:p w14:paraId="06F7DDBB" w14:textId="77777777" w:rsidR="0007017D" w:rsidRDefault="005C263B">
            <w:r>
              <w:rPr>
                <w:b/>
                <w:color w:val="FFFFFF"/>
                <w:sz w:val="20"/>
              </w:rPr>
              <w:t>Description</w:t>
            </w:r>
          </w:p>
        </w:tc>
      </w:tr>
      <w:tr w:rsidR="0007017D" w14:paraId="09028864" w14:textId="77777777">
        <w:trPr>
          <w:jc w:val="center"/>
        </w:trPr>
        <w:tc>
          <w:tcPr>
            <w:tcW w:w="2448" w:type="dxa"/>
          </w:tcPr>
          <w:p w14:paraId="5F81F809" w14:textId="77777777" w:rsidR="0007017D" w:rsidRDefault="005C263B">
            <w:r>
              <w:rPr>
                <w:b/>
                <w:sz w:val="20"/>
              </w:rPr>
              <w:t>Mode banner</w:t>
            </w:r>
          </w:p>
        </w:tc>
        <w:tc>
          <w:tcPr>
            <w:tcW w:w="6912" w:type="dxa"/>
          </w:tcPr>
          <w:p w14:paraId="18156CFB" w14:textId="77777777" w:rsidR="0007017D" w:rsidRDefault="005C263B">
            <w:r>
              <w:rPr>
                <w:sz w:val="20"/>
              </w:rPr>
              <w:t>Repeats the main window's paper/live indicator directly above the order table.</w:t>
            </w:r>
          </w:p>
        </w:tc>
      </w:tr>
      <w:tr w:rsidR="0007017D" w14:paraId="206B2758" w14:textId="77777777">
        <w:trPr>
          <w:jc w:val="center"/>
        </w:trPr>
        <w:tc>
          <w:tcPr>
            <w:tcW w:w="2448" w:type="dxa"/>
            <w:shd w:val="clear" w:color="auto" w:fill="EDEFF4"/>
          </w:tcPr>
          <w:p w14:paraId="41372870" w14:textId="77777777" w:rsidR="0007017D" w:rsidRDefault="005C263B">
            <w:r>
              <w:rPr>
                <w:b/>
                <w:sz w:val="20"/>
              </w:rPr>
              <w:t>Orders table</w:t>
            </w:r>
          </w:p>
        </w:tc>
        <w:tc>
          <w:tcPr>
            <w:tcW w:w="6912" w:type="dxa"/>
            <w:shd w:val="clear" w:color="auto" w:fill="EDEFF4"/>
          </w:tcPr>
          <w:p w14:paraId="7C172ECB" w14:textId="77777777" w:rsidR="0007017D" w:rsidRDefault="005C263B">
            <w:r>
              <w:rPr>
                <w:sz w:val="20"/>
              </w:rPr>
              <w:t>Every order the system has ever created: Order ID, Symbol, Side, Quantity, Status, and Created At.</w:t>
            </w:r>
          </w:p>
        </w:tc>
      </w:tr>
      <w:tr w:rsidR="0007017D" w14:paraId="65D0B5D6" w14:textId="77777777">
        <w:trPr>
          <w:jc w:val="center"/>
        </w:trPr>
        <w:tc>
          <w:tcPr>
            <w:tcW w:w="2448" w:type="dxa"/>
          </w:tcPr>
          <w:p w14:paraId="49D12FB6" w14:textId="77777777" w:rsidR="0007017D" w:rsidRDefault="005C263B">
            <w:r>
              <w:rPr>
                <w:b/>
                <w:sz w:val="20"/>
              </w:rPr>
              <w:t>Sign Off Selected button</w:t>
            </w:r>
          </w:p>
        </w:tc>
        <w:tc>
          <w:tcPr>
            <w:tcW w:w="6912" w:type="dxa"/>
          </w:tcPr>
          <w:p w14:paraId="792043A9" w14:textId="77777777" w:rsidR="0007017D" w:rsidRDefault="005C263B">
            <w:r>
              <w:rPr>
                <w:sz w:val="20"/>
              </w:rPr>
              <w:t>Enabled only when a pending_signoff order is selected. Opens a confirmation dialog stating the symbol, side, and quantity; only an explicit “Yes” transmits the order to the broker.</w:t>
            </w:r>
          </w:p>
        </w:tc>
      </w:tr>
      <w:tr w:rsidR="0007017D" w14:paraId="7DA080E4" w14:textId="77777777">
        <w:trPr>
          <w:jc w:val="center"/>
        </w:trPr>
        <w:tc>
          <w:tcPr>
            <w:tcW w:w="2448" w:type="dxa"/>
            <w:shd w:val="clear" w:color="auto" w:fill="EDEFF4"/>
          </w:tcPr>
          <w:p w14:paraId="12DCADEF" w14:textId="77777777" w:rsidR="0007017D" w:rsidRDefault="005C263B">
            <w:r>
              <w:rPr>
                <w:b/>
                <w:sz w:val="20"/>
              </w:rPr>
              <w:t>Reject Selected button</w:t>
            </w:r>
          </w:p>
        </w:tc>
        <w:tc>
          <w:tcPr>
            <w:tcW w:w="6912" w:type="dxa"/>
            <w:shd w:val="clear" w:color="auto" w:fill="EDEFF4"/>
          </w:tcPr>
          <w:p w14:paraId="37095F79" w14:textId="77777777" w:rsidR="0007017D" w:rsidRDefault="005C263B">
            <w:r>
              <w:rPr>
                <w:sz w:val="20"/>
              </w:rPr>
              <w:t>Enabled under the same condition as Sign Off. Opens the same style of confirmation dialog; on confirmation, the order is marked rejected and never reaches the broker.</w:t>
            </w:r>
          </w:p>
        </w:tc>
      </w:tr>
    </w:tbl>
    <w:p w14:paraId="117DA62A" w14:textId="77777777" w:rsidR="0007017D" w:rsidRDefault="0007017D"/>
    <w:p w14:paraId="1C5C4C23" w14:textId="77777777" w:rsidR="0007017D" w:rsidRDefault="005C263B">
      <w:pPr>
        <w:pStyle w:val="Heading2"/>
      </w:pPr>
      <w:bookmarkStart w:id="21" w:name="_Toc235861757"/>
      <w:r>
        <w:lastRenderedPageBreak/>
        <w:t>8.2 Order Status Lifecycle</w:t>
      </w:r>
      <w:bookmarkEnd w:id="21"/>
    </w:p>
    <w:tbl>
      <w:tblPr>
        <w:tblStyle w:val="TableGrid"/>
        <w:tblW w:w="0" w:type="auto"/>
        <w:jc w:val="center"/>
        <w:tblLayout w:type="fixed"/>
        <w:tblLook w:val="04A0" w:firstRow="1" w:lastRow="0" w:firstColumn="1" w:lastColumn="0" w:noHBand="0" w:noVBand="1"/>
      </w:tblPr>
      <w:tblGrid>
        <w:gridCol w:w="2016"/>
        <w:gridCol w:w="7344"/>
      </w:tblGrid>
      <w:tr w:rsidR="0007017D" w14:paraId="747F19A6" w14:textId="77777777">
        <w:trPr>
          <w:jc w:val="center"/>
        </w:trPr>
        <w:tc>
          <w:tcPr>
            <w:tcW w:w="2016" w:type="dxa"/>
            <w:shd w:val="clear" w:color="auto" w:fill="1F3864"/>
          </w:tcPr>
          <w:p w14:paraId="1BE19B01" w14:textId="77777777" w:rsidR="0007017D" w:rsidRDefault="005C263B">
            <w:r>
              <w:rPr>
                <w:b/>
                <w:color w:val="FFFFFF"/>
                <w:sz w:val="20"/>
              </w:rPr>
              <w:t>Status</w:t>
            </w:r>
          </w:p>
        </w:tc>
        <w:tc>
          <w:tcPr>
            <w:tcW w:w="7344" w:type="dxa"/>
            <w:shd w:val="clear" w:color="auto" w:fill="1F3864"/>
          </w:tcPr>
          <w:p w14:paraId="3904495C" w14:textId="77777777" w:rsidR="0007017D" w:rsidRDefault="005C263B">
            <w:r>
              <w:rPr>
                <w:b/>
                <w:color w:val="FFFFFF"/>
                <w:sz w:val="20"/>
              </w:rPr>
              <w:t>Meaning</w:t>
            </w:r>
          </w:p>
        </w:tc>
      </w:tr>
      <w:tr w:rsidR="0007017D" w14:paraId="4438253D" w14:textId="77777777">
        <w:trPr>
          <w:jc w:val="center"/>
        </w:trPr>
        <w:tc>
          <w:tcPr>
            <w:tcW w:w="2016" w:type="dxa"/>
          </w:tcPr>
          <w:p w14:paraId="4B07DD3B" w14:textId="77777777" w:rsidR="0007017D" w:rsidRDefault="005C263B">
            <w:r>
              <w:rPr>
                <w:sz w:val="20"/>
              </w:rPr>
              <w:t>new</w:t>
            </w:r>
          </w:p>
        </w:tc>
        <w:tc>
          <w:tcPr>
            <w:tcW w:w="7344" w:type="dxa"/>
          </w:tcPr>
          <w:p w14:paraId="07BEF7E1" w14:textId="77777777" w:rsidR="0007017D" w:rsidRDefault="005C263B">
            <w:r>
              <w:rPr>
                <w:sz w:val="20"/>
              </w:rPr>
              <w:t>Just created; not yet evaluated by the Risk Engine.</w:t>
            </w:r>
          </w:p>
        </w:tc>
      </w:tr>
      <w:tr w:rsidR="0007017D" w14:paraId="7195E009" w14:textId="77777777">
        <w:trPr>
          <w:jc w:val="center"/>
        </w:trPr>
        <w:tc>
          <w:tcPr>
            <w:tcW w:w="2016" w:type="dxa"/>
            <w:shd w:val="clear" w:color="auto" w:fill="EDEFF4"/>
          </w:tcPr>
          <w:p w14:paraId="38F97F56" w14:textId="77777777" w:rsidR="0007017D" w:rsidRDefault="005C263B">
            <w:r>
              <w:rPr>
                <w:sz w:val="20"/>
              </w:rPr>
              <w:t>pending_signoff</w:t>
            </w:r>
          </w:p>
        </w:tc>
        <w:tc>
          <w:tcPr>
            <w:tcW w:w="7344" w:type="dxa"/>
            <w:shd w:val="clear" w:color="auto" w:fill="EDEFF4"/>
          </w:tcPr>
          <w:p w14:paraId="5696C87A" w14:textId="77777777" w:rsidR="0007017D" w:rsidRDefault="005C263B">
            <w:r>
              <w:rPr>
                <w:sz w:val="20"/>
              </w:rPr>
              <w:t>Approved by the Risk Engine and awaiting an explicit human sign-off or rejection. This is the only status the Sign Off / Reject buttons act on.</w:t>
            </w:r>
          </w:p>
        </w:tc>
      </w:tr>
      <w:tr w:rsidR="0007017D" w14:paraId="62E67159" w14:textId="77777777">
        <w:trPr>
          <w:jc w:val="center"/>
        </w:trPr>
        <w:tc>
          <w:tcPr>
            <w:tcW w:w="2016" w:type="dxa"/>
          </w:tcPr>
          <w:p w14:paraId="1DC0B2CE" w14:textId="77777777" w:rsidR="0007017D" w:rsidRDefault="005C263B">
            <w:r>
              <w:rPr>
                <w:sz w:val="20"/>
              </w:rPr>
              <w:t>transmitted</w:t>
            </w:r>
          </w:p>
        </w:tc>
        <w:tc>
          <w:tcPr>
            <w:tcW w:w="7344" w:type="dxa"/>
          </w:tcPr>
          <w:p w14:paraId="0498544B" w14:textId="77777777" w:rsidR="0007017D" w:rsidRDefault="005C263B">
            <w:r>
              <w:rPr>
                <w:sz w:val="20"/>
              </w:rPr>
              <w:t>Sign-off confirmed; the order has been sent to the broker and is awaiting a fill.</w:t>
            </w:r>
          </w:p>
        </w:tc>
      </w:tr>
      <w:tr w:rsidR="0007017D" w14:paraId="1BEEF217" w14:textId="77777777">
        <w:trPr>
          <w:jc w:val="center"/>
        </w:trPr>
        <w:tc>
          <w:tcPr>
            <w:tcW w:w="2016" w:type="dxa"/>
            <w:shd w:val="clear" w:color="auto" w:fill="EDEFF4"/>
          </w:tcPr>
          <w:p w14:paraId="3D9754B3" w14:textId="77777777" w:rsidR="0007017D" w:rsidRDefault="005C263B">
            <w:r>
              <w:rPr>
                <w:sz w:val="20"/>
              </w:rPr>
              <w:t>filled</w:t>
            </w:r>
          </w:p>
        </w:tc>
        <w:tc>
          <w:tcPr>
            <w:tcW w:w="7344" w:type="dxa"/>
            <w:shd w:val="clear" w:color="auto" w:fill="EDEFF4"/>
          </w:tcPr>
          <w:p w14:paraId="71992A0C" w14:textId="77777777" w:rsidR="0007017D" w:rsidRDefault="005C263B">
            <w:r>
              <w:rPr>
                <w:sz w:val="20"/>
              </w:rPr>
              <w:t>The broker reports the order as executed.</w:t>
            </w:r>
          </w:p>
        </w:tc>
      </w:tr>
      <w:tr w:rsidR="0007017D" w14:paraId="6EE86140" w14:textId="77777777">
        <w:trPr>
          <w:jc w:val="center"/>
        </w:trPr>
        <w:tc>
          <w:tcPr>
            <w:tcW w:w="2016" w:type="dxa"/>
          </w:tcPr>
          <w:p w14:paraId="38CA2D34" w14:textId="77777777" w:rsidR="0007017D" w:rsidRDefault="005C263B">
            <w:r>
              <w:rPr>
                <w:sz w:val="20"/>
              </w:rPr>
              <w:t>cancelled</w:t>
            </w:r>
          </w:p>
        </w:tc>
        <w:tc>
          <w:tcPr>
            <w:tcW w:w="7344" w:type="dxa"/>
          </w:tcPr>
          <w:p w14:paraId="3F34FD5B" w14:textId="77777777" w:rsidR="0007017D" w:rsidRDefault="005C263B">
            <w:r>
              <w:rPr>
                <w:sz w:val="20"/>
              </w:rPr>
              <w:t>The order was cancelled before it was filled.</w:t>
            </w:r>
          </w:p>
        </w:tc>
      </w:tr>
      <w:tr w:rsidR="0007017D" w14:paraId="08697C86" w14:textId="77777777">
        <w:trPr>
          <w:jc w:val="center"/>
        </w:trPr>
        <w:tc>
          <w:tcPr>
            <w:tcW w:w="2016" w:type="dxa"/>
            <w:shd w:val="clear" w:color="auto" w:fill="EDEFF4"/>
          </w:tcPr>
          <w:p w14:paraId="63E7C23E" w14:textId="77777777" w:rsidR="0007017D" w:rsidRDefault="005C263B">
            <w:r>
              <w:rPr>
                <w:sz w:val="20"/>
              </w:rPr>
              <w:t>rejected</w:t>
            </w:r>
          </w:p>
        </w:tc>
        <w:tc>
          <w:tcPr>
            <w:tcW w:w="7344" w:type="dxa"/>
            <w:shd w:val="clear" w:color="auto" w:fill="EDEFF4"/>
          </w:tcPr>
          <w:p w14:paraId="4D13B73D" w14:textId="77777777" w:rsidR="0007017D" w:rsidRDefault="005C263B">
            <w:r>
              <w:rPr>
                <w:sz w:val="20"/>
              </w:rPr>
              <w:t>The order was rejected — either by the Risk Engine automatically, or by an explicit human rejection on this screen.</w:t>
            </w:r>
          </w:p>
        </w:tc>
      </w:tr>
    </w:tbl>
    <w:p w14:paraId="51DAE098" w14:textId="77777777" w:rsidR="0007017D" w:rsidRDefault="0007017D"/>
    <w:tbl>
      <w:tblPr>
        <w:tblStyle w:val="TableGrid"/>
        <w:tblW w:w="0" w:type="auto"/>
        <w:jc w:val="center"/>
        <w:tblLook w:val="04A0" w:firstRow="1" w:lastRow="0" w:firstColumn="1" w:lastColumn="0" w:noHBand="0" w:noVBand="1"/>
      </w:tblPr>
      <w:tblGrid>
        <w:gridCol w:w="9360"/>
      </w:tblGrid>
      <w:tr w:rsidR="0007017D" w14:paraId="45A6A20A" w14:textId="77777777">
        <w:trPr>
          <w:jc w:val="center"/>
        </w:trPr>
        <w:tc>
          <w:tcPr>
            <w:tcW w:w="9360" w:type="dxa"/>
            <w:shd w:val="clear" w:color="auto" w:fill="EDEFF4"/>
          </w:tcPr>
          <w:p w14:paraId="54E6FEBC" w14:textId="77777777" w:rsidR="0007017D" w:rsidRDefault="005C263B">
            <w:r>
              <w:rPr>
                <w:b/>
                <w:color w:val="1B5E20"/>
                <w:sz w:val="20"/>
              </w:rPr>
              <w:t>The safety invariant behind this screen</w:t>
            </w:r>
          </w:p>
          <w:p w14:paraId="3CC75221" w14:textId="77777777" w:rsidR="0007017D" w:rsidRDefault="005C263B">
            <w:r>
              <w:rPr>
                <w:sz w:val="20"/>
              </w:rPr>
              <w:t>No code path in the application calls the broker directly from a signal or a risk decision. Submitting an order only ever creates a pending_signoff record; only the explicit, operator-attributed sign-off action — confirmed through this screen's dialog — can move an order to transmitted. There is no auto-trade toggle anywhere in the system.</w:t>
            </w:r>
          </w:p>
        </w:tc>
      </w:tr>
    </w:tbl>
    <w:p w14:paraId="24A3429C" w14:textId="77777777" w:rsidR="0007017D" w:rsidRDefault="0007017D"/>
    <w:p w14:paraId="263F2082" w14:textId="77777777" w:rsidR="0007017D" w:rsidRDefault="005C263B">
      <w:r>
        <w:br w:type="page"/>
      </w:r>
    </w:p>
    <w:p w14:paraId="5ECED9CA" w14:textId="77777777" w:rsidR="0007017D" w:rsidRDefault="005C263B">
      <w:pPr>
        <w:pStyle w:val="Heading1"/>
      </w:pPr>
      <w:bookmarkStart w:id="22" w:name="_Toc235861758"/>
      <w:r>
        <w:lastRenderedPageBreak/>
        <w:t>9. Screener &amp; Settings (Reserved for Future Development)</w:t>
      </w:r>
      <w:bookmarkEnd w:id="22"/>
    </w:p>
    <w:p w14:paraId="40860DEC" w14:textId="77777777" w:rsidR="0007017D" w:rsidRDefault="005C263B">
      <w:r>
        <w:t>Two tabs are present in the main window but are not yet built out beyond a placeholder screen. They are documented here for completeness, since they are visible in the running application today.</w:t>
      </w:r>
    </w:p>
    <w:p w14:paraId="71D0F404" w14:textId="77777777" w:rsidR="0007017D" w:rsidRDefault="005C263B">
      <w:pPr>
        <w:jc w:val="center"/>
      </w:pPr>
      <w:r>
        <w:rPr>
          <w:noProof/>
        </w:rPr>
        <w:drawing>
          <wp:inline distT="0" distB="0" distL="0" distR="0" wp14:anchorId="4F642138" wp14:editId="4F5B3F14">
            <wp:extent cx="5760720" cy="36499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er.png"/>
                    <pic:cNvPicPr/>
                  </pic:nvPicPr>
                  <pic:blipFill>
                    <a:blip r:embed="rId15"/>
                    <a:stretch>
                      <a:fillRect/>
                    </a:stretch>
                  </pic:blipFill>
                  <pic:spPr>
                    <a:xfrm>
                      <a:off x="0" y="0"/>
                      <a:ext cx="5760720" cy="3649992"/>
                    </a:xfrm>
                    <a:prstGeom prst="rect">
                      <a:avLst/>
                    </a:prstGeom>
                  </pic:spPr>
                </pic:pic>
              </a:graphicData>
            </a:graphic>
          </wp:inline>
        </w:drawing>
      </w:r>
    </w:p>
    <w:p w14:paraId="782E431F" w14:textId="77777777" w:rsidR="0007017D" w:rsidRDefault="005C263B">
      <w:pPr>
        <w:jc w:val="center"/>
      </w:pPr>
      <w:r>
        <w:rPr>
          <w:i/>
          <w:color w:val="595959"/>
          <w:sz w:val="18"/>
        </w:rPr>
        <w:t>Figure 9.1 — The Screener tab in its current placeholder state.</w:t>
      </w:r>
    </w:p>
    <w:p w14:paraId="21D1FE44" w14:textId="77777777" w:rsidR="0007017D" w:rsidRDefault="0007017D"/>
    <w:p w14:paraId="10142FE0" w14:textId="77777777" w:rsidR="0007017D" w:rsidRDefault="005C263B">
      <w:pPr>
        <w:pStyle w:val="Heading2"/>
      </w:pPr>
      <w:bookmarkStart w:id="23" w:name="_Toc235861759"/>
      <w:r>
        <w:t>9.1 Screener</w:t>
      </w:r>
      <w:bookmarkEnd w:id="23"/>
    </w:p>
    <w:p w14:paraId="717D6E8D" w14:textId="77777777" w:rsidR="0007017D" w:rsidRDefault="005C263B">
      <w:r>
        <w:t>Reserved for fundamental and technical universe screening — filtering the tradable universe by criteria such as valuation, growth, quality, or technical setup, ahead of strategy backtesting on the Workbench.</w:t>
      </w:r>
    </w:p>
    <w:p w14:paraId="740710AE" w14:textId="77777777" w:rsidR="0007017D" w:rsidRDefault="005C263B">
      <w:pPr>
        <w:pStyle w:val="Heading2"/>
      </w:pPr>
      <w:bookmarkStart w:id="24" w:name="_Toc235861760"/>
      <w:r>
        <w:t>9.2 Settings</w:t>
      </w:r>
      <w:bookmarkEnd w:id="24"/>
    </w:p>
    <w:p w14:paraId="4E17CDFC" w14:textId="77777777" w:rsidR="0007017D" w:rsidRDefault="005C263B">
      <w:r>
        <w:t>Reserved for an in-app editable view of risk limits and broker/LLM endpoint configuration, including the paper/live trading-mode switch. Today, all of this configuration is set outside the application (environment variables and the OS keyring, per the project README); this screen will eventually surface those same settings for editing here, gated by explicit confirmation before any change that affects live trading takes effect.</w:t>
      </w:r>
    </w:p>
    <w:p w14:paraId="0246103F" w14:textId="77777777" w:rsidR="0007017D" w:rsidRDefault="005C263B">
      <w:r>
        <w:br w:type="page"/>
      </w:r>
    </w:p>
    <w:p w14:paraId="54E9F03E" w14:textId="77777777" w:rsidR="0007017D" w:rsidRDefault="005C263B">
      <w:pPr>
        <w:pStyle w:val="Heading1"/>
      </w:pPr>
      <w:bookmarkStart w:id="25" w:name="_Toc235861761"/>
      <w:r>
        <w:lastRenderedPageBreak/>
        <w:t>10. Safety Architecture Reference</w:t>
      </w:r>
      <w:bookmarkEnd w:id="25"/>
    </w:p>
    <w:p w14:paraId="2DB24C93" w14:textId="77777777" w:rsidR="0007017D" w:rsidRDefault="005C263B">
      <w:r>
        <w:t>This section consolidates the safety mechanisms referenced throughout the manual into a single view, since they are the most important thing to understand about this application before using it — in Paper mode or otherwise.</w:t>
      </w:r>
    </w:p>
    <w:p w14:paraId="2C3069E9" w14:textId="77777777" w:rsidR="0007017D" w:rsidRDefault="005C263B">
      <w:pPr>
        <w:pStyle w:val="Heading2"/>
      </w:pPr>
      <w:bookmarkStart w:id="26" w:name="_Toc235861762"/>
      <w:r>
        <w:t>10.1 Defence in Depth</w:t>
      </w:r>
      <w:bookmarkEnd w:id="26"/>
    </w:p>
    <w:tbl>
      <w:tblPr>
        <w:tblStyle w:val="TableGrid"/>
        <w:tblW w:w="0" w:type="auto"/>
        <w:jc w:val="center"/>
        <w:tblLayout w:type="fixed"/>
        <w:tblLook w:val="04A0" w:firstRow="1" w:lastRow="0" w:firstColumn="1" w:lastColumn="0" w:noHBand="0" w:noVBand="1"/>
      </w:tblPr>
      <w:tblGrid>
        <w:gridCol w:w="2448"/>
        <w:gridCol w:w="6912"/>
      </w:tblGrid>
      <w:tr w:rsidR="0007017D" w14:paraId="6429497F" w14:textId="77777777">
        <w:trPr>
          <w:jc w:val="center"/>
        </w:trPr>
        <w:tc>
          <w:tcPr>
            <w:tcW w:w="2448" w:type="dxa"/>
            <w:shd w:val="clear" w:color="auto" w:fill="1F3864"/>
          </w:tcPr>
          <w:p w14:paraId="585BE68F" w14:textId="77777777" w:rsidR="0007017D" w:rsidRDefault="005C263B">
            <w:r>
              <w:rPr>
                <w:b/>
                <w:color w:val="FFFFFF"/>
                <w:sz w:val="20"/>
              </w:rPr>
              <w:t>Element</w:t>
            </w:r>
          </w:p>
        </w:tc>
        <w:tc>
          <w:tcPr>
            <w:tcW w:w="6912" w:type="dxa"/>
            <w:shd w:val="clear" w:color="auto" w:fill="1F3864"/>
          </w:tcPr>
          <w:p w14:paraId="58A8F0C3" w14:textId="77777777" w:rsidR="0007017D" w:rsidRDefault="005C263B">
            <w:r>
              <w:rPr>
                <w:b/>
                <w:color w:val="FFFFFF"/>
                <w:sz w:val="20"/>
              </w:rPr>
              <w:t>Description</w:t>
            </w:r>
          </w:p>
        </w:tc>
      </w:tr>
      <w:tr w:rsidR="0007017D" w14:paraId="509DFB73" w14:textId="77777777">
        <w:trPr>
          <w:jc w:val="center"/>
        </w:trPr>
        <w:tc>
          <w:tcPr>
            <w:tcW w:w="2448" w:type="dxa"/>
          </w:tcPr>
          <w:p w14:paraId="1EF5731E" w14:textId="77777777" w:rsidR="0007017D" w:rsidRDefault="005C263B">
            <w:r>
              <w:rPr>
                <w:b/>
                <w:sz w:val="20"/>
              </w:rPr>
              <w:t>Paper-only default</w:t>
            </w:r>
          </w:p>
        </w:tc>
        <w:tc>
          <w:tcPr>
            <w:tcW w:w="6912" w:type="dxa"/>
          </w:tcPr>
          <w:p w14:paraId="494E018B" w14:textId="77777777" w:rsidR="0007017D" w:rsidRDefault="005C263B">
            <w:r>
              <w:rPr>
                <w:sz w:val="20"/>
              </w:rPr>
              <w:t>The application always starts in Paper trading mode. Live mode requires a deliberate configuration change outside the running application, plus the broker adapter's own live_trading_confirmed flag.</w:t>
            </w:r>
          </w:p>
        </w:tc>
      </w:tr>
      <w:tr w:rsidR="0007017D" w14:paraId="06CE394C" w14:textId="77777777">
        <w:trPr>
          <w:jc w:val="center"/>
        </w:trPr>
        <w:tc>
          <w:tcPr>
            <w:tcW w:w="2448" w:type="dxa"/>
            <w:shd w:val="clear" w:color="auto" w:fill="EDEFF4"/>
          </w:tcPr>
          <w:p w14:paraId="57C44F54" w14:textId="77777777" w:rsidR="0007017D" w:rsidRDefault="005C263B">
            <w:r>
              <w:rPr>
                <w:b/>
                <w:sz w:val="20"/>
              </w:rPr>
              <w:t>Mandatory sign-off</w:t>
            </w:r>
          </w:p>
        </w:tc>
        <w:tc>
          <w:tcPr>
            <w:tcW w:w="6912" w:type="dxa"/>
            <w:shd w:val="clear" w:color="auto" w:fill="EDEFF4"/>
          </w:tcPr>
          <w:p w14:paraId="21244094" w14:textId="77777777" w:rsidR="0007017D" w:rsidRDefault="005C263B">
            <w:r>
              <w:rPr>
                <w:sz w:val="20"/>
              </w:rPr>
              <w:t>OMS.submit_order() never calls the broker. It only ever creates a pending_signoff order. Only an explicit, confirmed sign-off action (Order Blotter, Section 8) can transmit an order.</w:t>
            </w:r>
          </w:p>
        </w:tc>
      </w:tr>
      <w:tr w:rsidR="0007017D" w14:paraId="72F6E2E5" w14:textId="77777777">
        <w:trPr>
          <w:jc w:val="center"/>
        </w:trPr>
        <w:tc>
          <w:tcPr>
            <w:tcW w:w="2448" w:type="dxa"/>
          </w:tcPr>
          <w:p w14:paraId="3078CFAF" w14:textId="77777777" w:rsidR="0007017D" w:rsidRDefault="005C263B">
            <w:r>
              <w:rPr>
                <w:b/>
                <w:sz w:val="20"/>
              </w:rPr>
              <w:t>UI-level confirmation</w:t>
            </w:r>
          </w:p>
        </w:tc>
        <w:tc>
          <w:tcPr>
            <w:tcW w:w="6912" w:type="dxa"/>
          </w:tcPr>
          <w:p w14:paraId="25C43375" w14:textId="77777777" w:rsidR="0007017D" w:rsidRDefault="005C263B">
            <w:r>
              <w:rPr>
                <w:sz w:val="20"/>
              </w:rPr>
              <w:t>The Order Blotter never calls the sign-off/reject action directly from a click — it always opens a modal confirmation dialog first, naming the symbol, side, and quantity.</w:t>
            </w:r>
          </w:p>
        </w:tc>
      </w:tr>
      <w:tr w:rsidR="0007017D" w14:paraId="533198E1" w14:textId="77777777">
        <w:trPr>
          <w:jc w:val="center"/>
        </w:trPr>
        <w:tc>
          <w:tcPr>
            <w:tcW w:w="2448" w:type="dxa"/>
            <w:shd w:val="clear" w:color="auto" w:fill="EDEFF4"/>
          </w:tcPr>
          <w:p w14:paraId="046B71C4" w14:textId="77777777" w:rsidR="0007017D" w:rsidRDefault="005C263B">
            <w:r>
              <w:rPr>
                <w:b/>
                <w:sz w:val="20"/>
              </w:rPr>
              <w:t>Kill-switch</w:t>
            </w:r>
          </w:p>
        </w:tc>
        <w:tc>
          <w:tcPr>
            <w:tcW w:w="6912" w:type="dxa"/>
            <w:shd w:val="clear" w:color="auto" w:fill="EDEFF4"/>
          </w:tcPr>
          <w:p w14:paraId="28F8285F" w14:textId="77777777" w:rsidR="0007017D" w:rsidRDefault="005C263B">
            <w:r>
              <w:rPr>
                <w:sz w:val="20"/>
              </w:rPr>
              <w:t>A single, always-visible control (Risk Console, Section 6) halts all new order flow immediately. It also trips automatically on daily-loss, drawdown, data-staleness, broker-reconciliation, or reconnect-budget conditions.</w:t>
            </w:r>
          </w:p>
        </w:tc>
      </w:tr>
      <w:tr w:rsidR="0007017D" w14:paraId="0546C48F" w14:textId="77777777">
        <w:trPr>
          <w:jc w:val="center"/>
        </w:trPr>
        <w:tc>
          <w:tcPr>
            <w:tcW w:w="2448" w:type="dxa"/>
          </w:tcPr>
          <w:p w14:paraId="30C2DDCF" w14:textId="77777777" w:rsidR="0007017D" w:rsidRDefault="005C263B">
            <w:r>
              <w:rPr>
                <w:b/>
                <w:sz w:val="20"/>
              </w:rPr>
              <w:t>Risk Engine gating</w:t>
            </w:r>
          </w:p>
        </w:tc>
        <w:tc>
          <w:tcPr>
            <w:tcW w:w="6912" w:type="dxa"/>
          </w:tcPr>
          <w:p w14:paraId="3EC42185" w14:textId="77777777" w:rsidR="0007017D" w:rsidRDefault="005C263B">
            <w:r>
              <w:rPr>
                <w:sz w:val="20"/>
              </w:rPr>
              <w:t>Every order candidate — whichever strategy produced it — is sized and checked against VaR, Expected Shortfall, concentration, and drawdown limits before it can even become pending_signoff.</w:t>
            </w:r>
          </w:p>
        </w:tc>
      </w:tr>
      <w:tr w:rsidR="0007017D" w14:paraId="002BD3C3" w14:textId="77777777">
        <w:trPr>
          <w:jc w:val="center"/>
        </w:trPr>
        <w:tc>
          <w:tcPr>
            <w:tcW w:w="2448" w:type="dxa"/>
            <w:shd w:val="clear" w:color="auto" w:fill="EDEFF4"/>
          </w:tcPr>
          <w:p w14:paraId="06EF623E" w14:textId="77777777" w:rsidR="0007017D" w:rsidRDefault="005C263B">
            <w:r>
              <w:rPr>
                <w:b/>
                <w:sz w:val="20"/>
              </w:rPr>
              <w:t>AI as analyst only</w:t>
            </w:r>
          </w:p>
        </w:tc>
        <w:tc>
          <w:tcPr>
            <w:tcW w:w="6912" w:type="dxa"/>
            <w:shd w:val="clear" w:color="auto" w:fill="EDEFF4"/>
          </w:tcPr>
          <w:p w14:paraId="28989228" w14:textId="77777777" w:rsidR="0007017D" w:rsidRDefault="005C263B">
            <w:r>
              <w:rPr>
                <w:sz w:val="20"/>
              </w:rPr>
              <w:t>The AI Advisor and every AI-generated note have no reference to the Order Management System or a broker. AI output is independently re-verified against the Risk Engine before it is shown — the model's own self-reported confidence and risk flags are never trusted at face value.</w:t>
            </w:r>
          </w:p>
        </w:tc>
      </w:tr>
      <w:tr w:rsidR="0007017D" w14:paraId="250ED64E" w14:textId="77777777">
        <w:trPr>
          <w:jc w:val="center"/>
        </w:trPr>
        <w:tc>
          <w:tcPr>
            <w:tcW w:w="2448" w:type="dxa"/>
          </w:tcPr>
          <w:p w14:paraId="2C67A167" w14:textId="77777777" w:rsidR="0007017D" w:rsidRDefault="005C263B">
            <w:r>
              <w:rPr>
                <w:b/>
                <w:sz w:val="20"/>
              </w:rPr>
              <w:t>Prompt-injection defence</w:t>
            </w:r>
          </w:p>
        </w:tc>
        <w:tc>
          <w:tcPr>
            <w:tcW w:w="6912" w:type="dxa"/>
          </w:tcPr>
          <w:p w14:paraId="1EA7C3CA" w14:textId="77777777" w:rsidR="0007017D" w:rsidRDefault="005C263B">
            <w:r>
              <w:rPr>
                <w:sz w:val="20"/>
              </w:rPr>
              <w:t>Free text — a typed question, or any fetched external data — is always passed to the model as clearly-labelled, inert context, never as part of the instruction-bearing prompt, so it cannot make the model act outside its fixed analyst role.</w:t>
            </w:r>
          </w:p>
        </w:tc>
      </w:tr>
      <w:tr w:rsidR="0007017D" w14:paraId="5FD21C55" w14:textId="77777777">
        <w:trPr>
          <w:jc w:val="center"/>
        </w:trPr>
        <w:tc>
          <w:tcPr>
            <w:tcW w:w="2448" w:type="dxa"/>
            <w:shd w:val="clear" w:color="auto" w:fill="EDEFF4"/>
          </w:tcPr>
          <w:p w14:paraId="45403179" w14:textId="77777777" w:rsidR="0007017D" w:rsidRDefault="005C263B">
            <w:r>
              <w:rPr>
                <w:b/>
                <w:sz w:val="20"/>
              </w:rPr>
              <w:t>Deploy, don't auto-run</w:t>
            </w:r>
          </w:p>
        </w:tc>
        <w:tc>
          <w:tcPr>
            <w:tcW w:w="6912" w:type="dxa"/>
            <w:shd w:val="clear" w:color="auto" w:fill="EDEFF4"/>
          </w:tcPr>
          <w:p w14:paraId="4AB6BF34" w14:textId="77777777" w:rsidR="0007017D" w:rsidRDefault="005C263B">
            <w:r>
              <w:rPr>
                <w:sz w:val="20"/>
              </w:rPr>
              <w:t>The live Strategy Engine starts with no strategies active. A strategy only begins generating live signals after an explicit “Deploy to Paper” action on the Workbench (Section 4), following a backtest.</w:t>
            </w:r>
          </w:p>
        </w:tc>
      </w:tr>
    </w:tbl>
    <w:p w14:paraId="1A95DF0B" w14:textId="77777777" w:rsidR="0007017D" w:rsidRDefault="0007017D"/>
    <w:p w14:paraId="029A6DA2" w14:textId="77777777" w:rsidR="0007017D" w:rsidRDefault="005C263B">
      <w:pPr>
        <w:pStyle w:val="Heading2"/>
      </w:pPr>
      <w:bookmarkStart w:id="27" w:name="_Toc235861763"/>
      <w:r>
        <w:t>10.2 Distribution Note</w:t>
      </w:r>
      <w:bookmarkEnd w:id="27"/>
    </w:p>
    <w:p w14:paraId="796CA203" w14:textId="77777777" w:rsidR="0007017D" w:rsidRDefault="005C263B">
      <w:r>
        <w:t>The packaged Windows executable produced by invoke package is unsigned — no code-signing certificate is bundled with this build, so Windows SmartScreen will warn on first launch. This is expected; see the project README for the signtool.exe steps to sign the build yourself once you have a certificate.</w:t>
      </w:r>
    </w:p>
    <w:p w14:paraId="579035D7" w14:textId="77777777" w:rsidR="0007017D" w:rsidRDefault="005C263B">
      <w:r>
        <w:br w:type="page"/>
      </w:r>
    </w:p>
    <w:p w14:paraId="526E6779" w14:textId="77777777" w:rsidR="0007017D" w:rsidRDefault="005C263B">
      <w:pPr>
        <w:pStyle w:val="Heading1"/>
      </w:pPr>
      <w:bookmarkStart w:id="28" w:name="_Toc235861764"/>
      <w:r>
        <w:lastRenderedPageBreak/>
        <w:t>Appendix A: Glossary of Terms</w:t>
      </w:r>
      <w:bookmarkEnd w:id="28"/>
    </w:p>
    <w:tbl>
      <w:tblPr>
        <w:tblStyle w:val="TableGrid"/>
        <w:tblW w:w="0" w:type="auto"/>
        <w:jc w:val="center"/>
        <w:tblLayout w:type="fixed"/>
        <w:tblLook w:val="04A0" w:firstRow="1" w:lastRow="0" w:firstColumn="1" w:lastColumn="0" w:noHBand="0" w:noVBand="1"/>
      </w:tblPr>
      <w:tblGrid>
        <w:gridCol w:w="2160"/>
        <w:gridCol w:w="7200"/>
      </w:tblGrid>
      <w:tr w:rsidR="0007017D" w14:paraId="6045C1F5" w14:textId="77777777">
        <w:trPr>
          <w:jc w:val="center"/>
        </w:trPr>
        <w:tc>
          <w:tcPr>
            <w:tcW w:w="2160" w:type="dxa"/>
            <w:shd w:val="clear" w:color="auto" w:fill="1F3864"/>
          </w:tcPr>
          <w:p w14:paraId="70847C26" w14:textId="77777777" w:rsidR="0007017D" w:rsidRDefault="005C263B">
            <w:r>
              <w:rPr>
                <w:b/>
                <w:color w:val="FFFFFF"/>
                <w:sz w:val="20"/>
              </w:rPr>
              <w:t>Term</w:t>
            </w:r>
          </w:p>
        </w:tc>
        <w:tc>
          <w:tcPr>
            <w:tcW w:w="7200" w:type="dxa"/>
            <w:shd w:val="clear" w:color="auto" w:fill="1F3864"/>
          </w:tcPr>
          <w:p w14:paraId="259BACED" w14:textId="77777777" w:rsidR="0007017D" w:rsidRDefault="005C263B">
            <w:r>
              <w:rPr>
                <w:b/>
                <w:color w:val="FFFFFF"/>
                <w:sz w:val="20"/>
              </w:rPr>
              <w:t>Definition</w:t>
            </w:r>
          </w:p>
        </w:tc>
      </w:tr>
      <w:tr w:rsidR="0007017D" w14:paraId="0B39BC7B" w14:textId="77777777">
        <w:trPr>
          <w:jc w:val="center"/>
        </w:trPr>
        <w:tc>
          <w:tcPr>
            <w:tcW w:w="2160" w:type="dxa"/>
          </w:tcPr>
          <w:p w14:paraId="6F2EC73E" w14:textId="77777777" w:rsidR="0007017D" w:rsidRDefault="005C263B">
            <w:r>
              <w:rPr>
                <w:sz w:val="20"/>
              </w:rPr>
              <w:t>NAV</w:t>
            </w:r>
          </w:p>
        </w:tc>
        <w:tc>
          <w:tcPr>
            <w:tcW w:w="7200" w:type="dxa"/>
          </w:tcPr>
          <w:p w14:paraId="709E7D4C" w14:textId="77777777" w:rsidR="0007017D" w:rsidRDefault="005C263B">
            <w:r>
              <w:rPr>
                <w:sz w:val="20"/>
              </w:rPr>
              <w:t>Net Asset Value — total portfolio value: cash plus the market value of open positions.</w:t>
            </w:r>
          </w:p>
        </w:tc>
      </w:tr>
      <w:tr w:rsidR="0007017D" w14:paraId="650AD959" w14:textId="77777777">
        <w:trPr>
          <w:jc w:val="center"/>
        </w:trPr>
        <w:tc>
          <w:tcPr>
            <w:tcW w:w="2160" w:type="dxa"/>
            <w:shd w:val="clear" w:color="auto" w:fill="EDEFF4"/>
          </w:tcPr>
          <w:p w14:paraId="41007581" w14:textId="77777777" w:rsidR="0007017D" w:rsidRDefault="005C263B">
            <w:r>
              <w:rPr>
                <w:sz w:val="20"/>
              </w:rPr>
              <w:t>VaR</w:t>
            </w:r>
          </w:p>
        </w:tc>
        <w:tc>
          <w:tcPr>
            <w:tcW w:w="7200" w:type="dxa"/>
            <w:shd w:val="clear" w:color="auto" w:fill="EDEFF4"/>
          </w:tcPr>
          <w:p w14:paraId="49A89FE4" w14:textId="77777777" w:rsidR="0007017D" w:rsidRDefault="005C263B">
            <w:r>
              <w:rPr>
                <w:sz w:val="20"/>
              </w:rPr>
              <w:t>Value-at-Risk — the loss level a portfolio is not expected to exceed over one period, at a given confidence level (e.g. 95% or 99%).</w:t>
            </w:r>
          </w:p>
        </w:tc>
      </w:tr>
      <w:tr w:rsidR="0007017D" w14:paraId="5BABA9DE" w14:textId="77777777">
        <w:trPr>
          <w:jc w:val="center"/>
        </w:trPr>
        <w:tc>
          <w:tcPr>
            <w:tcW w:w="2160" w:type="dxa"/>
          </w:tcPr>
          <w:p w14:paraId="6C411E45" w14:textId="77777777" w:rsidR="0007017D" w:rsidRDefault="005C263B">
            <w:r>
              <w:rPr>
                <w:sz w:val="20"/>
              </w:rPr>
              <w:t>Expected Shortfall (ES)</w:t>
            </w:r>
          </w:p>
        </w:tc>
        <w:tc>
          <w:tcPr>
            <w:tcW w:w="7200" w:type="dxa"/>
          </w:tcPr>
          <w:p w14:paraId="19332F56" w14:textId="77777777" w:rsidR="0007017D" w:rsidRDefault="005C263B">
            <w:r>
              <w:rPr>
                <w:sz w:val="20"/>
              </w:rPr>
              <w:t>The average loss in the tail of outcomes beyond the VaR threshold at a given confidence level — a more conservative measure than VaR alone.</w:t>
            </w:r>
          </w:p>
        </w:tc>
      </w:tr>
      <w:tr w:rsidR="0007017D" w14:paraId="465FEC99" w14:textId="77777777">
        <w:trPr>
          <w:jc w:val="center"/>
        </w:trPr>
        <w:tc>
          <w:tcPr>
            <w:tcW w:w="2160" w:type="dxa"/>
            <w:shd w:val="clear" w:color="auto" w:fill="EDEFF4"/>
          </w:tcPr>
          <w:p w14:paraId="63A08941" w14:textId="77777777" w:rsidR="0007017D" w:rsidRDefault="005C263B">
            <w:r>
              <w:rPr>
                <w:sz w:val="20"/>
              </w:rPr>
              <w:t>Sharpe ratio</w:t>
            </w:r>
          </w:p>
        </w:tc>
        <w:tc>
          <w:tcPr>
            <w:tcW w:w="7200" w:type="dxa"/>
            <w:shd w:val="clear" w:color="auto" w:fill="EDEFF4"/>
          </w:tcPr>
          <w:p w14:paraId="20BE7A20" w14:textId="77777777" w:rsidR="0007017D" w:rsidRDefault="005C263B">
            <w:r>
              <w:rPr>
                <w:sz w:val="20"/>
              </w:rPr>
              <w:t>Annualised excess return divided by annualised volatility; a standard risk-adjusted return measure.</w:t>
            </w:r>
          </w:p>
        </w:tc>
      </w:tr>
      <w:tr w:rsidR="0007017D" w14:paraId="5C3D9B86" w14:textId="77777777">
        <w:trPr>
          <w:jc w:val="center"/>
        </w:trPr>
        <w:tc>
          <w:tcPr>
            <w:tcW w:w="2160" w:type="dxa"/>
          </w:tcPr>
          <w:p w14:paraId="690494A7" w14:textId="77777777" w:rsidR="0007017D" w:rsidRDefault="005C263B">
            <w:r>
              <w:rPr>
                <w:sz w:val="20"/>
              </w:rPr>
              <w:t>Sortino ratio</w:t>
            </w:r>
          </w:p>
        </w:tc>
        <w:tc>
          <w:tcPr>
            <w:tcW w:w="7200" w:type="dxa"/>
          </w:tcPr>
          <w:p w14:paraId="6FC7BA29" w14:textId="77777777" w:rsidR="0007017D" w:rsidRDefault="005C263B">
            <w:r>
              <w:rPr>
                <w:sz w:val="20"/>
              </w:rPr>
              <w:t>Like the Sharpe ratio, but penalising only downside volatility rather than total volatility.</w:t>
            </w:r>
          </w:p>
        </w:tc>
      </w:tr>
      <w:tr w:rsidR="0007017D" w14:paraId="209B765D" w14:textId="77777777">
        <w:trPr>
          <w:jc w:val="center"/>
        </w:trPr>
        <w:tc>
          <w:tcPr>
            <w:tcW w:w="2160" w:type="dxa"/>
            <w:shd w:val="clear" w:color="auto" w:fill="EDEFF4"/>
          </w:tcPr>
          <w:p w14:paraId="42843B6C" w14:textId="77777777" w:rsidR="0007017D" w:rsidRDefault="005C263B">
            <w:r>
              <w:rPr>
                <w:sz w:val="20"/>
              </w:rPr>
              <w:t>CAGR</w:t>
            </w:r>
          </w:p>
        </w:tc>
        <w:tc>
          <w:tcPr>
            <w:tcW w:w="7200" w:type="dxa"/>
            <w:shd w:val="clear" w:color="auto" w:fill="EDEFF4"/>
          </w:tcPr>
          <w:p w14:paraId="65E86C9B" w14:textId="77777777" w:rsidR="0007017D" w:rsidRDefault="005C263B">
            <w:r>
              <w:rPr>
                <w:sz w:val="20"/>
              </w:rPr>
              <w:t>Compound Annual Growth Rate — the annualised growth rate of an equity curve between its first and last values.</w:t>
            </w:r>
          </w:p>
        </w:tc>
      </w:tr>
      <w:tr w:rsidR="0007017D" w14:paraId="392D43C1" w14:textId="77777777">
        <w:trPr>
          <w:jc w:val="center"/>
        </w:trPr>
        <w:tc>
          <w:tcPr>
            <w:tcW w:w="2160" w:type="dxa"/>
          </w:tcPr>
          <w:p w14:paraId="07189186" w14:textId="77777777" w:rsidR="0007017D" w:rsidRDefault="005C263B">
            <w:r>
              <w:rPr>
                <w:sz w:val="20"/>
              </w:rPr>
              <w:t>Calmar ratio</w:t>
            </w:r>
          </w:p>
        </w:tc>
        <w:tc>
          <w:tcPr>
            <w:tcW w:w="7200" w:type="dxa"/>
          </w:tcPr>
          <w:p w14:paraId="54937CF2" w14:textId="77777777" w:rsidR="0007017D" w:rsidRDefault="005C263B">
            <w:r>
              <w:rPr>
                <w:sz w:val="20"/>
              </w:rPr>
              <w:t>CAGR divided by the magnitude of maximum drawdown — a return-versus-worst-loss measure.</w:t>
            </w:r>
          </w:p>
        </w:tc>
      </w:tr>
      <w:tr w:rsidR="0007017D" w14:paraId="2B318ABB" w14:textId="77777777">
        <w:trPr>
          <w:jc w:val="center"/>
        </w:trPr>
        <w:tc>
          <w:tcPr>
            <w:tcW w:w="2160" w:type="dxa"/>
            <w:shd w:val="clear" w:color="auto" w:fill="EDEFF4"/>
          </w:tcPr>
          <w:p w14:paraId="188D15E9" w14:textId="77777777" w:rsidR="0007017D" w:rsidRDefault="005C263B">
            <w:r>
              <w:rPr>
                <w:sz w:val="20"/>
              </w:rPr>
              <w:t>Maximum drawdown</w:t>
            </w:r>
          </w:p>
        </w:tc>
        <w:tc>
          <w:tcPr>
            <w:tcW w:w="7200" w:type="dxa"/>
            <w:shd w:val="clear" w:color="auto" w:fill="EDEFF4"/>
          </w:tcPr>
          <w:p w14:paraId="778E5A77" w14:textId="77777777" w:rsidR="0007017D" w:rsidRDefault="005C263B">
            <w:r>
              <w:rPr>
                <w:sz w:val="20"/>
              </w:rPr>
              <w:t>The largest peak-to-trough decline in an equity curve, expressed as a negative percentage.</w:t>
            </w:r>
          </w:p>
        </w:tc>
      </w:tr>
      <w:tr w:rsidR="0007017D" w14:paraId="33D4CB95" w14:textId="77777777">
        <w:trPr>
          <w:jc w:val="center"/>
        </w:trPr>
        <w:tc>
          <w:tcPr>
            <w:tcW w:w="2160" w:type="dxa"/>
          </w:tcPr>
          <w:p w14:paraId="26A3F962" w14:textId="77777777" w:rsidR="0007017D" w:rsidRDefault="005C263B">
            <w:r>
              <w:rPr>
                <w:sz w:val="20"/>
              </w:rPr>
              <w:t>Win rate</w:t>
            </w:r>
          </w:p>
        </w:tc>
        <w:tc>
          <w:tcPr>
            <w:tcW w:w="7200" w:type="dxa"/>
          </w:tcPr>
          <w:p w14:paraId="7BA2E915" w14:textId="77777777" w:rsidR="0007017D" w:rsidRDefault="005C263B">
            <w:r>
              <w:rPr>
                <w:sz w:val="20"/>
              </w:rPr>
              <w:t>The percentage of closed trades that were profitable.</w:t>
            </w:r>
          </w:p>
        </w:tc>
      </w:tr>
      <w:tr w:rsidR="0007017D" w14:paraId="509C25AE" w14:textId="77777777">
        <w:trPr>
          <w:jc w:val="center"/>
        </w:trPr>
        <w:tc>
          <w:tcPr>
            <w:tcW w:w="2160" w:type="dxa"/>
            <w:shd w:val="clear" w:color="auto" w:fill="EDEFF4"/>
          </w:tcPr>
          <w:p w14:paraId="0592DDD6" w14:textId="77777777" w:rsidR="0007017D" w:rsidRDefault="005C263B">
            <w:r>
              <w:rPr>
                <w:sz w:val="20"/>
              </w:rPr>
              <w:t>Profit factor</w:t>
            </w:r>
          </w:p>
        </w:tc>
        <w:tc>
          <w:tcPr>
            <w:tcW w:w="7200" w:type="dxa"/>
            <w:shd w:val="clear" w:color="auto" w:fill="EDEFF4"/>
          </w:tcPr>
          <w:p w14:paraId="6E5511E3" w14:textId="77777777" w:rsidR="0007017D" w:rsidRDefault="005C263B">
            <w:r>
              <w:rPr>
                <w:sz w:val="20"/>
              </w:rPr>
              <w:t>Gross profit divided by gross loss across all closed trades.</w:t>
            </w:r>
          </w:p>
        </w:tc>
      </w:tr>
      <w:tr w:rsidR="0007017D" w14:paraId="428D1563" w14:textId="77777777">
        <w:trPr>
          <w:jc w:val="center"/>
        </w:trPr>
        <w:tc>
          <w:tcPr>
            <w:tcW w:w="2160" w:type="dxa"/>
          </w:tcPr>
          <w:p w14:paraId="115E5390" w14:textId="77777777" w:rsidR="0007017D" w:rsidRDefault="005C263B">
            <w:r>
              <w:rPr>
                <w:sz w:val="20"/>
              </w:rPr>
              <w:t>Beta</w:t>
            </w:r>
          </w:p>
        </w:tc>
        <w:tc>
          <w:tcPr>
            <w:tcW w:w="7200" w:type="dxa"/>
          </w:tcPr>
          <w:p w14:paraId="6AB87C7F" w14:textId="77777777" w:rsidR="0007017D" w:rsidRDefault="005C263B">
            <w:r>
              <w:rPr>
                <w:sz w:val="20"/>
              </w:rPr>
              <w:t>A strategy's sensitivity to the benchmark's returns (1.0 = moves in line with the benchmark).</w:t>
            </w:r>
          </w:p>
        </w:tc>
      </w:tr>
      <w:tr w:rsidR="0007017D" w14:paraId="60B3FC23" w14:textId="77777777">
        <w:trPr>
          <w:jc w:val="center"/>
        </w:trPr>
        <w:tc>
          <w:tcPr>
            <w:tcW w:w="2160" w:type="dxa"/>
            <w:shd w:val="clear" w:color="auto" w:fill="EDEFF4"/>
          </w:tcPr>
          <w:p w14:paraId="397A5D78" w14:textId="77777777" w:rsidR="0007017D" w:rsidRDefault="005C263B">
            <w:r>
              <w:rPr>
                <w:sz w:val="20"/>
              </w:rPr>
              <w:t>Alpha</w:t>
            </w:r>
          </w:p>
        </w:tc>
        <w:tc>
          <w:tcPr>
            <w:tcW w:w="7200" w:type="dxa"/>
            <w:shd w:val="clear" w:color="auto" w:fill="EDEFF4"/>
          </w:tcPr>
          <w:p w14:paraId="26608AA7" w14:textId="77777777" w:rsidR="0007017D" w:rsidRDefault="005C263B">
            <w:r>
              <w:rPr>
                <w:sz w:val="20"/>
              </w:rPr>
              <w:t>Annualised return in excess of what beta and the benchmark's own return would predict.</w:t>
            </w:r>
          </w:p>
        </w:tc>
      </w:tr>
      <w:tr w:rsidR="0007017D" w14:paraId="6C7636E7" w14:textId="77777777">
        <w:trPr>
          <w:jc w:val="center"/>
        </w:trPr>
        <w:tc>
          <w:tcPr>
            <w:tcW w:w="2160" w:type="dxa"/>
          </w:tcPr>
          <w:p w14:paraId="73DCB1E3" w14:textId="77777777" w:rsidR="0007017D" w:rsidRDefault="005C263B">
            <w:r>
              <w:rPr>
                <w:sz w:val="20"/>
              </w:rPr>
              <w:t>Information ratio</w:t>
            </w:r>
          </w:p>
        </w:tc>
        <w:tc>
          <w:tcPr>
            <w:tcW w:w="7200" w:type="dxa"/>
          </w:tcPr>
          <w:p w14:paraId="74A1563C" w14:textId="77777777" w:rsidR="0007017D" w:rsidRDefault="005C263B">
            <w:r>
              <w:rPr>
                <w:sz w:val="20"/>
              </w:rPr>
              <w:t>Annualised active return (versus the benchmark) divided by the volatility of that active return (tracking error).</w:t>
            </w:r>
          </w:p>
        </w:tc>
      </w:tr>
      <w:tr w:rsidR="0007017D" w14:paraId="55606393" w14:textId="77777777">
        <w:trPr>
          <w:jc w:val="center"/>
        </w:trPr>
        <w:tc>
          <w:tcPr>
            <w:tcW w:w="2160" w:type="dxa"/>
            <w:shd w:val="clear" w:color="auto" w:fill="EDEFF4"/>
          </w:tcPr>
          <w:p w14:paraId="0E25268B" w14:textId="77777777" w:rsidR="0007017D" w:rsidRDefault="005C263B">
            <w:r>
              <w:rPr>
                <w:sz w:val="20"/>
              </w:rPr>
              <w:t>Monte Carlo cone</w:t>
            </w:r>
          </w:p>
        </w:tc>
        <w:tc>
          <w:tcPr>
            <w:tcW w:w="7200" w:type="dxa"/>
            <w:shd w:val="clear" w:color="auto" w:fill="EDEFF4"/>
          </w:tcPr>
          <w:p w14:paraId="42446841" w14:textId="77777777" w:rsidR="0007017D" w:rsidRDefault="005C263B">
            <w:r>
              <w:rPr>
                <w:sz w:val="20"/>
              </w:rPr>
              <w:t>A range of simulated future equity paths produced by resampling a backtest's own trade returns, used to visualise the spread of plausible outcomes.</w:t>
            </w:r>
          </w:p>
        </w:tc>
      </w:tr>
      <w:tr w:rsidR="0007017D" w14:paraId="1DA2F405" w14:textId="77777777">
        <w:trPr>
          <w:jc w:val="center"/>
        </w:trPr>
        <w:tc>
          <w:tcPr>
            <w:tcW w:w="2160" w:type="dxa"/>
          </w:tcPr>
          <w:p w14:paraId="6DD8CFB2" w14:textId="77777777" w:rsidR="0007017D" w:rsidRDefault="005C263B">
            <w:r>
              <w:rPr>
                <w:sz w:val="20"/>
              </w:rPr>
              <w:t>Regime</w:t>
            </w:r>
          </w:p>
        </w:tc>
        <w:tc>
          <w:tcPr>
            <w:tcW w:w="7200" w:type="dxa"/>
          </w:tcPr>
          <w:p w14:paraId="31A4E2F1" w14:textId="77777777" w:rsidR="0007017D" w:rsidRDefault="005C263B">
            <w:r>
              <w:rPr>
                <w:sz w:val="20"/>
              </w:rPr>
              <w:t>One of seven classified market states (bear, bull, high_vol, low_vol, recession, recovery, sideways) used to gate which strategies are active and to scale position sizing.</w:t>
            </w:r>
          </w:p>
        </w:tc>
      </w:tr>
      <w:tr w:rsidR="0007017D" w14:paraId="4883E312" w14:textId="77777777">
        <w:trPr>
          <w:jc w:val="center"/>
        </w:trPr>
        <w:tc>
          <w:tcPr>
            <w:tcW w:w="2160" w:type="dxa"/>
            <w:shd w:val="clear" w:color="auto" w:fill="EDEFF4"/>
          </w:tcPr>
          <w:p w14:paraId="0F782DB3" w14:textId="77777777" w:rsidR="0007017D" w:rsidRDefault="005C263B">
            <w:r>
              <w:rPr>
                <w:sz w:val="20"/>
              </w:rPr>
              <w:t>Exposure scalar</w:t>
            </w:r>
          </w:p>
        </w:tc>
        <w:tc>
          <w:tcPr>
            <w:tcW w:w="7200" w:type="dxa"/>
            <w:shd w:val="clear" w:color="auto" w:fill="EDEFF4"/>
          </w:tcPr>
          <w:p w14:paraId="107DE341" w14:textId="77777777" w:rsidR="0007017D" w:rsidRDefault="005C263B">
            <w:r>
              <w:rPr>
                <w:sz w:val="20"/>
              </w:rPr>
              <w:t>The portfolio-wide position-sizing multiplier associated with the current regime.</w:t>
            </w:r>
          </w:p>
        </w:tc>
      </w:tr>
      <w:tr w:rsidR="0007017D" w14:paraId="500EBE77" w14:textId="77777777">
        <w:trPr>
          <w:jc w:val="center"/>
        </w:trPr>
        <w:tc>
          <w:tcPr>
            <w:tcW w:w="2160" w:type="dxa"/>
          </w:tcPr>
          <w:p w14:paraId="06AAF4B2" w14:textId="77777777" w:rsidR="0007017D" w:rsidRDefault="005C263B">
            <w:r>
              <w:rPr>
                <w:sz w:val="20"/>
              </w:rPr>
              <w:t>Kill-switch</w:t>
            </w:r>
          </w:p>
        </w:tc>
        <w:tc>
          <w:tcPr>
            <w:tcW w:w="7200" w:type="dxa"/>
          </w:tcPr>
          <w:p w14:paraId="677A0B42" w14:textId="77777777" w:rsidR="0007017D" w:rsidRDefault="005C263B">
            <w:r>
              <w:rPr>
                <w:sz w:val="20"/>
              </w:rPr>
              <w:t>A single control that immediately halts all new order flow; can be triggered manually or automatically by several risk conditions.</w:t>
            </w:r>
          </w:p>
        </w:tc>
      </w:tr>
      <w:tr w:rsidR="0007017D" w14:paraId="1ECC1825" w14:textId="77777777">
        <w:trPr>
          <w:jc w:val="center"/>
        </w:trPr>
        <w:tc>
          <w:tcPr>
            <w:tcW w:w="2160" w:type="dxa"/>
            <w:shd w:val="clear" w:color="auto" w:fill="EDEFF4"/>
          </w:tcPr>
          <w:p w14:paraId="60ADACC0" w14:textId="77777777" w:rsidR="0007017D" w:rsidRDefault="005C263B">
            <w:r>
              <w:rPr>
                <w:sz w:val="20"/>
              </w:rPr>
              <w:t>Sign-off</w:t>
            </w:r>
          </w:p>
        </w:tc>
        <w:tc>
          <w:tcPr>
            <w:tcW w:w="7200" w:type="dxa"/>
            <w:shd w:val="clear" w:color="auto" w:fill="EDEFF4"/>
          </w:tcPr>
          <w:p w14:paraId="01C93392" w14:textId="77777777" w:rsidR="0007017D" w:rsidRDefault="005C263B">
            <w:r>
              <w:rPr>
                <w:sz w:val="20"/>
              </w:rPr>
              <w:t>The explicit, human-attributed confirmation required before any order is transmitted to a broker.</w:t>
            </w:r>
          </w:p>
        </w:tc>
      </w:tr>
      <w:tr w:rsidR="0007017D" w14:paraId="327D445A" w14:textId="77777777">
        <w:trPr>
          <w:jc w:val="center"/>
        </w:trPr>
        <w:tc>
          <w:tcPr>
            <w:tcW w:w="2160" w:type="dxa"/>
          </w:tcPr>
          <w:p w14:paraId="16C70E73" w14:textId="77777777" w:rsidR="0007017D" w:rsidRDefault="005C263B">
            <w:r>
              <w:rPr>
                <w:sz w:val="20"/>
              </w:rPr>
              <w:t>Paper trading</w:t>
            </w:r>
          </w:p>
        </w:tc>
        <w:tc>
          <w:tcPr>
            <w:tcW w:w="7200" w:type="dxa"/>
          </w:tcPr>
          <w:p w14:paraId="6D82156F" w14:textId="77777777" w:rsidR="0007017D" w:rsidRDefault="005C263B">
            <w:r>
              <w:rPr>
                <w:sz w:val="20"/>
              </w:rPr>
              <w:t>Simulated trading against a mock broker; no real money or real orders are involved.</w:t>
            </w:r>
          </w:p>
        </w:tc>
      </w:tr>
      <w:tr w:rsidR="0007017D" w14:paraId="2C7A4B40" w14:textId="77777777">
        <w:trPr>
          <w:jc w:val="center"/>
        </w:trPr>
        <w:tc>
          <w:tcPr>
            <w:tcW w:w="2160" w:type="dxa"/>
            <w:shd w:val="clear" w:color="auto" w:fill="EDEFF4"/>
          </w:tcPr>
          <w:p w14:paraId="0AB40272" w14:textId="77777777" w:rsidR="0007017D" w:rsidRDefault="005C263B">
            <w:r>
              <w:rPr>
                <w:sz w:val="20"/>
              </w:rPr>
              <w:t>Live trading</w:t>
            </w:r>
          </w:p>
        </w:tc>
        <w:tc>
          <w:tcPr>
            <w:tcW w:w="7200" w:type="dxa"/>
            <w:shd w:val="clear" w:color="auto" w:fill="EDEFF4"/>
          </w:tcPr>
          <w:p w14:paraId="36CE8969" w14:textId="77777777" w:rsidR="0007017D" w:rsidRDefault="005C263B">
            <w:r>
              <w:rPr>
                <w:sz w:val="20"/>
              </w:rPr>
              <w:t>Trading against a real, connected broker; requires an explicit configuration change and is never the default.</w:t>
            </w:r>
          </w:p>
        </w:tc>
      </w:tr>
    </w:tbl>
    <w:p w14:paraId="6AA5A260" w14:textId="77777777" w:rsidR="0007017D" w:rsidRDefault="0007017D"/>
    <w:sectPr w:rsidR="0007017D" w:rsidSect="00034616">
      <w:headerReference w:type="default" r:id="rId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06C1F6" w14:textId="77777777" w:rsidR="005C263B" w:rsidRDefault="005C263B">
      <w:pPr>
        <w:spacing w:after="0" w:line="240" w:lineRule="auto"/>
      </w:pPr>
      <w:r>
        <w:separator/>
      </w:r>
    </w:p>
  </w:endnote>
  <w:endnote w:type="continuationSeparator" w:id="0">
    <w:p w14:paraId="56976CBF" w14:textId="77777777" w:rsidR="005C263B" w:rsidRDefault="005C26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EE38F" w14:textId="77777777" w:rsidR="0007017D" w:rsidRDefault="005C263B">
    <w:pPr>
      <w:pStyle w:val="Footer"/>
      <w:jc w:val="center"/>
    </w:pPr>
    <w:r>
      <w:rPr>
        <w:color w:val="595959"/>
        <w:sz w:val="16"/>
      </w:rPr>
      <w:t xml:space="preserve">Page </w:t>
    </w:r>
    <w:r>
      <w:fldChar w:fldCharType="begin"/>
    </w:r>
    <w:r>
      <w:instrText>PAGE</w:instrText>
    </w:r>
    <w:r>
      <w:fldChar w:fldCharType="separate"/>
    </w:r>
    <w:r>
      <w:rPr>
        <w:noProof/>
      </w:rPr>
      <w:t>1</w:t>
    </w:r>
    <w:r>
      <w:fldChar w:fldCharType="end"/>
    </w:r>
    <w:r>
      <w:rPr>
        <w:color w:val="595959"/>
        <w:sz w:val="16"/>
      </w:rPr>
      <w:t xml:space="preserve"> of </w:t>
    </w:r>
    <w:r>
      <w:fldChar w:fldCharType="begin"/>
    </w:r>
    <w:r>
      <w:instrText>NUMPAGES</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863A16" w14:textId="77777777" w:rsidR="005C263B" w:rsidRDefault="005C263B">
      <w:pPr>
        <w:spacing w:after="0" w:line="240" w:lineRule="auto"/>
      </w:pPr>
      <w:r>
        <w:separator/>
      </w:r>
    </w:p>
  </w:footnote>
  <w:footnote w:type="continuationSeparator" w:id="0">
    <w:p w14:paraId="5CAE2833" w14:textId="77777777" w:rsidR="005C263B" w:rsidRDefault="005C26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98F61" w14:textId="77777777" w:rsidR="0007017D" w:rsidRDefault="005C263B">
    <w:pPr>
      <w:pStyle w:val="Header"/>
      <w:jc w:val="right"/>
    </w:pPr>
    <w:r>
      <w:rPr>
        <w:color w:val="595959"/>
        <w:sz w:val="16"/>
      </w:rPr>
      <w:t>Quant Advisory Terminal —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6540875">
    <w:abstractNumId w:val="8"/>
  </w:num>
  <w:num w:numId="2" w16cid:durableId="142433761">
    <w:abstractNumId w:val="6"/>
  </w:num>
  <w:num w:numId="3" w16cid:durableId="1875001442">
    <w:abstractNumId w:val="5"/>
  </w:num>
  <w:num w:numId="4" w16cid:durableId="887690525">
    <w:abstractNumId w:val="4"/>
  </w:num>
  <w:num w:numId="5" w16cid:durableId="1175268961">
    <w:abstractNumId w:val="7"/>
  </w:num>
  <w:num w:numId="6" w16cid:durableId="1542744627">
    <w:abstractNumId w:val="3"/>
  </w:num>
  <w:num w:numId="7" w16cid:durableId="46220335">
    <w:abstractNumId w:val="2"/>
  </w:num>
  <w:num w:numId="8" w16cid:durableId="1946645464">
    <w:abstractNumId w:val="1"/>
  </w:num>
  <w:num w:numId="9" w16cid:durableId="92823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17D"/>
    <w:rsid w:val="0015074B"/>
    <w:rsid w:val="001E34D5"/>
    <w:rsid w:val="0029639D"/>
    <w:rsid w:val="00326F90"/>
    <w:rsid w:val="005C263B"/>
    <w:rsid w:val="008A7BC3"/>
    <w:rsid w:val="009B28B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38FD74"/>
  <w14:defaultImageDpi w14:val="300"/>
  <w15:docId w15:val="{F0564A26-F551-4E9D-A04B-D5E94B752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5395"/>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C263B"/>
    <w:pPr>
      <w:spacing w:after="100"/>
    </w:pPr>
  </w:style>
  <w:style w:type="paragraph" w:styleId="TOC2">
    <w:name w:val="toc 2"/>
    <w:basedOn w:val="Normal"/>
    <w:next w:val="Normal"/>
    <w:autoRedefine/>
    <w:uiPriority w:val="39"/>
    <w:unhideWhenUsed/>
    <w:rsid w:val="005C263B"/>
    <w:pPr>
      <w:spacing w:after="100"/>
      <w:ind w:left="210"/>
    </w:pPr>
  </w:style>
  <w:style w:type="character" w:styleId="Hyperlink">
    <w:name w:val="Hyperlink"/>
    <w:basedOn w:val="DefaultParagraphFont"/>
    <w:uiPriority w:val="99"/>
    <w:unhideWhenUsed/>
    <w:rsid w:val="005C263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4033</Words>
  <Characters>22993</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Darren Saunders</cp:lastModifiedBy>
  <cp:revision>3</cp:revision>
  <cp:lastPrinted>2026-07-24T22:48:00Z</cp:lastPrinted>
  <dcterms:created xsi:type="dcterms:W3CDTF">2013-12-23T23:15:00Z</dcterms:created>
  <dcterms:modified xsi:type="dcterms:W3CDTF">2026-07-24T22:51:00Z</dcterms:modified>
  <cp:category/>
</cp:coreProperties>
</file>