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2.9  |  Milestone M26</w:t>
      </w:r>
    </w:p>
    <w:p>
      <w:pPr>
        <w:jc w:val="center"/>
      </w:pPr>
      <w:r>
        <w:rPr>
          <w:sz w:val="22"/>
        </w:rPr>
        <w:t>2026-08-01</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You are told when prices stop</w:t>
            </w:r>
          </w:p>
        </w:tc>
        <w:tc>
          <w:tcPr>
            <w:tcW w:type="dxa" w:w="4320"/>
          </w:tcPr>
          <w:p>
            <w:r>
              <w:t>A market-data outage now appears on the banner instead of being silent, one unknown ticker can no longer block the whole feed, and a dropped feed reconnects by itself.</w:t>
            </w:r>
          </w:p>
        </w:tc>
      </w:tr>
      <w:tr>
        <w:tc>
          <w:tcPr>
            <w:tcW w:type="dxa" w:w="4320"/>
          </w:tcPr>
          <w:p>
            <w:r>
              <w:t>Positions you did not open</w:t>
            </w:r>
          </w:p>
        </w:tc>
        <w:tc>
          <w:tcPr>
            <w:tcW w:type="dxa" w:w="4320"/>
          </w:tcPr>
          <w:p>
            <w:r>
              <w:t>The Dashboard now says when holdings that were already in the account are consuming the risk budget, and what to do about it (Section 3.4).</w:t>
            </w:r>
          </w:p>
        </w:tc>
      </w:tr>
      <w:tr>
        <w:tc>
          <w:tcPr>
            <w:tcW w:type="dxa" w:w="4320"/>
          </w:tcPr>
          <w:p>
            <w:r>
              <w:t>A halt you cannot miss</w:t>
            </w:r>
          </w:p>
        </w:tc>
        <w:tc>
          <w:tcPr>
            <w:tcW w:type="dxa" w:w="4320"/>
          </w:tcPr>
          <w:p>
            <w:r>
              <w:t>Every kill-switch trip and reset now changes the execution banner on every screen and writes a line to the log, whichever path tripped it (Section 6).</w:t>
            </w:r>
          </w:p>
        </w:tc>
      </w:tr>
      <w:tr>
        <w:tc>
          <w:tcPr>
            <w:tcW w:type="dxa" w:w="4320"/>
          </w:tcPr>
          <w:p>
            <w:r>
              <w:t>Metrics tab</w:t>
            </w:r>
          </w:p>
        </w:tc>
        <w:tc>
          <w:tcPr>
            <w:tcW w:type="dxa" w:w="4320"/>
          </w:tcPr>
          <w:p>
            <w:r>
              <w:t>Expectancy, average win against average loss, holding period, exposure, trade frequency and recovery factor on the Performance screen and in the reports (Section 10.5).</w:t>
            </w:r>
          </w:p>
        </w:tc>
      </w:tr>
      <w:tr>
        <w:tc>
          <w:tcPr>
            <w:tcW w:type="dxa" w:w="4320"/>
          </w:tcPr>
          <w:p>
            <w:r>
              <w:t>Stable storage location</w:t>
            </w:r>
          </w:p>
        </w:tc>
        <w:tc>
          <w:tcPr>
            <w:tcW w:type="dxa" w:w="4320"/>
          </w:tcPr>
          <w:p>
            <w:r>
              <w:t>Settings and records live in one per-user directory instead of beside whatever folder the application was launched from, and are migrated there on first run (Section 11.7).</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One per-user directory - %LOCALAPPDATA%\QuantAdvisoryTerminal - holding a .env of non-secret settings and a data folder of records. API keys are never in either: they live only in the Windows Credential Manager. The Settings screen names the directory. See Section 11.7.</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11037379"/>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11037379"/>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11037379"/>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11037379"/>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pPr>
        <w:pStyle w:val="Heading2"/>
      </w:pPr>
      <w:r>
        <w:t>3.4 Positions You Did Not Open</w:t>
      </w:r>
    </w:p>
    <w:p>
      <w:r>
        <w:t>When the application starts it takes note of whatever the account already holds - positions from a previous session, from another program, or bought by hand. It has to: comparing an application that has traded nothing against an account that already holds shares would read a perfectly healthy account as a discrepancy and halt trading on every launch.</w:t>
      </w:r>
    </w:p>
    <w:p>
      <w:r>
        <w:t>Those holdings have a cost that is easy to miss. The application did not open them, so it has no record of a protective stop on them, and it treats an unknown stop as no stop at all. The whole value of such a position counts against the risk budget. Seven inherited holdings in a hundred-thousand-dollar account were enough to put risk-at-stop at thirty percent against a five percent limit - which is to say every new trade was refused, all day, and nothing on screen said so.</w:t>
      </w:r>
    </w:p>
    <w:p>
      <w:r>
        <w:t>A panel now appears beneath the market session banner whenever this is happening. It names the holdings, largest first, and states how much of the budget they are using. Amber means they are consuming it; red means it is exhausted and nothing new is being opened. When there is nothing to report the panel is not there at all.</w:t>
      </w:r>
    </w:p>
    <w:tbl>
      <w:tblPr>
        <w:tblStyle w:val="TableGrid"/>
        <w:tblW w:type="auto" w:w="0"/>
        <w:tblLook w:firstColumn="1" w:firstRow="1" w:lastColumn="0" w:lastRow="0" w:noHBand="0" w:noVBand="1" w:val="04A0"/>
      </w:tblPr>
      <w:tblGrid>
        <w:gridCol w:w="8640"/>
      </w:tblGrid>
      <w:tr>
        <w:tc>
          <w:tcPr>
            <w:tcW w:type="dxa" w:w="8640"/>
          </w:tcPr>
          <w:p>
            <w:r>
              <w:rPr>
                <w:b/>
                <w:color w:val="1B3A5F"/>
              </w:rPr>
              <w:t>Two ways to clear it</w:t>
            </w:r>
          </w:p>
          <w:p>
            <w:r>
              <w:t>Attach a stop to each inherited position, which reduces its counted risk from the whole value to the distance down to the stop; or close them and let the strategies open positions the application has a full record of. Either way the panel disappears on the next refresh - it follows what you actually hold, so it can never outlive the situation it is describing. If you are starting a test and want clean figures, closing them is the better option: every performance measure keys off an entry the application recorded, and an inherited position has none.</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 Clicking it also changes the execution banner at the top of every screen, so a halt made here is visible from wherever you happen to be looking.</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tbl>
      <w:tblPr>
        <w:tblStyle w:val="TableGrid"/>
        <w:tblW w:type="auto" w:w="0"/>
        <w:tblLook w:firstColumn="1" w:firstRow="1" w:lastColumn="0" w:lastRow="0" w:noHBand="0" w:noVBand="1" w:val="04A0"/>
      </w:tblPr>
      <w:tblGrid>
        <w:gridCol w:w="8640"/>
      </w:tblGrid>
      <w:tr>
        <w:tc>
          <w:tcPr>
            <w:tcW w:type="dxa" w:w="8640"/>
          </w:tcPr>
          <w:p>
            <w:r>
              <w:rPr>
                <w:b/>
                <w:color w:val="1B3A5F"/>
              </w:rPr>
              <w:t>You will always be told</w:t>
            </w:r>
          </w:p>
          <w:p>
            <w:r>
              <w:t>However the switch trips, three things happen together: the Risk Console button turns red, the execution banner across the top of every screen changes to EXECUTION HALTED and names the cause, and a line is written to the log. If two causes arrive at once the banner keeps the first, because that is the one that stopped you - a later staleness warning must not overwrite 'daily loss limit reached'. Resetting the switch clears all three.</w:t>
            </w:r>
          </w:p>
        </w:tc>
      </w:tr>
    </w:tbl>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8A. Position Protection and Self-Healing</w:t>
      </w:r>
    </w:p>
    <w:p>
      <w:r>
        <w:t>Every position this application opens is protected at the broker, not in this process. The distinction is the whole point: a stop held only in memory disappears the moment the application does, leaving the position naked through a crash, a dropped connection or a Windows update.</w:t>
      </w:r>
    </w:p>
    <w:p>
      <w:pPr>
        <w:pStyle w:val="Heading2"/>
      </w:pPr>
      <w:r>
        <w:t>8A.1 How a Position Is Protected</w:t>
      </w:r>
    </w:p>
    <w:p>
      <w:r>
        <w:t>A new entry is submitted as a bracket: one order carrying the buy, a protective stop below it and a profit target above it. The two exit legs are linked as an OCO (one-cancels-other), so whichever is reached first executes and the broker cancels the other. Without that link the two are independent, and a price that runs to the target and later falls through the stop would sell the position twice.</w:t>
      </w:r>
    </w:p>
    <w:p>
      <w:r>
        <w:t>Bracketed entries are submitted Good-Til-Cancelled. Submitted for the day instead, the target leg expires at the close and the broker cancels the paired stop with it - which is exactly how six positions spent a weekend unprotected on 31 July 2026.</w:t>
      </w:r>
    </w:p>
    <w:p>
      <w:pPr>
        <w:pStyle w:val="Heading2"/>
      </w:pPr>
      <w:r>
        <w:t>8A.2 What Happens When Protection Disappears</w:t>
      </w:r>
    </w:p>
    <w:p>
      <w:r>
        <w:t>Protection can vanish for reasons this application does not control: an expiry, a broker-side cancellation, or a manual cancellation in the broker's own interface. Three mechanisms cover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Mechanism</w:t>
            </w:r>
          </w:p>
        </w:tc>
        <w:tc>
          <w:tcPr>
            <w:tcW w:type="dxa" w:w="2880"/>
          </w:tcPr>
          <w:p>
            <w:r/>
            <w:r>
              <w:rPr>
                <w:b/>
              </w:rPr>
              <w:t>When it runs</w:t>
            </w:r>
          </w:p>
        </w:tc>
        <w:tc>
          <w:tcPr>
            <w:tcW w:type="dxa" w:w="2880"/>
          </w:tcPr>
          <w:p>
            <w:r/>
            <w:r>
              <w:rPr>
                <w:b/>
              </w:rPr>
              <w:t>What it does</w:t>
            </w:r>
          </w:p>
        </w:tc>
      </w:tr>
      <w:tr>
        <w:tc>
          <w:tcPr>
            <w:tcW w:type="dxa" w:w="2880"/>
          </w:tcPr>
          <w:p>
            <w:r>
              <w:t>Verification</w:t>
            </w:r>
          </w:p>
        </w:tc>
        <w:tc>
          <w:tcPr>
            <w:tcW w:type="dxa" w:w="2880"/>
          </w:tcPr>
          <w:p>
            <w:r>
              <w:t>Every reconciliation poll</w:t>
            </w:r>
          </w:p>
        </w:tc>
        <w:tc>
          <w:tcPr>
            <w:tcW w:type="dxa" w:w="2880"/>
          </w:tcPr>
          <w:p>
            <w:r>
              <w:t>Asks the broker what is actually resting and drops any stop this application believes in that is not there. A position whose protection is unknown counts its FULL VALUE against the risk budget.</w:t>
            </w:r>
          </w:p>
        </w:tc>
      </w:tr>
      <w:tr>
        <w:tc>
          <w:tcPr>
            <w:tcW w:type="dxa" w:w="2880"/>
          </w:tcPr>
          <w:p>
            <w:r>
              <w:t>Re-arm at startup</w:t>
            </w:r>
          </w:p>
        </w:tc>
        <w:tc>
          <w:tcPr>
            <w:tcW w:type="dxa" w:w="2880"/>
          </w:tcPr>
          <w:p>
            <w:r>
              <w:t>Every launch</w:t>
            </w:r>
          </w:p>
        </w:tc>
        <w:tc>
          <w:tcPr>
            <w:tcW w:type="dxa" w:w="2880"/>
          </w:tcPr>
          <w:p>
            <w:r>
              <w:t>Proposes a replacement OCO for each held position the broker is not protecting, using the stop and target the position was originally sized against.</w:t>
            </w:r>
          </w:p>
        </w:tc>
      </w:tr>
      <w:tr>
        <w:tc>
          <w:tcPr>
            <w:tcW w:type="dxa" w:w="2880"/>
          </w:tcPr>
          <w:p>
            <w:r>
              <w:t>Protection sweep</w:t>
            </w:r>
          </w:p>
        </w:tc>
        <w:tc>
          <w:tcPr>
            <w:tcW w:type="dxa" w:w="2880"/>
          </w:tcPr>
          <w:p>
            <w:r>
              <w:t>Every five minutes</w:t>
            </w:r>
          </w:p>
        </w:tc>
        <w:tc>
          <w:tcPr>
            <w:tcW w:type="dxa" w:w="2880"/>
          </w:tcPr>
          <w:p>
            <w:r>
              <w:t>The same repair on a timer, so a stop lost mid-session is replaced without waiting for a restart.</w:t>
            </w:r>
          </w:p>
        </w:tc>
      </w:tr>
    </w:tbl>
    <w:p/>
    <w:p>
      <w:r>
        <w:t>The replacement level always comes from the recorded entry, never from a fresh calculation. The risk budget was spent on the distance the position was sized against, so protecting it at any other distance protects an amount nobody approved. A position with no recorded entry stop gets nothing and is logged as unprotected - an invented level would look identical to a real one on every screen.</w:t>
      </w:r>
    </w:p>
    <w:tbl>
      <w:tblPr>
        <w:tblStyle w:val="TableGrid"/>
        <w:tblW w:type="auto" w:w="0"/>
        <w:tblLook w:firstColumn="1" w:firstRow="1" w:lastColumn="0" w:lastRow="0" w:noHBand="0" w:noVBand="1" w:val="04A0"/>
      </w:tblPr>
      <w:tblGrid>
        <w:gridCol w:w="8640"/>
      </w:tblGrid>
      <w:tr>
        <w:tc>
          <w:tcPr>
            <w:tcW w:type="dxa" w:w="8640"/>
          </w:tcPr>
          <w:p>
            <w:r>
              <w:rPr>
                <w:b/>
                <w:color w:val="1B3A5F"/>
              </w:rPr>
              <w:t>Protective orders are not gated on market hours</w:t>
            </w:r>
          </w:p>
          <w:p>
            <w:r>
              <w:t>A resting stop executes nothing until its level trades, so a closed market is the right time to place one rather than a reason to wait. Every other autonomous order remains blocked outside session hours. The kill-switch, recommend mode and the live-account rule all still take precedence.</w:t>
            </w:r>
          </w:p>
        </w:tc>
      </w:tr>
    </w:tbl>
    <w:p/>
    <w:p>
      <w:pPr>
        <w:pStyle w:val="Heading2"/>
      </w:pPr>
      <w:r>
        <w:t>8A.3 When a Protective Order Fires</w:t>
      </w:r>
    </w:p>
    <w:p>
      <w:r>
        <w:t>A stop or target executing closes the position entirely at the broker: no order leaves this application, so nothing here observes it directly. Each reconciliation poll therefore asks the broker for executions it did not send, records them as closed trades with their real fill prices, and updates its own position tracking before comparing anything.</w:t>
      </w:r>
    </w:p>
    <w:p>
      <w:r>
        <w:t>Without that step a stop doing its job would read as a discrepancy between tracked and actual holdings, trip the kill-switch and halt the session - and the closed trade would never reach the Performance screen at all.</w:t>
      </w:r>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226547"/>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226547"/>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pPr>
        <w:pStyle w:val="Heading2"/>
      </w:pPr>
      <w:r>
        <w:t>10.5 The Metrics Tab</w:t>
      </w:r>
    </w:p>
    <w:p>
      <w:r>
        <w:t>The trade list says what the system did. This tab says what the system is, which is the question a promotion decision actually turns on. Every row carries a one-line note on what it tells you.</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Metric</w:t>
            </w:r>
          </w:p>
        </w:tc>
        <w:tc>
          <w:tcPr>
            <w:tcW w:type="dxa" w:w="4320"/>
          </w:tcPr>
          <w:p>
            <w:r/>
            <w:r>
              <w:rPr>
                <w:b/>
              </w:rPr>
              <w:t>What it tells you</w:t>
            </w:r>
          </w:p>
        </w:tc>
      </w:tr>
      <w:tr>
        <w:tc>
          <w:tcPr>
            <w:tcW w:type="dxa" w:w="4320"/>
          </w:tcPr>
          <w:p>
            <w:r>
              <w:t>Expectancy</w:t>
            </w:r>
          </w:p>
        </w:tc>
        <w:tc>
          <w:tcPr>
            <w:tcW w:type="dxa" w:w="4320"/>
          </w:tcPr>
          <w:p>
            <w:r>
              <w:t>Expected profit per trade. The most decision-relevant figure here: a high win rate with a negative expectancy is a losing system that feels good.</w:t>
            </w:r>
          </w:p>
        </w:tc>
      </w:tr>
      <w:tr>
        <w:tc>
          <w:tcPr>
            <w:tcW w:type="dxa" w:w="4320"/>
          </w:tcPr>
          <w:p>
            <w:r>
              <w:t>Win rate</w:t>
            </w:r>
          </w:p>
        </w:tc>
        <w:tc>
          <w:tcPr>
            <w:tcW w:type="dxa" w:w="4320"/>
          </w:tcPr>
          <w:p>
            <w:r>
              <w:t>Share of closed trades that made money. Read it beside expectancy or not at all.</w:t>
            </w:r>
          </w:p>
        </w:tc>
      </w:tr>
      <w:tr>
        <w:tc>
          <w:tcPr>
            <w:tcW w:type="dxa" w:w="4320"/>
          </w:tcPr>
          <w:p>
            <w:r>
              <w:t>Avg win / avg loss</w:t>
            </w:r>
          </w:p>
        </w:tc>
        <w:tc>
          <w:tcPr>
            <w:tcW w:type="dxa" w:w="4320"/>
          </w:tcPr>
          <w:p>
            <w:r>
              <w:t>What a winner makes against what a loser costs. The promotion gate already judges on this ratio.</w:t>
            </w:r>
          </w:p>
        </w:tc>
      </w:tr>
      <w:tr>
        <w:tc>
          <w:tcPr>
            <w:tcW w:type="dxa" w:w="4320"/>
          </w:tcPr>
          <w:p>
            <w:r>
              <w:t>Average R</w:t>
            </w:r>
          </w:p>
        </w:tc>
        <w:tc>
          <w:tcPr>
            <w:tcW w:type="dxa" w:w="4320"/>
          </w:tcPr>
          <w:p>
            <w:r>
              <w:t>Outcome per unit of risk, over the trades that had a measurable stop. The row states how many that was, because it is usually fewer than the total.</w:t>
            </w:r>
          </w:p>
        </w:tc>
      </w:tr>
      <w:tr>
        <w:tc>
          <w:tcPr>
            <w:tcW w:type="dxa" w:w="4320"/>
          </w:tcPr>
          <w:p>
            <w:r>
              <w:t>Holding period</w:t>
            </w:r>
          </w:p>
        </w:tc>
        <w:tc>
          <w:tcPr>
            <w:tcW w:type="dxa" w:w="4320"/>
          </w:tcPr>
          <w:p>
            <w:r>
              <w:t>Mean time from entry to exit. Decides whether the session-phase and daily-loss rails bind constantly or barely at all.</w:t>
            </w:r>
          </w:p>
        </w:tc>
      </w:tr>
      <w:tr>
        <w:tc>
          <w:tcPr>
            <w:tcW w:type="dxa" w:w="4320"/>
          </w:tcPr>
          <w:p>
            <w:r>
              <w:t>Trades per week</w:t>
            </w:r>
          </w:p>
        </w:tc>
        <w:tc>
          <w:tcPr>
            <w:tcW w:type="dxa" w:w="4320"/>
          </w:tcPr>
          <w:p>
            <w:r>
              <w:t>Turnover over the period actually traded - the read on whether the system is doing anything.</w:t>
            </w:r>
          </w:p>
        </w:tc>
      </w:tr>
      <w:tr>
        <w:tc>
          <w:tcPr>
            <w:tcW w:type="dxa" w:w="4320"/>
          </w:tcPr>
          <w:p>
            <w:r>
              <w:t>Average and peak exposure</w:t>
            </w:r>
          </w:p>
        </w:tc>
        <w:tc>
          <w:tcPr>
            <w:tcW w:type="dxa" w:w="4320"/>
          </w:tcPr>
          <w:p>
            <w:r>
              <w:t>Share of equity held in positions rather than cash. Two percent on ten percent deployed is not two percent on ninety-five.</w:t>
            </w:r>
          </w:p>
        </w:tc>
      </w:tr>
      <w:tr>
        <w:tc>
          <w:tcPr>
            <w:tcW w:type="dxa" w:w="4320"/>
          </w:tcPr>
          <w:p>
            <w:r>
              <w:t>Recovery factor</w:t>
            </w:r>
          </w:p>
        </w:tc>
        <w:tc>
          <w:tcPr>
            <w:tcW w:type="dxa" w:w="4320"/>
          </w:tcPr>
          <w:p>
            <w:r>
              <w:t>Net profit against the worst drawdown that produced it. Preferred to Calmar on short samples because it does not annualise.</w:t>
            </w:r>
          </w:p>
        </w:tc>
      </w:tr>
      <w:tr>
        <w:tc>
          <w:tcPr>
            <w:tcW w:type="dxa" w:w="4320"/>
          </w:tcPr>
          <w:p>
            <w:r>
              <w:t>Max drawdown, Sharpe, profit factor</w:t>
            </w:r>
          </w:p>
        </w:tc>
        <w:tc>
          <w:tcPr>
            <w:tcW w:type="dxa" w:w="4320"/>
          </w:tcPr>
          <w:p>
            <w:r>
              <w:t>The conventional risk-adjusted figures, unchanged.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is not a zero</w:t>
            </w:r>
          </w:p>
          <w:p>
            <w:r>
              <w:t>Every metric here reports a dash until there are enough closed trades to support it, and rates additionally need a day of elapsed history. This is deliberate: a figure computed from three trades is noise with a decimal point, and a dash saying 'not enough to tell you yet' is more use than a confident number that means nothing. 'Measured, and it is zero' and 'not enough trades to say' are different claims, and the panel never confuses them.</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10683050"/>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10683050"/>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pPr>
        <w:pStyle w:val="Heading2"/>
      </w:pPr>
      <w:r>
        <w:t>11.7 Where Settings and Records Are Stored</w:t>
      </w:r>
    </w:p>
    <w:p>
      <w:r>
        <w:t>Everything the application owns lives in one per-user directory, named at the bottom of the Settings screen so it is never a guess: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Location</w:t>
            </w:r>
          </w:p>
        </w:tc>
        <w:tc>
          <w:tcPr>
            <w:tcW w:type="dxa" w:w="4320"/>
          </w:tcPr>
          <w:p>
            <w:r/>
            <w:r>
              <w:rPr>
                <w:b/>
              </w:rPr>
              <w:t>Contents</w:t>
            </w:r>
          </w:p>
        </w:tc>
      </w:tr>
      <w:tr>
        <w:tc>
          <w:tcPr>
            <w:tcW w:type="dxa" w:w="4320"/>
          </w:tcPr>
          <w:p>
            <w:r>
              <w:t>%LOCALAPPDATA%\QuantAdvisoryTerminal\.env</w:t>
            </w:r>
          </w:p>
        </w:tc>
        <w:tc>
          <w:tcPr>
            <w:tcW w:type="dxa" w:w="4320"/>
          </w:tcPr>
          <w:p>
            <w:r>
              <w:t>Every non-secret setting the Settings screen writes.</w:t>
            </w:r>
          </w:p>
        </w:tc>
      </w:tr>
      <w:tr>
        <w:tc>
          <w:tcPr>
            <w:tcW w:type="dxa" w:w="4320"/>
          </w:tcPr>
          <w:p>
            <w:r>
              <w:t>%LOCALAPPDATA%\QuantAdvisoryTerminal\data</w:t>
            </w:r>
          </w:p>
        </w:tc>
        <w:tc>
          <w:tcPr>
            <w:tcW w:type="dxa" w:w="4320"/>
          </w:tcPr>
          <w:p>
            <w:r>
              <w:t>Trade ledger, equity curve, decision journal, risk decisions, reports, logs and session exports.</w:t>
            </w:r>
          </w:p>
        </w:tc>
      </w:tr>
      <w:tr>
        <w:tc>
          <w:tcPr>
            <w:tcW w:type="dxa" w:w="4320"/>
          </w:tcPr>
          <w:p>
            <w:r>
              <w:t>Windows Credential Manager</w:t>
            </w:r>
          </w:p>
        </w:tc>
        <w:tc>
          <w:tcPr>
            <w:tcW w:type="dxa" w:w="4320"/>
          </w:tcPr>
          <w:p>
            <w:r>
              <w:t>API keys and secrets. These are never written to .env and never to a log.</w:t>
            </w:r>
          </w:p>
        </w:tc>
      </w:tr>
    </w:tbl>
    <w:p/>
    <w:p>
      <w:r>
        <w:t>The location does not move when the application does, so upgrading to a new build keeps every setting and every record. Setting the QAT_HOME environment variable relocates all of it, which is what a portable installation would do.</w:t>
      </w:r>
    </w:p>
    <w:tbl>
      <w:tblPr>
        <w:tblStyle w:val="TableGrid"/>
        <w:tblW w:type="auto" w:w="0"/>
        <w:tblLook w:firstColumn="1" w:firstRow="1" w:lastColumn="0" w:lastRow="0" w:noHBand="0" w:noVBand="1" w:val="04A0"/>
      </w:tblPr>
      <w:tblGrid>
        <w:gridCol w:w="8640"/>
      </w:tblGrid>
      <w:tr>
        <w:tc>
          <w:tcPr>
            <w:tcW w:type="dxa" w:w="8640"/>
          </w:tcPr>
          <w:p>
            <w:r>
              <w:rPr>
                <w:b/>
                <w:color w:val="1B3A5F"/>
              </w:rPr>
              <w:t>Upgrading from an earlier build</w:t>
            </w:r>
          </w:p>
          <w:p>
            <w:r>
              <w:t>Earlier versions kept settings and records beside whichever folder the application was started from, so the same installation could read different settings depending on how it was launched. On first run, a .env and a data folder found in the working directory are copied into the new location. They are copied and never moved, an existing file at the destination is never overwritten, and what happened is written to the log. Once you are satisfied the new location has everything, the old folders can be deleted by hand - the application no longer reads them.</w:t>
            </w:r>
          </w:p>
        </w:tc>
      </w:tr>
    </w:tbl>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pPr>
        <w:pStyle w:val="Heading2"/>
      </w:pPr>
      <w:r>
        <w:t>A.1 Order and Protection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Bracket</w:t>
            </w:r>
          </w:p>
        </w:tc>
        <w:tc>
          <w:tcPr>
            <w:tcW w:type="dxa" w:w="4320"/>
          </w:tcPr>
          <w:p>
            <w:r>
              <w:t>One submission carrying an entry plus both of its exits - a protective stop below and a profit target above. The exits attach at the broker in the same message, so there is no window in which the position exists unprotected.</w:t>
            </w:r>
          </w:p>
        </w:tc>
      </w:tr>
      <w:tr>
        <w:tc>
          <w:tcPr>
            <w:tcW w:type="dxa" w:w="4320"/>
          </w:tcPr>
          <w:p>
            <w:r>
              <w:t>OCO (one-cancels-other)</w:t>
            </w:r>
          </w:p>
        </w:tc>
        <w:tc>
          <w:tcPr>
            <w:tcW w:type="dxa" w:w="4320"/>
          </w:tcPr>
          <w:p>
            <w:r>
              <w:t>Two linked orders where filling one automatically cancels the other. Used to put a stop and a target back on a position already held, where a bracket cannot be used because there is no entry left to attach to.</w:t>
            </w:r>
          </w:p>
        </w:tc>
      </w:tr>
      <w:tr>
        <w:tc>
          <w:tcPr>
            <w:tcW w:type="dxa" w:w="4320"/>
          </w:tcPr>
          <w:p>
            <w:r>
              <w:t>Protective stop</w:t>
            </w:r>
          </w:p>
        </w:tc>
        <w:tc>
          <w:tcPr>
            <w:tcW w:type="dxa" w:w="4320"/>
          </w:tcPr>
          <w:p>
            <w:r>
              <w:t>A resting sell order that executes if the price falls to a set level. It bounds the loss on a position, and is held AT THE BROKER so that it survives this application closing.</w:t>
            </w:r>
          </w:p>
        </w:tc>
      </w:tr>
      <w:tr>
        <w:tc>
          <w:tcPr>
            <w:tcW w:type="dxa" w:w="4320"/>
          </w:tcPr>
          <w:p>
            <w:r>
              <w:t>Take-profit / target</w:t>
            </w:r>
          </w:p>
        </w:tc>
        <w:tc>
          <w:tcPr>
            <w:tcW w:type="dxa" w:w="4320"/>
          </w:tcPr>
          <w:p>
            <w:r>
              <w:t>A resting sell order that executes if the price rises to a set level. Without one, a position can only be closed by its stop, its time stop, or a strategy exit signal.</w:t>
            </w:r>
          </w:p>
        </w:tc>
      </w:tr>
      <w:tr>
        <w:tc>
          <w:tcPr>
            <w:tcW w:type="dxa" w:w="4320"/>
          </w:tcPr>
          <w:p>
            <w:r>
              <w:t>GTC / DAY</w:t>
            </w:r>
          </w:p>
        </w:tc>
        <w:tc>
          <w:tcPr>
            <w:tcW w:type="dxa" w:w="4320"/>
          </w:tcPr>
          <w:p>
            <w:r>
              <w:t>Good-Til-Cancelled and Day. A DAY order expires at the close; a GTC order rests until filled or cancelled. Protective orders are always GTC - a stop that expires overnight protects nothing overnight.</w:t>
            </w:r>
          </w:p>
        </w:tc>
      </w:tr>
      <w:tr>
        <w:tc>
          <w:tcPr>
            <w:tcW w:type="dxa" w:w="4320"/>
          </w:tcPr>
          <w:p>
            <w:r>
              <w:t>Held (order status)</w:t>
            </w:r>
          </w:p>
        </w:tc>
        <w:tc>
          <w:tcPr>
            <w:tcW w:type="dxa" w:w="4320"/>
          </w:tcPr>
          <w:p>
            <w:r>
              <w:t>A broker status meaning an order is linked into an advanced order set and is waiting rather than working independently. An OCO stop leg typically shows as held while its partner is live. It is still real protection.</w:t>
            </w:r>
          </w:p>
        </w:tc>
      </w:tr>
      <w:tr>
        <w:tc>
          <w:tcPr>
            <w:tcW w:type="dxa" w:w="4320"/>
          </w:tcPr>
          <w:p>
            <w:r>
              <w:t>Resting order</w:t>
            </w:r>
          </w:p>
        </w:tc>
        <w:tc>
          <w:tcPr>
            <w:tcW w:type="dxa" w:w="4320"/>
          </w:tcPr>
          <w:p>
            <w:r>
              <w:t>An order sitting at the broker waiting for its price condition. It consumes no cash and executes nothing until triggered.</w:t>
            </w:r>
          </w:p>
        </w:tc>
      </w:tr>
      <w:tr>
        <w:tc>
          <w:tcPr>
            <w:tcW w:type="dxa" w:w="4320"/>
          </w:tcPr>
          <w:p>
            <w:r>
              <w:t>Broker-side fill</w:t>
            </w:r>
          </w:p>
        </w:tc>
        <w:tc>
          <w:tcPr>
            <w:tcW w:type="dxa" w:w="4320"/>
          </w:tcPr>
          <w:p>
            <w:r>
              <w:t>An execution the broker performed without this application sending an order - a resting stop or target being hit. It must be fetched deliberately, because nothing in this process observes it happening.</w:t>
            </w:r>
          </w:p>
        </w:tc>
      </w:tr>
      <w:tr>
        <w:tc>
          <w:tcPr>
            <w:tcW w:type="dxa" w:w="4320"/>
          </w:tcPr>
          <w:p>
            <w:r>
              <w:t>Adopted position</w:t>
            </w:r>
          </w:p>
        </w:tc>
        <w:tc>
          <w:tcPr>
            <w:tcW w:type="dxa" w:w="4320"/>
          </w:tcPr>
          <w:p>
            <w:r>
              <w:t>A holding already in the account when a session started. Either something else put it there, or this application opened it in an earlier session and is resuming - the screen distinguishes the two.</w:t>
            </w:r>
          </w:p>
        </w:tc>
      </w:tr>
      <w:tr>
        <w:tc>
          <w:tcPr>
            <w:tcW w:type="dxa" w:w="4320"/>
          </w:tcPr>
          <w:p>
            <w:r>
              <w:t>Re-arm</w:t>
            </w:r>
          </w:p>
        </w:tc>
        <w:tc>
          <w:tcPr>
            <w:tcW w:type="dxa" w:w="4320"/>
          </w:tcPr>
          <w:p>
            <w:r>
              <w:t>Replacing protection that has disappeared, using the stop and target the position was originally sized against.</w:t>
            </w:r>
          </w:p>
        </w:tc>
      </w:tr>
      <w:tr>
        <w:tc>
          <w:tcPr>
            <w:tcW w:type="dxa" w:w="4320"/>
          </w:tcPr>
          <w:p>
            <w:r>
              <w:t>Reconciliation</w:t>
            </w:r>
          </w:p>
        </w:tc>
        <w:tc>
          <w:tcPr>
            <w:tcW w:type="dxa" w:w="4320"/>
          </w:tcPr>
          <w:p>
            <w:r>
              <w:t>Comparing this application's record of what it holds against what the broker reports. A mismatch it cannot explain trips the kill-switch, because a wrong view of the account makes every other calculation wrong too.</w:t>
            </w:r>
          </w:p>
        </w:tc>
      </w:tr>
    </w:tbl>
    <w:p/>
    <w:p>
      <w:pPr>
        <w:pStyle w:val="Heading2"/>
      </w:pPr>
      <w:r>
        <w:t>A.2 Risk and Sizing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ATR (Average True Range)</w:t>
            </w:r>
          </w:p>
        </w:tc>
        <w:tc>
          <w:tcPr>
            <w:tcW w:type="dxa" w:w="4320"/>
          </w:tcPr>
          <w:p>
            <w:r>
              <w:t>How far an instrument typically moves in a period. Stop distances are set as a multiple of it, so a volatile name gets a wider stop and a correspondingly smaller position.</w:t>
            </w:r>
          </w:p>
        </w:tc>
      </w:tr>
      <w:tr>
        <w:tc>
          <w:tcPr>
            <w:tcW w:type="dxa" w:w="4320"/>
          </w:tcPr>
          <w:p>
            <w:r>
              <w:t>Risk-at-stop</w:t>
            </w:r>
          </w:p>
        </w:tc>
        <w:tc>
          <w:tcPr>
            <w:tcW w:type="dxa" w:w="4320"/>
          </w:tcPr>
          <w:p>
            <w:r>
              <w:t>What a position would lose if it hit its stop - not what it is worth. A position whose protection is unknown counts its entire value instead.</w:t>
            </w:r>
          </w:p>
        </w:tc>
      </w:tr>
      <w:tr>
        <w:tc>
          <w:tcPr>
            <w:tcW w:type="dxa" w:w="4320"/>
          </w:tcPr>
          <w:p>
            <w:r>
              <w:t>Aggregate risk-at-stop</w:t>
            </w:r>
          </w:p>
        </w:tc>
        <w:tc>
          <w:tcPr>
            <w:tcW w:type="dxa" w:w="4320"/>
          </w:tcPr>
          <w:p>
            <w:r>
              <w:t>The same figure summed across every open position: what the account loses if everything stops out at once. A per-trade limit says nothing about ten trades each individually within budget.</w:t>
            </w:r>
          </w:p>
        </w:tc>
      </w:tr>
      <w:tr>
        <w:tc>
          <w:tcPr>
            <w:tcW w:type="dxa" w:w="4320"/>
          </w:tcPr>
          <w:p>
            <w:r>
              <w:t>Gap budget</w:t>
            </w:r>
          </w:p>
        </w:tc>
        <w:tc>
          <w:tcPr>
            <w:tcW w:type="dxa" w:w="4320"/>
          </w:tcPr>
          <w:p>
            <w:r>
              <w:t>A separate allowance for an overnight gap opening THROUGH a stop rather than trading to it. Measured on notional, because a gap moves the price past a level that never traded.</w:t>
            </w:r>
          </w:p>
        </w:tc>
      </w:tr>
      <w:tr>
        <w:tc>
          <w:tcPr>
            <w:tcW w:type="dxa" w:w="4320"/>
          </w:tcPr>
          <w:p>
            <w:r>
              <w:t>Single-name concentration</w:t>
            </w:r>
          </w:p>
        </w:tc>
        <w:tc>
          <w:tcPr>
            <w:tcW w:type="dxa" w:w="4320"/>
          </w:tcPr>
          <w:p>
            <w:r>
              <w:t>The share of account equity in one ticker.</w:t>
            </w:r>
          </w:p>
        </w:tc>
      </w:tr>
      <w:tr>
        <w:tc>
          <w:tcPr>
            <w:tcW w:type="dxa" w:w="4320"/>
          </w:tcPr>
          <w:p>
            <w:r>
              <w:t>Sector concentration</w:t>
            </w:r>
          </w:p>
        </w:tc>
        <w:tc>
          <w:tcPr>
            <w:tcW w:type="dxa" w:w="4320"/>
          </w:tcPr>
          <w:p>
            <w:r>
              <w:t>The share of account equity in one sector - a proxy for correlation that fails in a crisis, when apparently different sectors move together.</w:t>
            </w:r>
          </w:p>
        </w:tc>
      </w:tr>
      <w:tr>
        <w:tc>
          <w:tcPr>
            <w:tcW w:type="dxa" w:w="4320"/>
          </w:tcPr>
          <w:p>
            <w:r>
              <w:t>Correlated cluster</w:t>
            </w:r>
          </w:p>
        </w:tc>
        <w:tc>
          <w:tcPr>
            <w:tcW w:type="dxa" w:w="4320"/>
          </w:tcPr>
          <w:p>
            <w:r>
              <w:t>Holdings whose returns actually track a candidate at or above a threshold, capped together. Measured rather than labelled: eight positions at high pairwise correlation are one position taken eight times.</w:t>
            </w:r>
          </w:p>
        </w:tc>
      </w:tr>
      <w:tr>
        <w:tc>
          <w:tcPr>
            <w:tcW w:type="dxa" w:w="4320"/>
          </w:tcPr>
          <w:p>
            <w:r>
              <w:t>Trim (versus reject)</w:t>
            </w:r>
          </w:p>
        </w:tc>
        <w:tc>
          <w:tcPr>
            <w:tcW w:type="dxa" w:w="4320"/>
          </w:tcPr>
          <w:p>
            <w:r>
              <w:t>Reducing an order to the size a limit allows instead of refusing it. A cap that refuses rather than resizes stops a strategy trading entirely.</w:t>
            </w:r>
          </w:p>
        </w:tc>
      </w:tr>
      <w:tr>
        <w:tc>
          <w:tcPr>
            <w:tcW w:type="dxa" w:w="4320"/>
          </w:tcPr>
          <w:p>
            <w:r>
              <w:t>Kelly fraction</w:t>
            </w:r>
          </w:p>
        </w:tc>
        <w:tc>
          <w:tcPr>
            <w:tcW w:type="dxa" w:w="4320"/>
          </w:tcPr>
          <w:p>
            <w:r>
              <w:t>A position size derived from win rate and payoff ratio. Used at a fraction of full Kelly, because full Kelly assumes the inputs are exactly right and reacts violently when they are not.</w:t>
            </w:r>
          </w:p>
        </w:tc>
      </w:tr>
      <w:tr>
        <w:tc>
          <w:tcPr>
            <w:tcW w:type="dxa" w:w="4320"/>
          </w:tcPr>
          <w:p>
            <w:r>
              <w:t>Edge estimate</w:t>
            </w:r>
          </w:p>
        </w:tc>
        <w:tc>
          <w:tcPr>
            <w:tcW w:type="dxa" w:w="4320"/>
          </w:tcPr>
          <w:p>
            <w:r>
              <w:t>The win rate and win/loss ratio a strategy is sized on. Documented defaults until it has enough closed trades of its own, then its measured results, clamped so a small sample cannot set the risk.</w:t>
            </w:r>
          </w:p>
        </w:tc>
      </w:tr>
      <w:tr>
        <w:tc>
          <w:tcPr>
            <w:tcW w:type="dxa" w:w="4320"/>
          </w:tcPr>
          <w:p>
            <w:r>
              <w:t>Minimum holding period</w:t>
            </w:r>
          </w:p>
        </w:tc>
        <w:tc>
          <w:tcPr>
            <w:tcW w:type="dxa" w:w="4320"/>
          </w:tcPr>
          <w:p>
            <w:r>
              <w:t>A floor on how long a position is held before a signal may close it, to stop commission costs accumulating on churn.</w:t>
            </w:r>
          </w:p>
        </w:tc>
      </w:tr>
      <w:tr>
        <w:tc>
          <w:tcPr>
            <w:tcW w:type="dxa" w:w="4320"/>
          </w:tcPr>
          <w:p>
            <w:r>
              <w:t>Time stop</w:t>
            </w:r>
          </w:p>
        </w:tc>
        <w:tc>
          <w:tcPr>
            <w:tcW w:type="dxa" w:w="4320"/>
          </w:tcPr>
          <w:p>
            <w:r>
              <w:t>A forced exit on a position whose thesis never resolved, after a set number of trading days.</w:t>
            </w:r>
          </w:p>
        </w:tc>
      </w:tr>
      <w:tr>
        <w:tc>
          <w:tcPr>
            <w:tcW w:type="dxa" w:w="4320"/>
          </w:tcPr>
          <w:p>
            <w:r>
              <w:t>Turnover budget</w:t>
            </w:r>
          </w:p>
        </w:tc>
        <w:tc>
          <w:tcPr>
            <w:tcW w:type="dxa" w:w="4320"/>
          </w:tcPr>
          <w:p>
            <w:r>
              <w:t>A cap on how many new positions may be opened in a week.</w:t>
            </w:r>
          </w:p>
        </w:tc>
      </w:tr>
      <w:tr>
        <w:tc>
          <w:tcPr>
            <w:tcW w:type="dxa" w:w="4320"/>
          </w:tcPr>
          <w:p>
            <w:r>
              <w:t>Commission floor</w:t>
            </w:r>
          </w:p>
        </w:tc>
        <w:tc>
          <w:tcPr>
            <w:tcW w:type="dxa" w:w="4320"/>
          </w:tcPr>
          <w:p>
            <w:r>
              <w:t>A fixed minimum charge per transaction. Trivial on a large position and ruinous on a small one, which is why it must be modelled rather than approximated as a percentage.</w:t>
            </w:r>
          </w:p>
        </w:tc>
      </w:tr>
      <w:tr>
        <w:tc>
          <w:tcPr>
            <w:tcW w:type="dxa" w:w="4320"/>
          </w:tcPr>
          <w:p>
            <w:r>
              <w:t>Slippage</w:t>
            </w:r>
          </w:p>
        </w:tc>
        <w:tc>
          <w:tcPr>
            <w:tcW w:type="dxa" w:w="4320"/>
          </w:tcPr>
          <w:p>
            <w:r>
              <w:t>The difference between the price a decision assumed and the price actually obtained.</w:t>
            </w:r>
          </w:p>
        </w:tc>
      </w:tr>
    </w:tbl>
    <w:p/>
    <w:p>
      <w:pPr>
        <w:pStyle w:val="Heading2"/>
      </w:pPr>
      <w:r>
        <w:t>A.3 Data, Regime and Validation Terms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Warm start</w:t>
            </w:r>
          </w:p>
        </w:tc>
        <w:tc>
          <w:tcPr>
            <w:tcW w:type="dxa" w:w="4320"/>
          </w:tcPr>
          <w:p>
            <w:r>
              <w:t>Seeding the rolling buffers from historical daily bars at launch, so the regime detector and the strategies work immediately instead of waiting days for live bars to accumulate.</w:t>
            </w:r>
          </w:p>
        </w:tc>
      </w:tr>
      <w:tr>
        <w:tc>
          <w:tcPr>
            <w:tcW w:type="dxa" w:w="4320"/>
          </w:tcPr>
          <w:p>
            <w:r>
              <w:t>Probability-mass gating</w:t>
            </w:r>
          </w:p>
        </w:tc>
        <w:tc>
          <w:tcPr>
            <w:tcW w:type="dxa" w:w="4320"/>
          </w:tcPr>
          <w:p>
            <w:r>
              <w:t>Permitting a strategy on the total probability across the regimes it suits, rather than on the single most likely label. A strategy suited to three regimes holding 60 percent of the probability is not idle because a fourth holds 35 percent.</w:t>
            </w:r>
          </w:p>
        </w:tc>
      </w:tr>
      <w:tr>
        <w:tc>
          <w:tcPr>
            <w:tcW w:type="dxa" w:w="4320"/>
          </w:tcPr>
          <w:p>
            <w:r>
              <w:t>Staleness rail</w:t>
            </w:r>
          </w:p>
        </w:tc>
        <w:tc>
          <w:tcPr>
            <w:tcW w:type="dxa" w:w="4320"/>
          </w:tcPr>
          <w:p>
            <w:r>
              <w:t>A check that a quote is recent enough to size a trade against. Applied per symbol - a thin or halted ticker is a reason to stop trading that symbol, never the whole account.</w:t>
            </w:r>
          </w:p>
        </w:tc>
      </w:tr>
      <w:tr>
        <w:tc>
          <w:tcPr>
            <w:tcW w:type="dxa" w:w="4320"/>
          </w:tcPr>
          <w:p>
            <w:r>
              <w:t>HMM (Hidden Markov Model)</w:t>
            </w:r>
          </w:p>
        </w:tc>
        <w:tc>
          <w:tcPr>
            <w:tcW w:type="dxa" w:w="4320"/>
          </w:tcPr>
          <w:p>
            <w:r>
              <w:t>The statistical model behind regime classification: it infers which unobserved market state best explains the observed features.</w:t>
            </w:r>
          </w:p>
        </w:tc>
      </w:tr>
      <w:tr>
        <w:tc>
          <w:tcPr>
            <w:tcW w:type="dxa" w:w="4320"/>
          </w:tcPr>
          <w:p>
            <w:r>
              <w:t>Breadth</w:t>
            </w:r>
          </w:p>
        </w:tc>
        <w:tc>
          <w:tcPr>
            <w:tcW w:type="dxa" w:w="4320"/>
          </w:tcPr>
          <w:p>
            <w:r>
              <w:t>The share of tracked symbols advancing - one of the features the regime detector reads.</w:t>
            </w:r>
          </w:p>
        </w:tc>
      </w:tr>
      <w:tr>
        <w:tc>
          <w:tcPr>
            <w:tcW w:type="dxa" w:w="4320"/>
          </w:tcPr>
          <w:p>
            <w:r>
              <w:t>Walk-forward</w:t>
            </w:r>
          </w:p>
        </w:tc>
        <w:tc>
          <w:tcPr>
            <w:tcW w:type="dxa" w:w="4320"/>
          </w:tcPr>
          <w:p>
            <w:r>
              <w:t>Testing a strategy on consecutive out-of-sample windows to see whether a result holds up across periods rather than only in aggregate.</w:t>
            </w:r>
          </w:p>
        </w:tc>
      </w:tr>
      <w:tr>
        <w:tc>
          <w:tcPr>
            <w:tcW w:type="dxa" w:w="4320"/>
          </w:tcPr>
          <w:p>
            <w:r>
              <w:t>In-sample / out-of-sample</w:t>
            </w:r>
          </w:p>
        </w:tc>
        <w:tc>
          <w:tcPr>
            <w:tcW w:type="dxa" w:w="4320"/>
          </w:tcPr>
          <w:p>
            <w:r>
              <w:t>Data a method was developed on versus data it has not seen. Only the second is evidence.</w:t>
            </w:r>
          </w:p>
        </w:tc>
      </w:tr>
      <w:tr>
        <w:tc>
          <w:tcPr>
            <w:tcW w:type="dxa" w:w="4320"/>
          </w:tcPr>
          <w:p>
            <w:r>
              <w:t>FIFO matching</w:t>
            </w:r>
          </w:p>
        </w:tc>
        <w:tc>
          <w:tcPr>
            <w:tcW w:type="dxa" w:w="4320"/>
          </w:tcPr>
          <w:p>
            <w:r>
              <w:t>First-in-first-out pairing of sells against earlier buys, which determines which entry a closed trade's profit is measured from.</w:t>
            </w:r>
          </w:p>
        </w:tc>
      </w:tr>
      <w:tr>
        <w:tc>
          <w:tcPr>
            <w:tcW w:type="dxa" w:w="4320"/>
          </w:tcPr>
          <w:p>
            <w:r>
              <w:t>Decision journal</w:t>
            </w:r>
          </w:p>
        </w:tc>
        <w:tc>
          <w:tcPr>
            <w:tcW w:type="dxa" w:w="4320"/>
          </w:tcPr>
          <w:p>
            <w:r>
              <w:t>The record of what was proposed and why, including refusals. Distinct from the trade ledger, which records only what actually happened.</w:t>
            </w:r>
          </w:p>
        </w:tc>
      </w:tr>
      <w:tr>
        <w:tc>
          <w:tcPr>
            <w:tcW w:type="dxa" w:w="4320"/>
          </w:tcPr>
          <w:p>
            <w:r>
              <w:t>Promotion gate</w:t>
            </w:r>
          </w:p>
        </w:tc>
        <w:tc>
          <w:tcPr>
            <w:tcW w:type="dxa" w:w="4320"/>
          </w:tcPr>
          <w:p>
            <w:r>
              <w:t>The evidence bar a strategy must clear to trade unattended: a minimum number of closed trades, positive net P&amp;L, and floors on win rate and average R. Always enforced on a live account.</w:t>
            </w:r>
          </w:p>
        </w:tc>
      </w:tr>
    </w:tbl>
    <w:p/>
    <w:p>
      <w:r>
        <w:br w:type="page"/>
      </w:r>
    </w:p>
    <w:p>
      <w:pPr>
        <w:pStyle w:val="Heading1"/>
      </w:pPr>
      <w:r>
        <w:t>Appendix B: Configuration Reference</w:t>
      </w:r>
    </w:p>
    <w:p>
      <w:r>
        <w:t>The Settings screen writes these for you - including every risk limit, which Section 11 covers. They are listed for reference and for the few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QAT_HOME</w:t>
            </w:r>
          </w:p>
        </w:tc>
        <w:tc>
          <w:tcPr>
            <w:tcW w:type="dxa" w:w="2880"/>
          </w:tcPr>
          <w:p>
            <w:r>
              <w:t>(per-user)</w:t>
            </w:r>
          </w:p>
        </w:tc>
        <w:tc>
          <w:tcPr>
            <w:tcW w:type="dxa" w:w="2880"/>
          </w:tcPr>
          <w:p>
            <w:r>
              <w:t>Relocates settings and records wholesale (Section 11.7).</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r>
        <w:tc>
          <w:tcPr>
            <w:tcW w:type="dxa" w:w="2880"/>
          </w:tcPr>
          <w:p>
            <w:r>
              <w:t>QAT_DEPLOYED_STRATEGIES</w:t>
            </w:r>
          </w:p>
        </w:tc>
        <w:tc>
          <w:tcPr>
            <w:tcW w:type="dxa" w:w="2880"/>
          </w:tcPr>
          <w:p>
            <w:r>
              <w:t>(empty)</w:t>
            </w:r>
          </w:p>
        </w:tc>
        <w:tc>
          <w:tcPr>
            <w:tcW w:type="dxa" w:w="2880"/>
          </w:tcPr>
          <w:p>
            <w:r>
              <w:t>Strategies evaluated at startup. Distinct from AUTONOMOUS_STRATEGIES: this decides whether a strategy runs at all, that one whether its orders may self-sign.</w:t>
            </w:r>
          </w:p>
        </w:tc>
      </w:tr>
      <w:tr>
        <w:tc>
          <w:tcPr>
            <w:tcW w:type="dxa" w:w="2880"/>
          </w:tcPr>
          <w:p>
            <w:r>
              <w:t>QAT_PER_TRADE_RISK_PCT</w:t>
            </w:r>
          </w:p>
        </w:tc>
        <w:tc>
          <w:tcPr>
            <w:tcW w:type="dxa" w:w="2880"/>
          </w:tcPr>
          <w:p>
            <w:r>
              <w:t>0.01</w:t>
            </w:r>
          </w:p>
        </w:tc>
        <w:tc>
          <w:tcPr>
            <w:tcW w:type="dxa" w:w="2880"/>
          </w:tcPr>
          <w:p>
            <w:r>
              <w:t>Share of equity risked between entry and stop on one trade.</w:t>
            </w:r>
          </w:p>
        </w:tc>
      </w:tr>
      <w:tr>
        <w:tc>
          <w:tcPr>
            <w:tcW w:type="dxa" w:w="2880"/>
          </w:tcPr>
          <w:p>
            <w:r>
              <w:t>QAT_MAX_AGGREGATE_RISK_AT_STOP_PCT</w:t>
            </w:r>
          </w:p>
        </w:tc>
        <w:tc>
          <w:tcPr>
            <w:tcW w:type="dxa" w:w="2880"/>
          </w:tcPr>
          <w:p>
            <w:r>
              <w:t>0.05</w:t>
            </w:r>
          </w:p>
        </w:tc>
        <w:tc>
          <w:tcPr>
            <w:tcW w:type="dxa" w:w="2880"/>
          </w:tcPr>
          <w:p>
            <w:r>
              <w:t>Total loss allowed if every open position stopped out at once.</w:t>
            </w:r>
          </w:p>
        </w:tc>
      </w:tr>
      <w:tr>
        <w:tc>
          <w:tcPr>
            <w:tcW w:type="dxa" w:w="2880"/>
          </w:tcPr>
          <w:p>
            <w:r>
              <w:t>QAT_MAX_SINGLE_NAME_CONCENTRATION_PCT</w:t>
            </w:r>
          </w:p>
        </w:tc>
        <w:tc>
          <w:tcPr>
            <w:tcW w:type="dxa" w:w="2880"/>
          </w:tcPr>
          <w:p>
            <w:r>
              <w:t>0.15</w:t>
            </w:r>
          </w:p>
        </w:tc>
        <w:tc>
          <w:tcPr>
            <w:tcW w:type="dxa" w:w="2880"/>
          </w:tcPr>
          <w:p>
            <w:r>
              <w:t>Cap on one ticker as a share of equity. Trimmed to, not refused at.</w:t>
            </w:r>
          </w:p>
        </w:tc>
      </w:tr>
      <w:tr>
        <w:tc>
          <w:tcPr>
            <w:tcW w:type="dxa" w:w="2880"/>
          </w:tcPr>
          <w:p>
            <w:r>
              <w:t>QAT_MAX_SECTOR_CONCENTRATION_PCT</w:t>
            </w:r>
          </w:p>
        </w:tc>
        <w:tc>
          <w:tcPr>
            <w:tcW w:type="dxa" w:w="2880"/>
          </w:tcPr>
          <w:p>
            <w:r>
              <w:t>0.30</w:t>
            </w:r>
          </w:p>
        </w:tc>
        <w:tc>
          <w:tcPr>
            <w:tcW w:type="dxa" w:w="2880"/>
          </w:tcPr>
          <w:p>
            <w:r>
              <w:t>Cap on one sector as a share of equity.</w:t>
            </w:r>
          </w:p>
        </w:tc>
      </w:tr>
      <w:tr>
        <w:tc>
          <w:tcPr>
            <w:tcW w:type="dxa" w:w="2880"/>
          </w:tcPr>
          <w:p>
            <w:r>
              <w:t>QAT_CORRELATION_CLUSTER_THRESHOLD</w:t>
            </w:r>
          </w:p>
        </w:tc>
        <w:tc>
          <w:tcPr>
            <w:tcW w:type="dxa" w:w="2880"/>
          </w:tcPr>
          <w:p>
            <w:r>
              <w:t>0.70</w:t>
            </w:r>
          </w:p>
        </w:tc>
        <w:tc>
          <w:tcPr>
            <w:tcW w:type="dxa" w:w="2880"/>
          </w:tcPr>
          <w:p>
            <w:r>
              <w:t>Return correlation at or above which a holding counts in a candidate's cluster.</w:t>
            </w:r>
          </w:p>
        </w:tc>
      </w:tr>
      <w:tr>
        <w:tc>
          <w:tcPr>
            <w:tcW w:type="dxa" w:w="2880"/>
          </w:tcPr>
          <w:p>
            <w:r>
              <w:t>QAT_MAX_CORRELATED_CLUSTER_PCT</w:t>
            </w:r>
          </w:p>
        </w:tc>
        <w:tc>
          <w:tcPr>
            <w:tcW w:type="dxa" w:w="2880"/>
          </w:tcPr>
          <w:p>
            <w:r>
              <w:t>0.30</w:t>
            </w:r>
          </w:p>
        </w:tc>
        <w:tc>
          <w:tcPr>
            <w:tcW w:type="dxa" w:w="2880"/>
          </w:tcPr>
          <w:p>
            <w:r>
              <w:t>Cap on a correlated cluster as a share of equity.</w:t>
            </w:r>
          </w:p>
        </w:tc>
      </w:tr>
      <w:tr>
        <w:tc>
          <w:tcPr>
            <w:tcW w:type="dxa" w:w="2880"/>
          </w:tcPr>
          <w:p>
            <w:r>
              <w:t>QAT_MAX_GAP_RISK_AT_SHOCK_PCT</w:t>
            </w:r>
          </w:p>
        </w:tc>
        <w:tc>
          <w:tcPr>
            <w:tcW w:type="dxa" w:w="2880"/>
          </w:tcPr>
          <w:p>
            <w:r>
              <w:t>0.05</w:t>
            </w:r>
          </w:p>
        </w:tc>
        <w:tc>
          <w:tcPr>
            <w:tcW w:type="dxa" w:w="2880"/>
          </w:tcPr>
          <w:p>
            <w:r>
              <w:t>Loss allowed from an overnight gap of GAP_SHOCK_PCT across all holdings.</w:t>
            </w:r>
          </w:p>
        </w:tc>
      </w:tr>
      <w:tr>
        <w:tc>
          <w:tcPr>
            <w:tcW w:type="dxa" w:w="2880"/>
          </w:tcPr>
          <w:p>
            <w:r>
              <w:t>QAT_GAP_SHOCK_PCT</w:t>
            </w:r>
          </w:p>
        </w:tc>
        <w:tc>
          <w:tcPr>
            <w:tcW w:type="dxa" w:w="2880"/>
          </w:tcPr>
          <w:p>
            <w:r>
              <w:t>0.06</w:t>
            </w:r>
          </w:p>
        </w:tc>
        <w:tc>
          <w:tcPr>
            <w:tcW w:type="dxa" w:w="2880"/>
          </w:tcPr>
          <w:p>
            <w:r>
              <w:t>The overnight gap size the budget is measured at.</w:t>
            </w:r>
          </w:p>
        </w:tc>
      </w:tr>
      <w:tr>
        <w:tc>
          <w:tcPr>
            <w:tcW w:type="dxa" w:w="2880"/>
          </w:tcPr>
          <w:p>
            <w:r>
              <w:t>QAT_MIN_HOLDING_TRADING_DAYS</w:t>
            </w:r>
          </w:p>
        </w:tc>
        <w:tc>
          <w:tcPr>
            <w:tcW w:type="dxa" w:w="2880"/>
          </w:tcPr>
          <w:p>
            <w:r>
              <w:t>10</w:t>
            </w:r>
          </w:p>
        </w:tc>
        <w:tc>
          <w:tcPr>
            <w:tcW w:type="dxa" w:w="2880"/>
          </w:tcPr>
          <w:p>
            <w:r>
              <w:t>Trading days before a signal may close a position.</w:t>
            </w:r>
          </w:p>
        </w:tc>
      </w:tr>
      <w:tr>
        <w:tc>
          <w:tcPr>
            <w:tcW w:type="dxa" w:w="2880"/>
          </w:tcPr>
          <w:p>
            <w:r>
              <w:t>QAT_TIME_STOP_TRADING_DAYS</w:t>
            </w:r>
          </w:p>
        </w:tc>
        <w:tc>
          <w:tcPr>
            <w:tcW w:type="dxa" w:w="2880"/>
          </w:tcPr>
          <w:p>
            <w:r>
              <w:t>30</w:t>
            </w:r>
          </w:p>
        </w:tc>
        <w:tc>
          <w:tcPr>
            <w:tcW w:type="dxa" w:w="2880"/>
          </w:tcPr>
          <w:p>
            <w:r>
              <w:t>Trading days after which an unresolved position is exited.</w:t>
            </w:r>
          </w:p>
        </w:tc>
      </w:tr>
      <w:tr>
        <w:tc>
          <w:tcPr>
            <w:tcW w:type="dxa" w:w="2880"/>
          </w:tcPr>
          <w:p>
            <w:r>
              <w:t>QAT_PROTECTION_SWEEP_SECONDS</w:t>
            </w:r>
          </w:p>
        </w:tc>
        <w:tc>
          <w:tcPr>
            <w:tcW w:type="dxa" w:w="2880"/>
          </w:tcPr>
          <w:p>
            <w:r>
              <w:t>300</w:t>
            </w:r>
          </w:p>
        </w:tc>
        <w:tc>
          <w:tcPr>
            <w:tcW w:type="dxa" w:w="2880"/>
          </w:tcPr>
          <w:p>
            <w:r>
              <w:t>How often held positions are re-checked for missing protection (Section 8A.2).</w:t>
            </w:r>
          </w:p>
        </w:tc>
      </w:tr>
      <w:tr>
        <w:tc>
          <w:tcPr>
            <w:tcW w:type="dxa" w:w="2880"/>
          </w:tcPr>
          <w:p>
            <w:r>
              <w:t>QAT_EDGE_MIN_TRADES</w:t>
            </w:r>
          </w:p>
        </w:tc>
        <w:tc>
          <w:tcPr>
            <w:tcW w:type="dxa" w:w="2880"/>
          </w:tcPr>
          <w:p>
            <w:r>
              <w:t>20</w:t>
            </w:r>
          </w:p>
        </w:tc>
        <w:tc>
          <w:tcPr>
            <w:tcW w:type="dxa" w:w="2880"/>
          </w:tcPr>
          <w:p>
            <w:r>
              <w:t>Closed trades a strategy needs before its own results size its trades rather than the defaults.</w:t>
            </w:r>
          </w:p>
        </w:tc>
      </w:tr>
      <w:tr>
        <w:tc>
          <w:tcPr>
            <w:tcW w:type="dxa" w:w="2880"/>
          </w:tcPr>
          <w:p>
            <w:r>
              <w:t>QAT_BROKER_MIN_COMMISSION</w:t>
            </w:r>
          </w:p>
        </w:tc>
        <w:tc>
          <w:tcPr>
            <w:tcW w:type="dxa" w:w="2880"/>
          </w:tcPr>
          <w:p>
            <w:r>
              <w:t>6.60</w:t>
            </w:r>
          </w:p>
        </w:tc>
        <w:tc>
          <w:tcPr>
            <w:tcW w:type="dxa" w:w="2880"/>
          </w:tcPr>
          <w:p>
            <w:r>
              <w:t>Fixed minimum charge per transaction, applied in backtests and live cost estimates alike.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