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A5F"/>
          <w:sz w:val="60"/>
        </w:rPr>
        <w:t>QUANT ADVISORY TERMINAL</w:t>
      </w:r>
    </w:p>
    <w:p>
      <w:pPr>
        <w:jc w:val="center"/>
      </w:pPr>
      <w:r>
        <w:rPr>
          <w:b w:val="0"/>
          <w:color w:val="1B3A5F"/>
          <w:sz w:val="40"/>
        </w:rPr>
        <w:t>User Manual</w:t>
      </w:r>
    </w:p>
    <w:p>
      <w:pPr>
        <w:jc w:val="center"/>
      </w:pPr>
      <w:r>
        <w:rPr>
          <w:sz w:val="22"/>
        </w:rPr>
        <w:t>AI-Assisted, Multi-Strategy Share-Trading Advisory &amp; Paper-Trading Desktop Application</w:t>
      </w:r>
    </w:p>
    <w:p>
      <w:pPr>
        <w:jc w:val="center"/>
      </w:pPr>
      <w:r>
        <w:rPr>
          <w:sz w:val="22"/>
        </w:rPr>
        <w:t>Version 2.0  |  Milestone M17</w:t>
      </w:r>
    </w:p>
    <w:p>
      <w:pPr>
        <w:jc w:val="center"/>
      </w:pPr>
      <w:r>
        <w:rPr>
          <w:sz w:val="22"/>
        </w:rPr>
        <w:t>2026-07-26</w:t>
      </w:r>
    </w:p>
    <w:p/>
    <w:tbl>
      <w:tblPr>
        <w:tblStyle w:val="TableGrid"/>
        <w:tblW w:type="auto" w:w="0"/>
        <w:tblLook w:firstColumn="1" w:firstRow="1" w:lastColumn="0" w:lastRow="0" w:noHBand="0" w:noVBand="1" w:val="04A0"/>
      </w:tblPr>
      <w:tblGrid>
        <w:gridCol w:w="8640"/>
      </w:tblGrid>
      <w:tr>
        <w:tc>
          <w:tcPr>
            <w:tcW w:type="dxa" w:w="8640"/>
          </w:tcPr>
          <w:p>
            <w:r>
              <w:rPr>
                <w:b/>
                <w:color w:val="B71C1C"/>
              </w:rPr>
              <w:t>SAFETY NOTICE</w:t>
            </w:r>
          </w:p>
          <w:p>
            <w:r>
              <w:t>This application defaults to Paper Trading mode, and in its default configuration it cannot place, modify or cancel an order without an explicit, human-attributed sign-off. It also ships an optional auto-trade mode that removes the per-order confirmation on paper accounts only; that mode is off by default, and switching it on requires a separate confirmation dialog. This is educational and research software. Nothing it displays is investment advice. Read Section 12, Safety Architecture Reference, before enabling anything beyond the defaults.</w:t>
            </w:r>
          </w:p>
        </w:tc>
      </w:tr>
    </w:tbl>
    <w:p/>
    <w:p>
      <w:r>
        <w:br w:type="page"/>
      </w:r>
    </w:p>
    <w:p>
      <w:pPr>
        <w:pStyle w:val="Heading1"/>
      </w:pPr>
      <w:r>
        <w:t>Contents</w:t>
      </w:r>
    </w:p>
    <w:p>
      <w:r>
        <w:fldChar w:fldCharType="begin"/>
        <w:instrText xml:space="preserve">TOC \o "1-2" \h \z \u</w:instrText>
        <w:fldChar w:fldCharType="separate"/>
        <w:t>Right-click here and choose 'Update Field' to build the contents.</w:t>
        <w:fldChar w:fldCharType="end"/>
      </w:r>
    </w:p>
    <w:p>
      <w:r>
        <w:br w:type="page"/>
      </w:r>
    </w:p>
    <w:p>
      <w:pPr>
        <w:pStyle w:val="Heading1"/>
      </w:pPr>
      <w:r>
        <w:t>1. Introduction</w:t>
      </w:r>
    </w:p>
    <w:p>
      <w:pPr>
        <w:pStyle w:val="Heading2"/>
      </w:pPr>
      <w:r>
        <w:t>1.1 About This Application</w:t>
      </w:r>
    </w:p>
    <w:p>
      <w:r>
        <w:t>Quant Advisory Terminal (QAT) is a Windows desktop application that combines market data, a market-regime detector, fifteen rules-based trading strategies, a vectorised backtester, a risk engine, a broker connection and an AI research assistant into a single advisory and paper-trading workstation. It is built around one governing principle: the software proposes, and a human disposes. No strategy, no risk calculation and no AI response can reach a broker on its own.</w:t>
      </w:r>
    </w:p>
    <w:p>
      <w:r>
        <w:t>The application is a single main window with a colour-coded mode banner and nine tabbed screens, every one of which reads live data from the application's internal engines. Sections 3 to 11 document them in the order they appear.</w:t>
      </w:r>
    </w:p>
    <w:p>
      <w:pPr>
        <w:pStyle w:val="Heading2"/>
      </w:pPr>
      <w:r>
        <w:t>1.2 Core Safety Principles</w:t>
      </w:r>
    </w:p>
    <w:p>
      <w:r>
        <w:t>Six principles hold across every screen in this manual and are restated wherever they apply directly:</w:t>
      </w:r>
    </w:p>
    <w:p>
      <w:pPr>
        <w:pStyle w:val="ListBullet"/>
      </w:pPr>
      <w:r>
        <w:t>Paper by default - the application always starts in Paper trading mode unless Live mode is configured deliberately beforehand, and the top banner makes the active mode unmistakable at all times.</w:t>
      </w:r>
    </w:p>
    <w:p>
      <w:pPr>
        <w:pStyle w:val="ListBullet"/>
      </w:pPr>
      <w:r>
        <w:t>Human sign-off by default - a signal can become a pending order, but only an explicit, confirmed action on the Order Blotter transmits it. The optional auto-trade mode (Section 11.5) is the single deliberate exception, is confined to paper accounts, and is off unless you turn it on.</w:t>
      </w:r>
    </w:p>
    <w:p>
      <w:pPr>
        <w:pStyle w:val="ListBullet"/>
      </w:pPr>
      <w:r>
        <w:t>An always-available kill-switch - the Risk Console exposes one control that halts all new order flow immediately, and five separate conditions can trip it automatically.</w:t>
      </w:r>
    </w:p>
    <w:p>
      <w:pPr>
        <w:pStyle w:val="ListBullet"/>
      </w:pPr>
      <w:r>
        <w:t>Cash is never fully spent and the account is never leveraged - a buy can never exceed available cash, and never spend below your configured reserve. This is enforced twice, and cannot be switched off (Section 12.2).</w:t>
      </w:r>
    </w:p>
    <w:p>
      <w:pPr>
        <w:pStyle w:val="ListBullet"/>
      </w:pPr>
      <w:r>
        <w:t>An AI that only advises - the AI Advisor and every AI-generated note can recommend, explain and flag risk, but have no code path to a broker. Every recommendation is independently re-checked against the Risk Engine before it is shown to you.</w:t>
      </w:r>
    </w:p>
    <w:p>
      <w:pPr>
        <w:pStyle w:val="ListBullet"/>
      </w:pPr>
      <w:r>
        <w:t>Claims are measured, not asserted - the Performance screen reports realised results per strategy against a fixed promotion bar, so 'this strategy works' is a falsifiable statement rather than an impression.</w:t>
      </w:r>
    </w:p>
    <w:p>
      <w:pPr>
        <w:pStyle w:val="Heading2"/>
      </w:pPr>
      <w:r>
        <w:t>1.3 What Changed Since Version 1.0</w:t>
      </w:r>
    </w:p>
    <w:p>
      <w:r>
        <w:t>Version 1.0 of this manual documented milestone M9, at which six screens were live and two were placeholders. This edition covers M17. The substantive changes: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Area</w:t>
            </w:r>
          </w:p>
        </w:tc>
        <w:tc>
          <w:tcPr>
            <w:tcW w:type="dxa" w:w="4320"/>
          </w:tcPr>
          <w:p>
            <w:r/>
            <w:r>
              <w:rPr>
                <w:b/>
              </w:rPr>
              <w:t>What is new</w:t>
            </w:r>
          </w:p>
        </w:tc>
      </w:tr>
      <w:tr>
        <w:tc>
          <w:tcPr>
            <w:tcW w:type="dxa" w:w="4320"/>
          </w:tcPr>
          <w:p>
            <w:r>
              <w:t>Screener and Settings</w:t>
            </w:r>
          </w:p>
        </w:tc>
        <w:tc>
          <w:tcPr>
            <w:tcW w:type="dxa" w:w="4320"/>
          </w:tcPr>
          <w:p>
            <w:r>
              <w:t>Both are fully built and are no longer placeholders (Sections 9 and 11).</w:t>
            </w:r>
          </w:p>
        </w:tc>
      </w:tr>
      <w:tr>
        <w:tc>
          <w:tcPr>
            <w:tcW w:type="dxa" w:w="4320"/>
          </w:tcPr>
          <w:p>
            <w:r>
              <w:t>Performance screen</w:t>
            </w:r>
          </w:p>
        </w:tc>
        <w:tc>
          <w:tcPr>
            <w:tcW w:type="dxa" w:w="4320"/>
          </w:tcPr>
          <w:p>
            <w:r>
              <w:t>New ninth tab: realised trades, per-strategy promotion status, and generated daily and weekly reports (Section 10).</w:t>
            </w:r>
          </w:p>
        </w:tc>
      </w:tr>
      <w:tr>
        <w:tc>
          <w:tcPr>
            <w:tcW w:type="dxa" w:w="4320"/>
          </w:tcPr>
          <w:p>
            <w:r>
              <w:t>Real market data</w:t>
            </w:r>
          </w:p>
        </w:tc>
        <w:tc>
          <w:tcPr>
            <w:tcW w:type="dxa" w:w="4320"/>
          </w:tcPr>
          <w:p>
            <w:r>
              <w:t>Prices can come from Yahoo or from your Alpaca account instead of the simulated random walk (Section 11.4).</w:t>
            </w:r>
          </w:p>
        </w:tc>
      </w:tr>
      <w:tr>
        <w:tc>
          <w:tcPr>
            <w:tcW w:type="dxa" w:w="4320"/>
          </w:tcPr>
          <w:p>
            <w:r>
              <w:t>Alpaca paper broker</w:t>
            </w:r>
          </w:p>
        </w:tc>
        <w:tc>
          <w:tcPr>
            <w:tcW w:type="dxa" w:w="4320"/>
          </w:tcPr>
          <w:p>
            <w:r>
              <w:t>Real positions, cash and fills against your own Alpaca paper account (Section 11.3).</w:t>
            </w:r>
          </w:p>
        </w:tc>
      </w:tr>
      <w:tr>
        <w:tc>
          <w:tcPr>
            <w:tcW w:type="dxa" w:w="4320"/>
          </w:tcPr>
          <w:p>
            <w:r>
              <w:t>AI provider selection</w:t>
            </w:r>
          </w:p>
        </w:tc>
        <w:tc>
          <w:tcPr>
            <w:tcW w:type="dxa" w:w="4320"/>
          </w:tcPr>
          <w:p>
            <w:r>
              <w:t>Anthropic, a local LM Studio server, or the built-in demo engine, selectable per request type (Section 11.1).</w:t>
            </w:r>
          </w:p>
        </w:tc>
      </w:tr>
      <w:tr>
        <w:tc>
          <w:tcPr>
            <w:tcW w:type="dxa" w:w="4320"/>
          </w:tcPr>
          <w:p>
            <w:r>
              <w:t>Cash and no-leverage rule</w:t>
            </w:r>
          </w:p>
        </w:tc>
        <w:tc>
          <w:tcPr>
            <w:tcW w:type="dxa" w:w="4320"/>
          </w:tcPr>
          <w:p>
            <w:r>
              <w:t>A hard limit no configuration can disable (Section 12.2).</w:t>
            </w:r>
          </w:p>
        </w:tc>
      </w:tr>
      <w:tr>
        <w:tc>
          <w:tcPr>
            <w:tcW w:type="dxa" w:w="4320"/>
          </w:tcPr>
          <w:p>
            <w:r>
              <w:t>Optional auto-trade</w:t>
            </w:r>
          </w:p>
        </w:tc>
        <w:tc>
          <w:tcPr>
            <w:tcW w:type="dxa" w:w="4320"/>
          </w:tcPr>
          <w:p>
            <w:r>
              <w:t>Per-strategy unattended execution on paper accounts, off by default and gated by an explicit confirmation (Sections 11.5 and 12.3).</w:t>
            </w:r>
          </w:p>
        </w:tc>
      </w:tr>
      <w:tr>
        <w:tc>
          <w:tcPr>
            <w:tcW w:type="dxa" w:w="4320"/>
          </w:tcPr>
          <w:p>
            <w:r>
              <w:t>Order Blotter rework</w:t>
            </w:r>
          </w:p>
        </w:tc>
        <w:tc>
          <w:tcPr>
            <w:tcW w:type="dxa" w:w="4320"/>
          </w:tcPr>
          <w:p>
            <w:r>
              <w:t>Status filtering, multi-row selection and bulk sign-off, so a long order history stays workable (Section 8).</w:t>
            </w:r>
          </w:p>
        </w:tc>
      </w:tr>
      <w:tr>
        <w:tc>
          <w:tcPr>
            <w:tcW w:type="dxa" w:w="4320"/>
          </w:tcPr>
          <w:p>
            <w:r>
              <w:t>Signed executable</w:t>
            </w:r>
          </w:p>
        </w:tc>
        <w:tc>
          <w:tcPr>
            <w:tcW w:type="dxa" w:w="4320"/>
          </w:tcPr>
          <w:p>
            <w:r>
              <w:t>The packaged build is now Authenticode-signed and timestamped (Section 12.4).</w:t>
            </w:r>
          </w:p>
        </w:tc>
      </w:tr>
    </w:tbl>
    <w:p/>
    <w:p>
      <w:pPr>
        <w:pStyle w:val="Heading2"/>
      </w:pPr>
      <w:r>
        <w:t>1.4 System Requirements and Installation</w:t>
      </w:r>
    </w:p>
    <w:p>
      <w:r>
        <w:t>QAT targets Windows. The packaged executable needs no Python installation; running from source requires Python 3.12.</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Topic</w:t>
            </w:r>
          </w:p>
        </w:tc>
        <w:tc>
          <w:tcPr>
            <w:tcW w:type="dxa" w:w="4320"/>
          </w:tcPr>
          <w:p>
            <w:r/>
            <w:r>
              <w:rPr>
                <w:b/>
              </w:rPr>
              <w:t>Details</w:t>
            </w:r>
          </w:p>
        </w:tc>
      </w:tr>
      <w:tr>
        <w:tc>
          <w:tcPr>
            <w:tcW w:type="dxa" w:w="4320"/>
          </w:tcPr>
          <w:p>
            <w:r>
              <w:t>Running the packaged build</w:t>
            </w:r>
          </w:p>
        </w:tc>
        <w:tc>
          <w:tcPr>
            <w:tcW w:type="dxa" w:w="4320"/>
          </w:tcPr>
          <w:p>
            <w:r>
              <w:t>Unzip the distribution and run QuantAdvisoryTerminal\QuantAdvisoryTerminal.exe. Everything it needs is inside the folder.</w:t>
            </w:r>
          </w:p>
        </w:tc>
      </w:tr>
      <w:tr>
        <w:tc>
          <w:tcPr>
            <w:tcW w:type="dxa" w:w="4320"/>
          </w:tcPr>
          <w:p>
            <w:r>
              <w:t>Running from source</w:t>
            </w:r>
          </w:p>
        </w:tc>
        <w:tc>
          <w:tcPr>
            <w:tcW w:type="dxa" w:w="4320"/>
          </w:tcPr>
          <w:p>
            <w:r>
              <w:t>python -m venv .venv, then pip install -e ".[dev]", then invoke run. invoke package rebuilds the executable.</w:t>
            </w:r>
          </w:p>
        </w:tc>
      </w:tr>
      <w:tr>
        <w:tc>
          <w:tcPr>
            <w:tcW w:type="dxa" w:w="4320"/>
          </w:tcPr>
          <w:p>
            <w:r>
              <w:t>Defaults on first launch</w:t>
            </w:r>
          </w:p>
        </w:tc>
        <w:tc>
          <w:tcPr>
            <w:tcW w:type="dxa" w:w="4320"/>
          </w:tcPr>
          <w:p>
            <w:r>
              <w:t>Paper mode, the built-in simulated broker, simulated prices, the demo AI engine, and human sign-off on every order. The application is fully usable with no keys, no accounts and no network.</w:t>
            </w:r>
          </w:p>
        </w:tc>
      </w:tr>
      <w:tr>
        <w:tc>
          <w:tcPr>
            <w:tcW w:type="dxa" w:w="4320"/>
          </w:tcPr>
          <w:p>
            <w:r>
              <w:t>Optional integrations</w:t>
            </w:r>
          </w:p>
        </w:tc>
        <w:tc>
          <w:tcPr>
            <w:tcW w:type="dxa" w:w="4320"/>
          </w:tcPr>
          <w:p>
            <w:r>
              <w:t>Alpaca (paper broker and US market data), Interactive Brokers via Gateway or TWS, Anthropic's API, a local LM Studio server, and FRED for macro series.</w:t>
            </w:r>
          </w:p>
        </w:tc>
      </w:tr>
      <w:tr>
        <w:tc>
          <w:tcPr>
            <w:tcW w:type="dxa" w:w="4320"/>
          </w:tcPr>
          <w:p>
            <w:r>
              <w:t>Where configuration lives</w:t>
            </w:r>
          </w:p>
        </w:tc>
        <w:tc>
          <w:tcPr>
            <w:tcW w:type="dxa" w:w="4320"/>
          </w:tcPr>
          <w:p>
            <w:r>
              <w:t>Non-secret settings in a .env file written by the Settings screen; API keys and secrets only ever in the Windows Credential Manager, never in .env and never in logs.</w:t>
            </w:r>
          </w:p>
        </w:tc>
      </w:tr>
    </w:tbl>
    <w:p/>
    <w:p>
      <w:r>
        <w:br w:type="page"/>
      </w:r>
    </w:p>
    <w:p>
      <w:pPr>
        <w:pStyle w:val="Heading1"/>
      </w:pPr>
      <w:r>
        <w:t>2. Getting Started</w:t>
      </w:r>
    </w:p>
    <w:p>
      <w:pPr>
        <w:pStyle w:val="Heading2"/>
      </w:pPr>
      <w:r>
        <w:t>2.1 Launching the Application</w:t>
      </w:r>
    </w:p>
    <w:p>
      <w:r>
        <w:t>Start the application by running QuantAdvisoryTerminal.exe, or with invoke run from a source checkout. The main window opens on the Dashboard tab and every engine starts immediately.</w:t>
      </w:r>
    </w:p>
    <w:p>
      <w:pPr>
        <w:pStyle w:val="Heading2"/>
      </w:pPr>
      <w:r>
        <w:t>2.2 The Main Window</w:t>
      </w:r>
    </w:p>
    <w:p>
      <w:r>
        <w:t>Every screen shares the same frame: a mode banner fixed to the top of the window and a row of nine tabs beneath it. Switching tabs interrupts nothing - all engines keep running and every screen keeps updating whether or not it is visible.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Tab</w:t>
            </w:r>
          </w:p>
        </w:tc>
        <w:tc>
          <w:tcPr>
            <w:tcW w:type="dxa" w:w="2880"/>
          </w:tcPr>
          <w:p>
            <w:r/>
            <w:r>
              <w:rPr>
                <w:b/>
              </w:rPr>
              <w:t>Purpose</w:t>
            </w:r>
          </w:p>
        </w:tc>
      </w:tr>
      <w:tr>
        <w:tc>
          <w:tcPr>
            <w:tcW w:type="dxa" w:w="2880"/>
          </w:tcPr>
          <w:p>
            <w:r>
              <w:t>1</w:t>
            </w:r>
          </w:p>
        </w:tc>
        <w:tc>
          <w:tcPr>
            <w:tcW w:type="dxa" w:w="2880"/>
          </w:tcPr>
          <w:p>
            <w:r>
              <w:t>Dashboard</w:t>
            </w:r>
          </w:p>
        </w:tc>
        <w:tc>
          <w:tcPr>
            <w:tcW w:type="dxa" w:w="2880"/>
          </w:tcPr>
          <w:p>
            <w:r>
              <w:t>Portfolio overview: NAV, headline risk figures, equity curve, positions and the current regime note.</w:t>
            </w:r>
          </w:p>
        </w:tc>
      </w:tr>
      <w:tr>
        <w:tc>
          <w:tcPr>
            <w:tcW w:type="dxa" w:w="2880"/>
          </w:tcPr>
          <w:p>
            <w:r>
              <w:t>2</w:t>
            </w:r>
          </w:p>
        </w:tc>
        <w:tc>
          <w:tcPr>
            <w:tcW w:type="dxa" w:w="2880"/>
          </w:tcPr>
          <w:p>
            <w:r>
              <w:t>Strategy Workbench</w:t>
            </w:r>
          </w:p>
        </w:tc>
        <w:tc>
          <w:tcPr>
            <w:tcW w:type="dxa" w:w="2880"/>
          </w:tcPr>
          <w:p>
            <w:r>
              <w:t>Backtest a strategy and, once vetted, deploy it to the live signal pipeline.</w:t>
            </w:r>
          </w:p>
        </w:tc>
      </w:tr>
      <w:tr>
        <w:tc>
          <w:tcPr>
            <w:tcW w:type="dxa" w:w="2880"/>
          </w:tcPr>
          <w:p>
            <w:r>
              <w:t>3</w:t>
            </w:r>
          </w:p>
        </w:tc>
        <w:tc>
          <w:tcPr>
            <w:tcW w:type="dxa" w:w="2880"/>
          </w:tcPr>
          <w:p>
            <w:r>
              <w:t>Regime Monitor</w:t>
            </w:r>
          </w:p>
        </w:tc>
        <w:tc>
          <w:tcPr>
            <w:tcW w:type="dxa" w:w="2880"/>
          </w:tcPr>
          <w:p>
            <w:r>
              <w:t>The full regime probability distribution, its drivers, and transition history.</w:t>
            </w:r>
          </w:p>
        </w:tc>
      </w:tr>
      <w:tr>
        <w:tc>
          <w:tcPr>
            <w:tcW w:type="dxa" w:w="2880"/>
          </w:tcPr>
          <w:p>
            <w:r>
              <w:t>4</w:t>
            </w:r>
          </w:p>
        </w:tc>
        <w:tc>
          <w:tcPr>
            <w:tcW w:type="dxa" w:w="2880"/>
          </w:tcPr>
          <w:p>
            <w:r>
              <w:t>Risk Console</w:t>
            </w:r>
          </w:p>
        </w:tc>
        <w:tc>
          <w:tcPr>
            <w:tcW w:type="dxa" w:w="2880"/>
          </w:tcPr>
          <w:p>
            <w:r>
              <w:t>Live risk tiles, the correlation table, and the kill-switch.</w:t>
            </w:r>
          </w:p>
        </w:tc>
      </w:tr>
      <w:tr>
        <w:tc>
          <w:tcPr>
            <w:tcW w:type="dxa" w:w="2880"/>
          </w:tcPr>
          <w:p>
            <w:r>
              <w:t>5</w:t>
            </w:r>
          </w:p>
        </w:tc>
        <w:tc>
          <w:tcPr>
            <w:tcW w:type="dxa" w:w="2880"/>
          </w:tcPr>
          <w:p>
            <w:r>
              <w:t>AI Advisor</w:t>
            </w:r>
          </w:p>
        </w:tc>
        <w:tc>
          <w:tcPr>
            <w:tcW w:type="dxa" w:w="2880"/>
          </w:tcPr>
          <w:p>
            <w:r>
              <w:t>Free-text research questions against the AI advisory service.</w:t>
            </w:r>
          </w:p>
        </w:tc>
      </w:tr>
      <w:tr>
        <w:tc>
          <w:tcPr>
            <w:tcW w:type="dxa" w:w="2880"/>
          </w:tcPr>
          <w:p>
            <w:r>
              <w:t>6</w:t>
            </w:r>
          </w:p>
        </w:tc>
        <w:tc>
          <w:tcPr>
            <w:tcW w:type="dxa" w:w="2880"/>
          </w:tcPr>
          <w:p>
            <w:r>
              <w:t>Order Blotter</w:t>
            </w:r>
          </w:p>
        </w:tc>
        <w:tc>
          <w:tcPr>
            <w:tcW w:type="dxa" w:w="2880"/>
          </w:tcPr>
          <w:p>
            <w:r>
              <w:t>Every order the system knows about, and the sign-off gate.</w:t>
            </w:r>
          </w:p>
        </w:tc>
      </w:tr>
      <w:tr>
        <w:tc>
          <w:tcPr>
            <w:tcW w:type="dxa" w:w="2880"/>
          </w:tcPr>
          <w:p>
            <w:r>
              <w:t>7</w:t>
            </w:r>
          </w:p>
        </w:tc>
        <w:tc>
          <w:tcPr>
            <w:tcW w:type="dxa" w:w="2880"/>
          </w:tcPr>
          <w:p>
            <w:r>
              <w:t>Screener</w:t>
            </w:r>
          </w:p>
        </w:tc>
        <w:tc>
          <w:tcPr>
            <w:tcW w:type="dxa" w:w="2880"/>
          </w:tcPr>
          <w:p>
            <w:r>
              <w:t>Fundamental and technical screening of the candidate universe.</w:t>
            </w:r>
          </w:p>
        </w:tc>
      </w:tr>
      <w:tr>
        <w:tc>
          <w:tcPr>
            <w:tcW w:type="dxa" w:w="2880"/>
          </w:tcPr>
          <w:p>
            <w:r>
              <w:t>8</w:t>
            </w:r>
          </w:p>
        </w:tc>
        <w:tc>
          <w:tcPr>
            <w:tcW w:type="dxa" w:w="2880"/>
          </w:tcPr>
          <w:p>
            <w:r>
              <w:t>Performance</w:t>
            </w:r>
          </w:p>
        </w:tc>
        <w:tc>
          <w:tcPr>
            <w:tcW w:type="dxa" w:w="2880"/>
          </w:tcPr>
          <w:p>
            <w:r>
              <w:t>Realised results, per-strategy promotion status, and generated reports.</w:t>
            </w:r>
          </w:p>
        </w:tc>
      </w:tr>
      <w:tr>
        <w:tc>
          <w:tcPr>
            <w:tcW w:type="dxa" w:w="2880"/>
          </w:tcPr>
          <w:p>
            <w:r>
              <w:t>9</w:t>
            </w:r>
          </w:p>
        </w:tc>
        <w:tc>
          <w:tcPr>
            <w:tcW w:type="dxa" w:w="2880"/>
          </w:tcPr>
          <w:p>
            <w:r>
              <w:t>Settings</w:t>
            </w:r>
          </w:p>
        </w:tc>
        <w:tc>
          <w:tcPr>
            <w:tcW w:type="dxa" w:w="2880"/>
          </w:tcPr>
          <w:p>
            <w:r>
              <w:t>AI provider, market and watchlist, broker and cash, market data source, and execution mode.</w:t>
            </w:r>
          </w:p>
        </w:tc>
      </w:tr>
    </w:tbl>
    <w:p/>
    <w:p>
      <w:pPr>
        <w:pStyle w:val="Heading2"/>
      </w:pPr>
      <w:r>
        <w:t>2.3 Paper versus Live Mode</w:t>
      </w:r>
    </w:p>
    <w:p>
      <w:r>
        <w:t>The banner across the top of the window is the most important safety indicator in the application. It is always visible, cannot be hidden, and its colour carries the meaning: solid green reads MODE: PAPER, solid red reads MODE: LIVE. The Order Blotter repeats the same banner directly above its order table, because that is the screen where the distinction matters at the moment of action.</w:t>
      </w:r>
    </w:p>
    <w:p>
      <w:pPr>
        <w:jc w:val="center"/>
      </w:pPr>
      <w:r>
        <w:drawing>
          <wp:inline xmlns:a="http://schemas.openxmlformats.org/drawingml/2006/main" xmlns:pic="http://schemas.openxmlformats.org/drawingml/2006/picture">
            <wp:extent cx="5669280" cy="5102352"/>
            <wp:docPr id="1" name="Picture 1"/>
            <wp:cNvGraphicFramePr>
              <a:graphicFrameLocks noChangeAspect="1"/>
            </wp:cNvGraphicFramePr>
            <a:graphic>
              <a:graphicData uri="http://schemas.openxmlformats.org/drawingml/2006/picture">
                <pic:pic>
                  <pic:nvPicPr>
                    <pic:cNvPr id="0" name="banner_paper.png"/>
                    <pic:cNvPicPr/>
                  </pic:nvPicPr>
                  <pic:blipFill>
                    <a:blip r:embed="rId9"/>
                    <a:stretch>
                      <a:fillRect/>
                    </a:stretch>
                  </pic:blipFill>
                  <pic:spPr>
                    <a:xfrm>
                      <a:off x="0" y="0"/>
                      <a:ext cx="5669280" cy="5102352"/>
                    </a:xfrm>
                    <a:prstGeom prst="rect"/>
                  </pic:spPr>
                </pic:pic>
              </a:graphicData>
            </a:graphic>
          </wp:inline>
        </w:drawing>
      </w:r>
    </w:p>
    <w:p>
      <w:pPr>
        <w:jc w:val="center"/>
      </w:pPr>
      <w:r>
        <w:rPr>
          <w:i/>
          <w:color w:val="555F6D"/>
          <w:sz w:val="18"/>
        </w:rPr>
        <w:t>Figure 2.1 - Paper mode. The green banner reads MODE: PAPER and cannot be hidden or dismissed. Every figure in this manual shows demo data.</w:t>
      </w:r>
    </w:p>
    <w:p>
      <w:pPr>
        <w:jc w:val="center"/>
      </w:pPr>
      <w:r>
        <w:drawing>
          <wp:inline xmlns:a="http://schemas.openxmlformats.org/drawingml/2006/main" xmlns:pic="http://schemas.openxmlformats.org/drawingml/2006/picture">
            <wp:extent cx="5669280" cy="5102352"/>
            <wp:docPr id="2" name="Picture 2"/>
            <wp:cNvGraphicFramePr>
              <a:graphicFrameLocks noChangeAspect="1"/>
            </wp:cNvGraphicFramePr>
            <a:graphic>
              <a:graphicData uri="http://schemas.openxmlformats.org/drawingml/2006/picture">
                <pic:pic>
                  <pic:nvPicPr>
                    <pic:cNvPr id="0" name="banner_live.png"/>
                    <pic:cNvPicPr/>
                  </pic:nvPicPr>
                  <pic:blipFill>
                    <a:blip r:embed="rId10"/>
                    <a:stretch>
                      <a:fillRect/>
                    </a:stretch>
                  </pic:blipFill>
                  <pic:spPr>
                    <a:xfrm>
                      <a:off x="0" y="0"/>
                      <a:ext cx="5669280" cy="5102352"/>
                    </a:xfrm>
                    <a:prstGeom prst="rect"/>
                  </pic:spPr>
                </pic:pic>
              </a:graphicData>
            </a:graphic>
          </wp:inline>
        </w:drawing>
      </w:r>
    </w:p>
    <w:p>
      <w:pPr>
        <w:jc w:val="center"/>
      </w:pPr>
      <w:r>
        <w:rPr>
          <w:i/>
          <w:color w:val="555F6D"/>
          <w:sz w:val="18"/>
        </w:rPr>
        <w:t>Figure 2.2 - Live mode. The same window with the banner switched to solid red. Live mode requires a deliberate configuration change; it is never the default.</w:t>
      </w:r>
    </w:p>
    <w:p>
      <w:pPr>
        <w:pStyle w:val="Heading2"/>
      </w:pPr>
      <w:r>
        <w:t>2.4 Recommended First-Run Sequence</w:t>
      </w:r>
    </w:p>
    <w:p>
      <w:r>
        <w:t>The defaults are safe but deliberately inert - simulated prices against a simulated broker. To reach something meaningful, work through Settings in this order, restarting once at the end:</w:t>
      </w:r>
    </w:p>
    <w:p>
      <w:pPr>
        <w:pStyle w:val="ListNumber"/>
      </w:pPr>
      <w:r>
        <w:t>Settings &gt; Broker &amp; Cash: choose your broker and enter its keys, then use Test Broker Connection to confirm the account it reads is the one you expect.</w:t>
      </w:r>
    </w:p>
    <w:p>
      <w:pPr>
        <w:pStyle w:val="ListNumber"/>
      </w:pPr>
      <w:r>
        <w:t>Settings &gt; Market Data: switch the price source off Simulated. Auto-trading against simulated prices is a loop that trades noise.</w:t>
      </w:r>
    </w:p>
    <w:p>
      <w:pPr>
        <w:pStyle w:val="ListNumber"/>
      </w:pPr>
      <w:r>
        <w:t>Settings &gt; AI Provider: pick a provider per request type and use Test Connection. The demo engine always answers 'hold' with zero confidence; it is a placeholder, not an analyst.</w:t>
      </w:r>
    </w:p>
    <w:p>
      <w:pPr>
        <w:pStyle w:val="ListNumber"/>
      </w:pPr>
      <w:r>
        <w:t>Settings &gt; Market &amp; Watchlist: set the market and the symbols to follow.</w:t>
      </w:r>
    </w:p>
    <w:p>
      <w:pPr>
        <w:pStyle w:val="ListNumber"/>
      </w:pPr>
      <w:r>
        <w:t>Restart the application. Every setting on this screen is applied at startup.</w:t>
      </w:r>
    </w:p>
    <w:p>
      <w:pPr>
        <w:pStyle w:val="ListNumber"/>
      </w:pPr>
      <w:r>
        <w:t>Strategy Workbench: backtest before deploying anything. No strategy is active on launch.</w:t>
      </w:r>
    </w:p>
    <w:p>
      <w:pPr>
        <w:pStyle w:val="ListNumber"/>
      </w:pPr>
      <w:r>
        <w:t>Order Blotter: review and sign off the first orders by hand, whatever you intend to do later.</w:t>
      </w:r>
    </w:p>
    <w:p>
      <w:r>
        <w:br w:type="page"/>
      </w:r>
    </w:p>
    <w:p>
      <w:pPr>
        <w:pStyle w:val="Heading1"/>
      </w:pPr>
      <w:r>
        <w:t>3. The Dashboard</w:t>
      </w:r>
    </w:p>
    <w:p>
      <w:r>
        <w:t>The Dashboard is the home screen and default landing tab: account value, headline risk and performance figures, an equity curve, current holdings, and a plain-language note on the current market regime. Figures refresh every two seconds; the AI regime note refreshes whenever the Regime Engine detects a change.</w:t>
      </w:r>
    </w:p>
    <w:p>
      <w:pPr>
        <w:jc w:val="center"/>
      </w:pPr>
      <w:r>
        <w:drawing>
          <wp:inline xmlns:a="http://schemas.openxmlformats.org/drawingml/2006/main" xmlns:pic="http://schemas.openxmlformats.org/drawingml/2006/picture">
            <wp:extent cx="5669280" cy="3631882"/>
            <wp:docPr id="3" name="Picture 3"/>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669280" cy="3631882"/>
                    </a:xfrm>
                    <a:prstGeom prst="rect"/>
                  </pic:spPr>
                </pic:pic>
              </a:graphicData>
            </a:graphic>
          </wp:inline>
        </w:drawing>
      </w:r>
    </w:p>
    <w:p>
      <w:pPr>
        <w:jc w:val="center"/>
      </w:pPr>
      <w:r>
        <w:rPr>
          <w:i/>
          <w:color w:val="555F6D"/>
          <w:sz w:val="18"/>
        </w:rPr>
        <w:t>Figure 3.1 - The Dashboard: NAV and risk tiles, the live equity curve, open positions, and an AI regime note awaiting acknowledgement.</w:t>
      </w:r>
    </w:p>
    <w:p>
      <w:pPr>
        <w:pStyle w:val="Heading2"/>
      </w:pPr>
      <w:r>
        <w:t>3.1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Regime header</w:t>
            </w:r>
          </w:p>
        </w:tc>
        <w:tc>
          <w:tcPr>
            <w:tcW w:type="dxa" w:w="4320"/>
          </w:tcPr>
          <w:p>
            <w:r>
              <w:t>The current regime label and its exposure scalar - the portfolio-wide position-sizing multiplier the regime implies.</w:t>
            </w:r>
          </w:p>
        </w:tc>
      </w:tr>
      <w:tr>
        <w:tc>
          <w:tcPr>
            <w:tcW w:type="dxa" w:w="4320"/>
          </w:tcPr>
          <w:p>
            <w:r>
              <w:t>NAV tile</w:t>
            </w:r>
          </w:p>
        </w:tc>
        <w:tc>
          <w:tcPr>
            <w:tcW w:type="dxa" w:w="4320"/>
          </w:tcPr>
          <w:p>
            <w:r>
              <w:t>Net Asset Value: cash plus the market value of open positions, as reported by the connected broker.</w:t>
            </w:r>
          </w:p>
        </w:tc>
      </w:tr>
      <w:tr>
        <w:tc>
          <w:tcPr>
            <w:tcW w:type="dxa" w:w="4320"/>
          </w:tcPr>
          <w:p>
            <w:r>
              <w:t>Portfolio VaR (95%) tile</w:t>
            </w:r>
          </w:p>
        </w:tc>
        <w:tc>
          <w:tcPr>
            <w:tcW w:type="dxa" w:w="4320"/>
          </w:tcPr>
          <w:p>
            <w:r>
              <w:t>One-period, 95%-confidence historical Value-at-Risk across the current portfolio.</w:t>
            </w:r>
          </w:p>
        </w:tc>
      </w:tr>
      <w:tr>
        <w:tc>
          <w:tcPr>
            <w:tcW w:type="dxa" w:w="4320"/>
          </w:tcPr>
          <w:p>
            <w:r>
              <w:t>Realised Sharpe (naive) tile</w:t>
            </w:r>
          </w:p>
        </w:tc>
        <w:tc>
          <w:tcPr>
            <w:tcW w:type="dxa" w:w="4320"/>
          </w:tcPr>
          <w:p>
            <w:r>
              <w:t>An annualised Sharpe ratio from the live NAV history sampled every two seconds. Naive because that sampling is not a daily return series; treat it as a direction, not a measurement.</w:t>
            </w:r>
          </w:p>
        </w:tc>
      </w:tr>
      <w:tr>
        <w:tc>
          <w:tcPr>
            <w:tcW w:type="dxa" w:w="4320"/>
          </w:tcPr>
          <w:p>
            <w:r>
              <w:t>Drawdown vs limit tile</w:t>
            </w:r>
          </w:p>
        </w:tc>
        <w:tc>
          <w:tcPr>
            <w:tcW w:type="dxa" w:w="4320"/>
          </w:tcPr>
          <w:p>
            <w:r>
              <w:t>Current drawdown from the highest NAV observed this session, against the configured maximum-drawdown limit that trips the kill-switch.</w:t>
            </w:r>
          </w:p>
        </w:tc>
      </w:tr>
      <w:tr>
        <w:tc>
          <w:tcPr>
            <w:tcW w:type="dxa" w:w="4320"/>
          </w:tcPr>
          <w:p>
            <w:r>
              <w:t>Equity Curve chart</w:t>
            </w:r>
          </w:p>
        </w:tc>
        <w:tc>
          <w:tcPr>
            <w:tcW w:type="dxa" w:w="4320"/>
          </w:tcPr>
          <w:p>
            <w:r>
              <w:t>A live line chart of NAV over time, up to the most recent 500 samples.</w:t>
            </w:r>
          </w:p>
        </w:tc>
      </w:tr>
      <w:tr>
        <w:tc>
          <w:tcPr>
            <w:tcW w:type="dxa" w:w="4320"/>
          </w:tcPr>
          <w:p>
            <w:r>
              <w:t>Positions table</w:t>
            </w:r>
          </w:p>
        </w:tc>
        <w:tc>
          <w:tcPr>
            <w:tcW w:type="dxa" w:w="4320"/>
          </w:tcPr>
          <w:p>
            <w:r>
              <w:t>Every open position reported by the broker: symbol, quantity and average price.</w:t>
            </w:r>
          </w:p>
        </w:tc>
      </w:tr>
      <w:tr>
        <w:tc>
          <w:tcPr>
            <w:tcW w:type="dxa" w:w="4320"/>
          </w:tcPr>
          <w:p>
            <w:r>
              <w:t>AI Regime Note</w:t>
            </w:r>
          </w:p>
        </w:tc>
        <w:tc>
          <w:tcPr>
            <w:tcW w:type="dxa" w:w="4320"/>
          </w:tcPr>
          <w:p>
            <w:r>
              <w:t>A plain-language summary generated whenever the regime changes. If the AI provider fails, the error is shown here rather than silently leaving a stale note in place.</w:t>
            </w:r>
          </w:p>
        </w:tc>
      </w:tr>
      <w:tr>
        <w:tc>
          <w:tcPr>
            <w:tcW w:type="dxa" w:w="4320"/>
          </w:tcPr>
          <w:p>
            <w:r>
              <w:t>Review &amp; Apply button</w:t>
            </w:r>
          </w:p>
        </w:tc>
        <w:tc>
          <w:tcPr>
            <w:tcW w:type="dxa" w:w="4320"/>
          </w:tcPr>
          <w:p>
            <w:r>
              <w:t>Acknowledges that you have read the note. It is a user-interface action only: it changes no position, no order and no setting.</w:t>
            </w:r>
          </w:p>
        </w:tc>
      </w:tr>
    </w:tbl>
    <w:p/>
    <w:p>
      <w:r>
        <w:br w:type="page"/>
      </w:r>
    </w:p>
    <w:p>
      <w:pPr>
        <w:pStyle w:val="Heading1"/>
      </w:pPr>
      <w:r>
        <w:t>4. The Strategy Workbench</w:t>
      </w:r>
    </w:p>
    <w:p>
      <w:r>
        <w:t>The Workbench is where a strategy is vetted before it is allowed to run. It backtests any of the fifteen built-in strategies, reports a full performance and risk panel, runs a Monte Carlo resample of the resulting trades, and produces an AI commentary - all before the one consequential action on the screen: deploying the strategy to the live signal pipeline.</w:t>
      </w:r>
    </w:p>
    <w:tbl>
      <w:tblPr>
        <w:tblStyle w:val="TableGrid"/>
        <w:tblW w:type="auto" w:w="0"/>
        <w:tblLook w:firstColumn="1" w:firstRow="1" w:lastColumn="0" w:lastRow="0" w:noHBand="0" w:noVBand="1" w:val="04A0"/>
      </w:tblPr>
      <w:tblGrid>
        <w:gridCol w:w="8640"/>
      </w:tblGrid>
      <w:tr>
        <w:tc>
          <w:tcPr>
            <w:tcW w:type="dxa" w:w="8640"/>
          </w:tcPr>
          <w:p>
            <w:r>
              <w:rPr>
                <w:b/>
                <w:color w:val="1B3A5F"/>
              </w:rPr>
              <w:t>Where the backtest data comes from</w:t>
            </w:r>
          </w:p>
          <w:p>
            <w:r>
              <w:t>Backtests use whatever price source is configured in Settings. On the default simulated source they run against a seeded random walk: reproducible run to run, but illustrative only - they say nothing about real historical performance. On a real source they use real daily bars, subject to that source's own limits (Section 11.4). The status line above the chart tells you which you are looking at.</w:t>
            </w:r>
          </w:p>
        </w:tc>
      </w:tr>
    </w:tbl>
    <w:p/>
    <w:p>
      <w:pPr>
        <w:jc w:val="center"/>
      </w:pPr>
      <w:r>
        <w:drawing>
          <wp:inline xmlns:a="http://schemas.openxmlformats.org/drawingml/2006/main" xmlns:pic="http://schemas.openxmlformats.org/drawingml/2006/picture">
            <wp:extent cx="5669280" cy="3631882"/>
            <wp:docPr id="4" name="Picture 4"/>
            <wp:cNvGraphicFramePr>
              <a:graphicFrameLocks noChangeAspect="1"/>
            </wp:cNvGraphicFramePr>
            <a:graphic>
              <a:graphicData uri="http://schemas.openxmlformats.org/drawingml/2006/picture">
                <pic:pic>
                  <pic:nvPicPr>
                    <pic:cNvPr id="0" name="workbench.png"/>
                    <pic:cNvPicPr/>
                  </pic:nvPicPr>
                  <pic:blipFill>
                    <a:blip r:embed="rId12"/>
                    <a:stretch>
                      <a:fillRect/>
                    </a:stretch>
                  </pic:blipFill>
                  <pic:spPr>
                    <a:xfrm>
                      <a:off x="0" y="0"/>
                      <a:ext cx="5669280" cy="3631882"/>
                    </a:xfrm>
                    <a:prstGeom prst="rect"/>
                  </pic:spPr>
                </pic:pic>
              </a:graphicData>
            </a:graphic>
          </wp:inline>
        </w:drawing>
      </w:r>
    </w:p>
    <w:p>
      <w:pPr>
        <w:jc w:val="center"/>
      </w:pPr>
      <w:r>
        <w:rPr>
          <w:i/>
          <w:color w:val="555F6D"/>
          <w:sz w:val="18"/>
        </w:rPr>
        <w:t>Figure 4.1 - A completed backtest: equity versus benchmark, the ten-metric panel, the Monte Carlo cone, and the AI robustness note.</w:t>
      </w:r>
    </w:p>
    <w:p>
      <w:pPr>
        <w:pStyle w:val="Heading2"/>
      </w:pPr>
      <w:r>
        <w:t>4.1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Strategy dropdown</w:t>
            </w:r>
          </w:p>
        </w:tc>
        <w:tc>
          <w:tcPr>
            <w:tcW w:type="dxa" w:w="4320"/>
          </w:tcPr>
          <w:p>
            <w:r>
              <w:t>Which of the fifteen built-in strategies to backtest.</w:t>
            </w:r>
          </w:p>
        </w:tc>
      </w:tr>
      <w:tr>
        <w:tc>
          <w:tcPr>
            <w:tcW w:type="dxa" w:w="4320"/>
          </w:tcPr>
          <w:p>
            <w:r>
              <w:t>Symbol dropdown</w:t>
            </w:r>
          </w:p>
        </w:tc>
        <w:tc>
          <w:tcPr>
            <w:tcW w:type="dxa" w:w="4320"/>
          </w:tcPr>
          <w:p>
            <w:r>
              <w:t>Which watchlist symbol to backtest it against.</w:t>
            </w:r>
          </w:p>
        </w:tc>
      </w:tr>
      <w:tr>
        <w:tc>
          <w:tcPr>
            <w:tcW w:type="dxa" w:w="4320"/>
          </w:tcPr>
          <w:p>
            <w:r>
              <w:t>Run Backtest button</w:t>
            </w:r>
          </w:p>
        </w:tc>
        <w:tc>
          <w:tcPr>
            <w:tcW w:type="dxa" w:w="4320"/>
          </w:tcPr>
          <w:p>
            <w:r>
              <w:t>Fetches daily history for the symbol, replays the strategy bar by bar, and populates every panel below.</w:t>
            </w:r>
          </w:p>
        </w:tc>
      </w:tr>
      <w:tr>
        <w:tc>
          <w:tcPr>
            <w:tcW w:type="dxa" w:w="4320"/>
          </w:tcPr>
          <w:p>
            <w:r>
              <w:t>Warnings line</w:t>
            </w:r>
          </w:p>
        </w:tc>
        <w:tc>
          <w:tcPr>
            <w:tcW w:type="dxa" w:w="4320"/>
          </w:tcPr>
          <w:p>
            <w:r>
              <w:t>Guardrail warnings raised by the backtester itself - too few trades, a zero-variance return series, an implausible Sharpe. Read these before reading the metrics.</w:t>
            </w:r>
          </w:p>
        </w:tc>
      </w:tr>
      <w:tr>
        <w:tc>
          <w:tcPr>
            <w:tcW w:type="dxa" w:w="4320"/>
          </w:tcPr>
          <w:p>
            <w:r>
              <w:t>Equity vs Benchmark chart</w:t>
            </w:r>
          </w:p>
        </w:tc>
        <w:tc>
          <w:tcPr>
            <w:tcW w:type="dxa" w:w="4320"/>
          </w:tcPr>
          <w:p>
            <w:r>
              <w:t>Yellow: the strategy's simulated equity. Cyan: buy-and-hold in the same symbol over the same window.</w:t>
            </w:r>
          </w:p>
        </w:tc>
      </w:tr>
      <w:tr>
        <w:tc>
          <w:tcPr>
            <w:tcW w:type="dxa" w:w="4320"/>
          </w:tcPr>
          <w:p>
            <w:r>
              <w:t>Ten-metric panel</w:t>
            </w:r>
          </w:p>
        </w:tc>
        <w:tc>
          <w:tcPr>
            <w:tcW w:type="dxa" w:w="4320"/>
          </w:tcPr>
          <w:p>
            <w:r>
              <w:t>CAGR, annualised volatility, Sharpe, Sortino, maximum drawdown, Calmar, win rate, profit factor, beta and alpha.</w:t>
            </w:r>
          </w:p>
        </w:tc>
      </w:tr>
      <w:tr>
        <w:tc>
          <w:tcPr>
            <w:tcW w:type="dxa" w:w="4320"/>
          </w:tcPr>
          <w:p>
            <w:r>
              <w:t>Monte Carlo Outcome Cone</w:t>
            </w:r>
          </w:p>
        </w:tc>
        <w:tc>
          <w:tcPr>
            <w:tcW w:type="dxa" w:w="4320"/>
          </w:tcPr>
          <w:p>
            <w:r>
              <w:t>A 1,000-simulation bootstrap resample of the backtest's own trade returns. A wide cone means the result depended heavily on trade order.</w:t>
            </w:r>
          </w:p>
        </w:tc>
      </w:tr>
      <w:tr>
        <w:tc>
          <w:tcPr>
            <w:tcW w:type="dxa" w:w="4320"/>
          </w:tcPr>
          <w:p>
            <w:r>
              <w:t>AI Robustness Note</w:t>
            </w:r>
          </w:p>
        </w:tc>
        <w:tc>
          <w:tcPr>
            <w:tcW w:type="dxa" w:w="4320"/>
          </w:tcPr>
          <w:p>
            <w:r>
              <w:t>Commentary generated from the metrics, not from the price series. If the AI provider fails, the failure is shown here.</w:t>
            </w:r>
          </w:p>
        </w:tc>
      </w:tr>
      <w:tr>
        <w:tc>
          <w:tcPr>
            <w:tcW w:type="dxa" w:w="4320"/>
          </w:tcPr>
          <w:p>
            <w:r>
              <w:t>Deploy to Paper button</w:t>
            </w:r>
          </w:p>
        </w:tc>
        <w:tc>
          <w:tcPr>
            <w:tcW w:type="dxa" w:w="4320"/>
          </w:tcPr>
          <w:p>
            <w:r>
              <w:t>The one real action. Enabled once a backtest has run; makes the strategy eligible to emit live signals.</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Deploy to Paper does not do</w:t>
            </w:r>
          </w:p>
          <w:p>
            <w:r>
              <w:t>No strategy is active on launch - the live Strategy Engine starts empty. Deploying only makes a strategy eligible to generate signals. Every signal still passes through the Risk Engine's sizing and limit checks, and lands on the Order Blotter as pending sign-off. Deploying does not enable auto-trade; that is a separate setting requiring its own confirmation, and it applies only to strategies you list explicitly.</w:t>
            </w:r>
          </w:p>
        </w:tc>
      </w:tr>
    </w:tbl>
    <w:p/>
    <w:p>
      <w:r>
        <w:br w:type="page"/>
      </w:r>
    </w:p>
    <w:p>
      <w:pPr>
        <w:pStyle w:val="Heading1"/>
      </w:pPr>
      <w:r>
        <w:t>5. The Regime Monitor</w:t>
      </w:r>
    </w:p>
    <w:p>
      <w:r>
        <w:t>The Regime Monitor is the detail behind the short summary on the Dashboard. The application classifies the market into one of seven regimes - bull, bear, sideways, high_vol, low_vol, recession and recovery - using a Gaussian Hidden Markov Model blended with a macro and technical rules overlay, then passed through a hysteresis gate so the label does not flicker on noisy data. This screen shows the full probability distribution, the inputs driving it, and every actual regime change.</w:t>
      </w:r>
    </w:p>
    <w:p>
      <w:pPr>
        <w:jc w:val="center"/>
      </w:pPr>
      <w:r>
        <w:drawing>
          <wp:inline xmlns:a="http://schemas.openxmlformats.org/drawingml/2006/main" xmlns:pic="http://schemas.openxmlformats.org/drawingml/2006/picture">
            <wp:extent cx="5669280" cy="3631882"/>
            <wp:docPr id="5" name="Picture 5"/>
            <wp:cNvGraphicFramePr>
              <a:graphicFrameLocks noChangeAspect="1"/>
            </wp:cNvGraphicFramePr>
            <a:graphic>
              <a:graphicData uri="http://schemas.openxmlformats.org/drawingml/2006/picture">
                <pic:pic>
                  <pic:nvPicPr>
                    <pic:cNvPr id="0" name="regime.png"/>
                    <pic:cNvPicPr/>
                  </pic:nvPicPr>
                  <pic:blipFill>
                    <a:blip r:embed="rId13"/>
                    <a:stretch>
                      <a:fillRect/>
                    </a:stretch>
                  </pic:blipFill>
                  <pic:spPr>
                    <a:xfrm>
                      <a:off x="0" y="0"/>
                      <a:ext cx="5669280" cy="3631882"/>
                    </a:xfrm>
                    <a:prstGeom prst="rect"/>
                  </pic:spPr>
                </pic:pic>
              </a:graphicData>
            </a:graphic>
          </wp:inline>
        </w:drawing>
      </w:r>
    </w:p>
    <w:p>
      <w:pPr>
        <w:jc w:val="center"/>
      </w:pPr>
      <w:r>
        <w:rPr>
          <w:i/>
          <w:color w:val="555F6D"/>
          <w:sz w:val="18"/>
        </w:rPr>
        <w:t>Figure 5.1 - The Regime Monitor: the probability distribution across all seven states, the feature drivers behind it, and the transition history.</w:t>
      </w:r>
    </w:p>
    <w:p>
      <w:pPr>
        <w:pStyle w:val="Heading2"/>
      </w:pPr>
      <w:r>
        <w:t>5.1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Regime header</w:t>
            </w:r>
          </w:p>
        </w:tc>
        <w:tc>
          <w:tcPr>
            <w:tcW w:type="dxa" w:w="4320"/>
          </w:tcPr>
          <w:p>
            <w:r>
              <w:t>The current label and its exposure scalar, the portfolio-wide sizing multiplier applied to every signal while the regime holds.</w:t>
            </w:r>
          </w:p>
        </w:tc>
      </w:tr>
      <w:tr>
        <w:tc>
          <w:tcPr>
            <w:tcW w:type="dxa" w:w="4320"/>
          </w:tcPr>
          <w:p>
            <w:r>
              <w:t>Probability bars</w:t>
            </w:r>
          </w:p>
        </w:tc>
        <w:tc>
          <w:tcPr>
            <w:tcW w:type="dxa" w:w="4320"/>
          </w:tcPr>
          <w:p>
            <w:r>
              <w:t>One bar per regime. A distribution with no clear peak means the model is genuinely uncertain, which is itself information.</w:t>
            </w:r>
          </w:p>
        </w:tc>
      </w:tr>
      <w:tr>
        <w:tc>
          <w:tcPr>
            <w:tcW w:type="dxa" w:w="4320"/>
          </w:tcPr>
          <w:p>
            <w:r>
              <w:t>Feature drivers table</w:t>
            </w:r>
          </w:p>
        </w:tc>
        <w:tc>
          <w:tcPr>
            <w:tcW w:type="dxa" w:w="4320"/>
          </w:tcPr>
          <w:p>
            <w:r>
              <w:t>The live values feeding the model: the macro series it tracks and the technical features derived from price.</w:t>
            </w:r>
          </w:p>
        </w:tc>
      </w:tr>
      <w:tr>
        <w:tc>
          <w:tcPr>
            <w:tcW w:type="dxa" w:w="4320"/>
          </w:tcPr>
          <w:p>
            <w:r>
              <w:t>Transition history</w:t>
            </w:r>
          </w:p>
        </w:tc>
        <w:tc>
          <w:tcPr>
            <w:tcW w:type="dxa" w:w="4320"/>
          </w:tcPr>
          <w:p>
            <w:r>
              <w:t>A newest-first, timestamped log of every actual regime change. An entry appears only when the label changes after the hysteresis gate, not on every model update.</w:t>
            </w:r>
          </w:p>
        </w:tc>
      </w:tr>
    </w:tbl>
    <w:p/>
    <w:p>
      <w:r>
        <w:br w:type="page"/>
      </w:r>
    </w:p>
    <w:p>
      <w:pPr>
        <w:pStyle w:val="Heading1"/>
      </w:pPr>
      <w:r>
        <w:t>6. The Risk Console</w:t>
      </w:r>
    </w:p>
    <w:p>
      <w:r>
        <w:t>The Risk Console is the control room for portfolio risk. It surfaces the same figures the Risk Engine uses to size and gate every order, shows how correlated the watchlist currently is, and hosts the kill-switch - the single control that overrides every strategy and the AI layer and halts new order flow immediately.</w:t>
      </w:r>
    </w:p>
    <w:p>
      <w:pPr>
        <w:jc w:val="center"/>
      </w:pPr>
      <w:r>
        <w:drawing>
          <wp:inline xmlns:a="http://schemas.openxmlformats.org/drawingml/2006/main" xmlns:pic="http://schemas.openxmlformats.org/drawingml/2006/picture">
            <wp:extent cx="5669280" cy="3631882"/>
            <wp:docPr id="6" name="Picture 6"/>
            <wp:cNvGraphicFramePr>
              <a:graphicFrameLocks noChangeAspect="1"/>
            </wp:cNvGraphicFramePr>
            <a:graphic>
              <a:graphicData uri="http://schemas.openxmlformats.org/drawingml/2006/picture">
                <pic:pic>
                  <pic:nvPicPr>
                    <pic:cNvPr id="0" name="risk_console.png"/>
                    <pic:cNvPicPr/>
                  </pic:nvPicPr>
                  <pic:blipFill>
                    <a:blip r:embed="rId14"/>
                    <a:stretch>
                      <a:fillRect/>
                    </a:stretch>
                  </pic:blipFill>
                  <pic:spPr>
                    <a:xfrm>
                      <a:off x="0" y="0"/>
                      <a:ext cx="5669280" cy="3631882"/>
                    </a:xfrm>
                    <a:prstGeom prst="rect"/>
                  </pic:spPr>
                </pic:pic>
              </a:graphicData>
            </a:graphic>
          </wp:inline>
        </w:drawing>
      </w:r>
    </w:p>
    <w:p>
      <w:pPr>
        <w:jc w:val="center"/>
      </w:pPr>
      <w:r>
        <w:rPr>
          <w:i/>
          <w:color w:val="555F6D"/>
          <w:sz w:val="18"/>
        </w:rPr>
        <w:t>Figure 6.1 - The Risk Console: an inactive (green) kill-switch, live VaR, Expected Shortfall and concentration tiles, and the correlation table.</w:t>
      </w:r>
    </w:p>
    <w:p>
      <w:pPr>
        <w:pStyle w:val="Heading2"/>
      </w:pPr>
      <w:r>
        <w:t>6.1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Kill-switch button</w:t>
            </w:r>
          </w:p>
        </w:tc>
        <w:tc>
          <w:tcPr>
            <w:tcW w:type="dxa" w:w="4320"/>
          </w:tcPr>
          <w:p>
            <w:r>
              <w:t>Always visible at the top. Green when inactive, red when tripped. Tripping it halts all new order flow at once; it does not liquidate existing positions.</w:t>
            </w:r>
          </w:p>
        </w:tc>
      </w:tr>
      <w:tr>
        <w:tc>
          <w:tcPr>
            <w:tcW w:type="dxa" w:w="4320"/>
          </w:tcPr>
          <w:p>
            <w:r>
              <w:t>Portfolio VaR (95%) and (99%) tiles</w:t>
            </w:r>
          </w:p>
        </w:tc>
        <w:tc>
          <w:tcPr>
            <w:tcW w:type="dxa" w:w="4320"/>
          </w:tcPr>
          <w:p>
            <w:r>
              <w:t>Historical Value-at-Risk at each confidence level, from the live return history of the current portfolio.</w:t>
            </w:r>
          </w:p>
        </w:tc>
      </w:tr>
      <w:tr>
        <w:tc>
          <w:tcPr>
            <w:tcW w:type="dxa" w:w="4320"/>
          </w:tcPr>
          <w:p>
            <w:r>
              <w:t>Expected Shortfall (97.5%) tile</w:t>
            </w:r>
          </w:p>
        </w:tc>
        <w:tc>
          <w:tcPr>
            <w:tcW w:type="dxa" w:w="4320"/>
          </w:tcPr>
          <w:p>
            <w:r>
              <w:t>The average loss in the tail beyond the 97.5% VaR threshold - what a bad day costs when it is bad, rather than how often.</w:t>
            </w:r>
          </w:p>
        </w:tc>
      </w:tr>
      <w:tr>
        <w:tc>
          <w:tcPr>
            <w:tcW w:type="dxa" w:w="4320"/>
          </w:tcPr>
          <w:p>
            <w:r>
              <w:t>Single-name concentration tile</w:t>
            </w:r>
          </w:p>
        </w:tc>
        <w:tc>
          <w:tcPr>
            <w:tcW w:type="dxa" w:w="4320"/>
          </w:tcPr>
          <w:p>
            <w:r>
              <w:t>The largest single position's share of total equity, against the configured cap.</w:t>
            </w:r>
          </w:p>
        </w:tc>
      </w:tr>
      <w:tr>
        <w:tc>
          <w:tcPr>
            <w:tcW w:type="dxa" w:w="4320"/>
          </w:tcPr>
          <w:p>
            <w:r>
              <w:t>Correlation table</w:t>
            </w:r>
          </w:p>
        </w:tc>
        <w:tc>
          <w:tcPr>
            <w:tcW w:type="dxa" w:w="4320"/>
          </w:tcPr>
          <w:p>
            <w:r>
              <w:t>Pairwise trailing-return correlation across the watchlist, colour-coded. High correlation means position limits are counting exposures that are not actually independent.</w:t>
            </w:r>
          </w:p>
        </w:tc>
      </w:tr>
    </w:tbl>
    <w:p/>
    <w:p>
      <w:pPr>
        <w:pStyle w:val="Heading2"/>
      </w:pPr>
      <w:r>
        <w:t>6.2 What Trips the Kill-Switch Automatically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Trigger</w:t>
            </w:r>
          </w:p>
        </w:tc>
        <w:tc>
          <w:tcPr>
            <w:tcW w:type="dxa" w:w="4320"/>
          </w:tcPr>
          <w:p>
            <w:r/>
            <w:r>
              <w:rPr>
                <w:b/>
              </w:rPr>
              <w:t>Condition</w:t>
            </w:r>
          </w:p>
        </w:tc>
      </w:tr>
      <w:tr>
        <w:tc>
          <w:tcPr>
            <w:tcW w:type="dxa" w:w="4320"/>
          </w:tcPr>
          <w:p>
            <w:r>
              <w:t>Manual</w:t>
            </w:r>
          </w:p>
        </w:tc>
        <w:tc>
          <w:tcPr>
            <w:tcW w:type="dxa" w:w="4320"/>
          </w:tcPr>
          <w:p>
            <w:r>
              <w:t>An operator clicks the button. Recorded with the operator's name.</w:t>
            </w:r>
          </w:p>
        </w:tc>
      </w:tr>
      <w:tr>
        <w:tc>
          <w:tcPr>
            <w:tcW w:type="dxa" w:w="4320"/>
          </w:tcPr>
          <w:p>
            <w:r>
              <w:t>Daily loss</w:t>
            </w:r>
          </w:p>
        </w:tc>
        <w:tc>
          <w:tcPr>
            <w:tcW w:type="dxa" w:w="4320"/>
          </w:tcPr>
          <w:p>
            <w:r>
              <w:t>The day's loss reaches the configured daily-loss limit.</w:t>
            </w:r>
          </w:p>
        </w:tc>
      </w:tr>
      <w:tr>
        <w:tc>
          <w:tcPr>
            <w:tcW w:type="dxa" w:w="4320"/>
          </w:tcPr>
          <w:p>
            <w:r>
              <w:t>Drawdown</w:t>
            </w:r>
          </w:p>
        </w:tc>
        <w:tc>
          <w:tcPr>
            <w:tcW w:type="dxa" w:w="4320"/>
          </w:tcPr>
          <w:p>
            <w:r>
              <w:t>Drawdown from the peak reaches the configured maximum.</w:t>
            </w:r>
          </w:p>
        </w:tc>
      </w:tr>
      <w:tr>
        <w:tc>
          <w:tcPr>
            <w:tcW w:type="dxa" w:w="4320"/>
          </w:tcPr>
          <w:p>
            <w:r>
              <w:t>Data staleness</w:t>
            </w:r>
          </w:p>
        </w:tc>
        <w:tc>
          <w:tcPr>
            <w:tcW w:type="dxa" w:w="4320"/>
          </w:tcPr>
          <w:p>
            <w:r>
              <w:t>No fresh market data within the staleness window - the feed died, and trading on the last known price is worse than not trading.</w:t>
            </w:r>
          </w:p>
        </w:tc>
      </w:tr>
      <w:tr>
        <w:tc>
          <w:tcPr>
            <w:tcW w:type="dxa" w:w="4320"/>
          </w:tcPr>
          <w:p>
            <w:r>
              <w:t>Reconciliation mismatch</w:t>
            </w:r>
          </w:p>
        </w:tc>
        <w:tc>
          <w:tcPr>
            <w:tcW w:type="dxa" w:w="4320"/>
          </w:tcPr>
          <w:p>
            <w:r>
              <w:t>The broker's reported positions disagree with the application's own record.</w:t>
            </w:r>
          </w:p>
        </w:tc>
      </w:tr>
    </w:tbl>
    <w:p/>
    <w:p>
      <w:r>
        <w:t>A tripped kill-switch stays tripped until it is reset deliberately. It blocks new orders; it never sells anything on your behalf.</w:t>
      </w:r>
    </w:p>
    <w:p>
      <w:r>
        <w:br w:type="page"/>
      </w:r>
    </w:p>
    <w:p>
      <w:pPr>
        <w:pStyle w:val="Heading1"/>
      </w:pPr>
      <w:r>
        <w:t>7. The AI Advisor</w:t>
      </w:r>
    </w:p>
    <w:p>
      <w:r>
        <w:t>The AI Advisor is a free-text research interface into the same advisory service that generates the regime notes and backtest commentary elsewhere in the application. It is an analyst, never a trader: this screen holds no reference to the Order Management System or to a broker, so there is no code path from a question typed here to an order placed anywhere.</w:t>
      </w:r>
    </w:p>
    <w:p>
      <w:pPr>
        <w:jc w:val="center"/>
      </w:pPr>
      <w:r>
        <w:drawing>
          <wp:inline xmlns:a="http://schemas.openxmlformats.org/drawingml/2006/main" xmlns:pic="http://schemas.openxmlformats.org/drawingml/2006/picture">
            <wp:extent cx="5669280" cy="3631882"/>
            <wp:docPr id="7" name="Picture 7"/>
            <wp:cNvGraphicFramePr>
              <a:graphicFrameLocks noChangeAspect="1"/>
            </wp:cNvGraphicFramePr>
            <a:graphic>
              <a:graphicData uri="http://schemas.openxmlformats.org/drawingml/2006/picture">
                <pic:pic>
                  <pic:nvPicPr>
                    <pic:cNvPr id="0" name="ai_advisor.png"/>
                    <pic:cNvPicPr/>
                  </pic:nvPicPr>
                  <pic:blipFill>
                    <a:blip r:embed="rId15"/>
                    <a:stretch>
                      <a:fillRect/>
                    </a:stretch>
                  </pic:blipFill>
                  <pic:spPr>
                    <a:xfrm>
                      <a:off x="0" y="0"/>
                      <a:ext cx="5669280" cy="3631882"/>
                    </a:xfrm>
                    <a:prstGeom prst="rect"/>
                  </pic:spPr>
                </pic:pic>
              </a:graphicData>
            </a:graphic>
          </wp:inline>
        </w:drawing>
      </w:r>
    </w:p>
    <w:p>
      <w:pPr>
        <w:jc w:val="center"/>
      </w:pPr>
      <w:r>
        <w:rPr>
          <w:i/>
          <w:color w:val="555F6D"/>
          <w:sz w:val="18"/>
        </w:rPr>
        <w:t>Figure 7.1 - The AI Advisor after a research question, showing the recommendation, its confidence, and any risk flags.</w:t>
      </w:r>
    </w:p>
    <w:p>
      <w:pPr>
        <w:pStyle w:val="Heading2"/>
      </w:pPr>
      <w:r>
        <w:t>7.1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Symbol dropdown</w:t>
            </w:r>
          </w:p>
        </w:tc>
        <w:tc>
          <w:tcPr>
            <w:tcW w:type="dxa" w:w="4320"/>
          </w:tcPr>
          <w:p>
            <w:r>
              <w:t>The symbol context sent with the next question, including your current position in it.</w:t>
            </w:r>
          </w:p>
        </w:tc>
      </w:tr>
      <w:tr>
        <w:tc>
          <w:tcPr>
            <w:tcW w:type="dxa" w:w="4320"/>
          </w:tcPr>
          <w:p>
            <w:r>
              <w:t>Question input</w:t>
            </w:r>
          </w:p>
        </w:tc>
        <w:tc>
          <w:tcPr>
            <w:tcW w:type="dxa" w:w="4320"/>
          </w:tcPr>
          <w:p>
            <w:r>
              <w:t>A free-text research question. Enter or Ask sends it.</w:t>
            </w:r>
          </w:p>
        </w:tc>
      </w:tr>
      <w:tr>
        <w:tc>
          <w:tcPr>
            <w:tcW w:type="dxa" w:w="4320"/>
          </w:tcPr>
          <w:p>
            <w:r>
              <w:t>Ask button</w:t>
            </w:r>
          </w:p>
        </w:tc>
        <w:tc>
          <w:tcPr>
            <w:tcW w:type="dxa" w:w="4320"/>
          </w:tcPr>
          <w:p>
            <w:r>
              <w:t>Sends the question together with the current regime, positions and risk state.</w:t>
            </w:r>
          </w:p>
        </w:tc>
      </w:tr>
      <w:tr>
        <w:tc>
          <w:tcPr>
            <w:tcW w:type="dxa" w:w="4320"/>
          </w:tcPr>
          <w:p>
            <w:r>
              <w:t>Conversation pane</w:t>
            </w:r>
          </w:p>
        </w:tc>
        <w:tc>
          <w:tcPr>
            <w:tcW w:type="dxa" w:w="4320"/>
          </w:tcPr>
          <w:p>
            <w:r>
              <w:t>A running, read-only transcript. Each answer carries the advisor's recommendation, a confidence figure and any risk flags. Provider failures appear here as errors rather than as silence.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How your question is handled</w:t>
            </w:r>
          </w:p>
          <w:p>
            <w:r>
              <w:t>The text you type is passed to the model as clearly-labelled, untrusted 'fetched' context - the same channel used for any other external text the system quotes - never as part of the instruction-bearing system prompt. This is a structural defence against prompt injection: nothing typed here, or found in any fetched data elsewhere in the application, can make the model act outside its fixed role as an analyst. Every recommendation is also re-checked against the Risk Engine before it is displayed.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provider answers</w:t>
            </w:r>
          </w:p>
          <w:p>
            <w:r>
              <w:t>Requests are routed into one of two slots, each with its own configured provider (Section 11.1). Anything touching your positions or portfolio goes to the position-sensitive slot, which can be kept local-only even when general requests use Anthropic's cloud API. With no provider configured, the built-in demo engine answers - always 'hold', zero confidence, flagged demo_mode_no_real_llm - so the application is usable out of the box without pretending to give analysis.</w:t>
            </w:r>
          </w:p>
        </w:tc>
      </w:tr>
    </w:tbl>
    <w:p/>
    <w:p>
      <w:r>
        <w:br w:type="page"/>
      </w:r>
    </w:p>
    <w:p>
      <w:pPr>
        <w:pStyle w:val="Heading1"/>
      </w:pPr>
      <w:r>
        <w:t>8. The Order Blotter</w:t>
      </w:r>
    </w:p>
    <w:p>
      <w:r>
        <w:t>The Order Blotter is where every order in the system can be reviewed, and the only screen that can send one to the broker. It repeats the paper/live banner directly above the order table, since that is the moment the distinction matters most.</w:t>
      </w:r>
    </w:p>
    <w:p>
      <w:pPr>
        <w:jc w:val="center"/>
      </w:pPr>
      <w:r>
        <w:drawing>
          <wp:inline xmlns:a="http://schemas.openxmlformats.org/drawingml/2006/main" xmlns:pic="http://schemas.openxmlformats.org/drawingml/2006/picture">
            <wp:extent cx="5669280" cy="3631882"/>
            <wp:docPr id="8" name="Picture 8"/>
            <wp:cNvGraphicFramePr>
              <a:graphicFrameLocks noChangeAspect="1"/>
            </wp:cNvGraphicFramePr>
            <a:graphic>
              <a:graphicData uri="http://schemas.openxmlformats.org/drawingml/2006/picture">
                <pic:pic>
                  <pic:nvPicPr>
                    <pic:cNvPr id="0" name="blotter.png"/>
                    <pic:cNvPicPr/>
                  </pic:nvPicPr>
                  <pic:blipFill>
                    <a:blip r:embed="rId16"/>
                    <a:stretch>
                      <a:fillRect/>
                    </a:stretch>
                  </pic:blipFill>
                  <pic:spPr>
                    <a:xfrm>
                      <a:off x="0" y="0"/>
                      <a:ext cx="5669280" cy="3631882"/>
                    </a:xfrm>
                    <a:prstGeom prst="rect"/>
                  </pic:spPr>
                </pic:pic>
              </a:graphicData>
            </a:graphic>
          </wp:inline>
        </w:drawing>
      </w:r>
    </w:p>
    <w:p>
      <w:pPr>
        <w:jc w:val="center"/>
      </w:pPr>
      <w:r>
        <w:rPr>
          <w:i/>
          <w:color w:val="555F6D"/>
          <w:sz w:val="18"/>
        </w:rPr>
        <w:t>Figure 8.1 - The Order Blotter, filtered to orders awaiting sign-off. Sign Off and Reject act on every selected row; the confirmation dialog itemises them.</w:t>
      </w:r>
    </w:p>
    <w:p>
      <w:pPr>
        <w:pStyle w:val="Heading2"/>
      </w:pPr>
      <w:r>
        <w:t>8.1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Mode banner</w:t>
            </w:r>
          </w:p>
        </w:tc>
        <w:tc>
          <w:tcPr>
            <w:tcW w:type="dxa" w:w="4320"/>
          </w:tcPr>
          <w:p>
            <w:r>
              <w:t>Repeats the main window's paper/live indicator above the table.</w:t>
            </w:r>
          </w:p>
        </w:tc>
      </w:tr>
      <w:tr>
        <w:tc>
          <w:tcPr>
            <w:tcW w:type="dxa" w:w="4320"/>
          </w:tcPr>
          <w:p>
            <w:r>
              <w:t>Show filter</w:t>
            </w:r>
          </w:p>
        </w:tc>
        <w:tc>
          <w:tcPr>
            <w:tcW w:type="dxa" w:w="4320"/>
          </w:tcPr>
          <w:p>
            <w:r>
              <w:t>Filters by status: Pending sign-off (the default), All, Filled, Rejected or Cancelled. Pending is the default because it is the only actionable set, and it keeps the view short even against a long history.</w:t>
            </w:r>
          </w:p>
        </w:tc>
      </w:tr>
      <w:tr>
        <w:tc>
          <w:tcPr>
            <w:tcW w:type="dxa" w:w="4320"/>
          </w:tcPr>
          <w:p>
            <w:r>
              <w:t>Orders table</w:t>
            </w:r>
          </w:p>
        </w:tc>
        <w:tc>
          <w:tcPr>
            <w:tcW w:type="dxa" w:w="4320"/>
          </w:tcPr>
          <w:p>
            <w:r>
              <w:t>Order ID, symbol, side, quantity, status and creation time. Rows are multi-selectable; the rendered view is capped while the underlying order history is never truncated.</w:t>
            </w:r>
          </w:p>
        </w:tc>
      </w:tr>
      <w:tr>
        <w:tc>
          <w:tcPr>
            <w:tcW w:type="dxa" w:w="4320"/>
          </w:tcPr>
          <w:p>
            <w:r>
              <w:t>Sign Off Selected</w:t>
            </w:r>
          </w:p>
        </w:tc>
        <w:tc>
          <w:tcPr>
            <w:tcW w:type="dxa" w:w="4320"/>
          </w:tcPr>
          <w:p>
            <w:r>
              <w:t>Enabled when at least one selected order is awaiting sign-off. Opens a confirmation dialog that itemises every order it is about to transmit.</w:t>
            </w:r>
          </w:p>
        </w:tc>
      </w:tr>
      <w:tr>
        <w:tc>
          <w:tcPr>
            <w:tcW w:type="dxa" w:w="4320"/>
          </w:tcPr>
          <w:p>
            <w:r>
              <w:t>Reject Selected</w:t>
            </w:r>
          </w:p>
        </w:tc>
        <w:tc>
          <w:tcPr>
            <w:tcW w:type="dxa" w:w="4320"/>
          </w:tcPr>
          <w:p>
            <w:r>
              <w:t>Enabled under the same condition, with the same style of itemised confirmation.</w:t>
            </w:r>
          </w:p>
        </w:tc>
      </w:tr>
      <w:tr>
        <w:tc>
          <w:tcPr>
            <w:tcW w:type="dxa" w:w="4320"/>
          </w:tcPr>
          <w:p>
            <w:r>
              <w:t>Select All Pending</w:t>
            </w:r>
          </w:p>
        </w:tc>
        <w:tc>
          <w:tcPr>
            <w:tcW w:type="dxa" w:w="4320"/>
          </w:tcPr>
          <w:p>
            <w:r>
              <w:t>Selects every visible order awaiting sign-off, for review as a batch.</w:t>
            </w:r>
          </w:p>
        </w:tc>
      </w:tr>
    </w:tbl>
    <w:p/>
    <w:p>
      <w:pPr>
        <w:pStyle w:val="Heading2"/>
      </w:pPr>
      <w:r>
        <w:t>8.2 Order Status Lifecycle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new</w:t>
            </w:r>
          </w:p>
        </w:tc>
        <w:tc>
          <w:tcPr>
            <w:tcW w:type="dxa" w:w="4320"/>
          </w:tcPr>
          <w:p>
            <w:r>
              <w:t>Created; not yet evaluated by the Risk Engine.</w:t>
            </w:r>
          </w:p>
        </w:tc>
      </w:tr>
      <w:tr>
        <w:tc>
          <w:tcPr>
            <w:tcW w:type="dxa" w:w="4320"/>
          </w:tcPr>
          <w:p>
            <w:r>
              <w:t>pending_signoff</w:t>
            </w:r>
          </w:p>
        </w:tc>
        <w:tc>
          <w:tcPr>
            <w:tcW w:type="dxa" w:w="4320"/>
          </w:tcPr>
          <w:p>
            <w:r>
              <w:t>Passed the Risk Engine and is awaiting an explicit sign-off or rejection.</w:t>
            </w:r>
          </w:p>
        </w:tc>
      </w:tr>
      <w:tr>
        <w:tc>
          <w:tcPr>
            <w:tcW w:type="dxa" w:w="4320"/>
          </w:tcPr>
          <w:p>
            <w:r>
              <w:t>transmitted</w:t>
            </w:r>
          </w:p>
        </w:tc>
        <w:tc>
          <w:tcPr>
            <w:tcW w:type="dxa" w:w="4320"/>
          </w:tcPr>
          <w:p>
            <w:r>
              <w:t>Sign-off confirmed; sent to the broker and awaiting a fill.</w:t>
            </w:r>
          </w:p>
        </w:tc>
      </w:tr>
      <w:tr>
        <w:tc>
          <w:tcPr>
            <w:tcW w:type="dxa" w:w="4320"/>
          </w:tcPr>
          <w:p>
            <w:r>
              <w:t>filled</w:t>
            </w:r>
          </w:p>
        </w:tc>
        <w:tc>
          <w:tcPr>
            <w:tcW w:type="dxa" w:w="4320"/>
          </w:tcPr>
          <w:p>
            <w:r>
              <w:t>The broker reports the order as executed.</w:t>
            </w:r>
          </w:p>
        </w:tc>
      </w:tr>
      <w:tr>
        <w:tc>
          <w:tcPr>
            <w:tcW w:type="dxa" w:w="4320"/>
          </w:tcPr>
          <w:p>
            <w:r>
              <w:t>cancelled</w:t>
            </w:r>
          </w:p>
        </w:tc>
        <w:tc>
          <w:tcPr>
            <w:tcW w:type="dxa" w:w="4320"/>
          </w:tcPr>
          <w:p>
            <w:r>
              <w:t>Cancelled before it filled.</w:t>
            </w:r>
          </w:p>
        </w:tc>
      </w:tr>
      <w:tr>
        <w:tc>
          <w:tcPr>
            <w:tcW w:type="dxa" w:w="4320"/>
          </w:tcPr>
          <w:p>
            <w:r>
              <w:t>rejected</w:t>
            </w:r>
          </w:p>
        </w:tc>
        <w:tc>
          <w:tcPr>
            <w:tcW w:type="dxa" w:w="4320"/>
          </w:tcPr>
          <w:p>
            <w:r>
              <w:t>Rejected either by the Risk Engine, by the cash rule at sign-off, or by you.</w:t>
            </w:r>
          </w:p>
        </w:tc>
      </w:tr>
    </w:tbl>
    <w:p/>
    <w:p>
      <w:pPr>
        <w:pStyle w:val="Heading2"/>
      </w:pPr>
      <w:r>
        <w:t>8.3 Bulk Sign-Off</w:t>
      </w:r>
    </w:p>
    <w:p>
      <w:r>
        <w:t>Selecting many orders and signing them off in one action is supported, but the confirmation dialog still lists every order it is about to transmit, so approving a batch stays an informed decision rather than one blind click. Each order is still individually transmitted only after that confirmation, and each is re-checked against current cash at that moment - ten orders that were each affordable when created cannot collectively overspend when approved together.</w:t>
      </w:r>
    </w:p>
    <w:tbl>
      <w:tblPr>
        <w:tblStyle w:val="TableGrid"/>
        <w:tblW w:type="auto" w:w="0"/>
        <w:tblLook w:firstColumn="1" w:firstRow="1" w:lastColumn="0" w:lastRow="0" w:noHBand="0" w:noVBand="1" w:val="04A0"/>
      </w:tblPr>
      <w:tblGrid>
        <w:gridCol w:w="8640"/>
      </w:tblGrid>
      <w:tr>
        <w:tc>
          <w:tcPr>
            <w:tcW w:type="dxa" w:w="8640"/>
          </w:tcPr>
          <w:p>
            <w:r>
              <w:rPr>
                <w:b/>
                <w:color w:val="1B3A5F"/>
              </w:rPr>
              <w:t>The safety invariant behind this screen</w:t>
            </w:r>
          </w:p>
          <w:p>
            <w:r>
              <w:t>No code path in the application calls the broker directly from a signal or a risk decision. Submitting an order only ever creates a pending record. In the default Recommend mode, only the explicit, operator-attributed sign-off confirmed through this screen moves an order to transmitted. In the optional auto-trade mode (Section 12.3) the autonomy gate performs that sign-off instead, for listed strategies on paper accounts only, and writes every decision it takes or blocks to the autonomy journal.</w:t>
            </w:r>
          </w:p>
        </w:tc>
      </w:tr>
    </w:tbl>
    <w:p/>
    <w:p>
      <w:r>
        <w:br w:type="page"/>
      </w:r>
    </w:p>
    <w:p>
      <w:pPr>
        <w:pStyle w:val="Heading1"/>
      </w:pPr>
      <w:r>
        <w:t>9. The Screener</w:t>
      </w:r>
    </w:p>
    <w:p>
      <w:r>
        <w:t>The Screener narrows a candidate universe to the names worth taking to the Workbench. It is read-only by design: it never edits the tradable watchlist. Promoting a screened symbol is a deliberate step - add it to the curated list in Settings and restart.</w:t>
      </w:r>
    </w:p>
    <w:p>
      <w:pPr>
        <w:jc w:val="center"/>
      </w:pPr>
      <w:r>
        <w:drawing>
          <wp:inline xmlns:a="http://schemas.openxmlformats.org/drawingml/2006/main" xmlns:pic="http://schemas.openxmlformats.org/drawingml/2006/picture">
            <wp:extent cx="5669280" cy="3631882"/>
            <wp:docPr id="9" name="Picture 9"/>
            <wp:cNvGraphicFramePr>
              <a:graphicFrameLocks noChangeAspect="1"/>
            </wp:cNvGraphicFramePr>
            <a:graphic>
              <a:graphicData uri="http://schemas.openxmlformats.org/drawingml/2006/picture">
                <pic:pic>
                  <pic:nvPicPr>
                    <pic:cNvPr id="0" name="screener.png"/>
                    <pic:cNvPicPr/>
                  </pic:nvPicPr>
                  <pic:blipFill>
                    <a:blip r:embed="rId17"/>
                    <a:stretch>
                      <a:fillRect/>
                    </a:stretch>
                  </pic:blipFill>
                  <pic:spPr>
                    <a:xfrm>
                      <a:off x="0" y="0"/>
                      <a:ext cx="5669280" cy="3631882"/>
                    </a:xfrm>
                    <a:prstGeom prst="rect"/>
                  </pic:spPr>
                </pic:pic>
              </a:graphicData>
            </a:graphic>
          </wp:inline>
        </w:drawing>
      </w:r>
    </w:p>
    <w:p>
      <w:pPr>
        <w:jc w:val="center"/>
      </w:pPr>
      <w:r>
        <w:rPr>
          <w:i/>
          <w:color w:val="555F6D"/>
          <w:sz w:val="18"/>
        </w:rPr>
        <w:t>Figure 9.1 - The Screener after a run against the US curated watchlist: sector, fundamentals and the technical trend read for each candidate.</w:t>
      </w:r>
    </w:p>
    <w:p>
      <w:pPr>
        <w:pStyle w:val="Heading2"/>
      </w:pPr>
      <w:r>
        <w:t>9.1 Filters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Filter</w:t>
            </w:r>
          </w:p>
        </w:tc>
        <w:tc>
          <w:tcPr>
            <w:tcW w:type="dxa" w:w="4320"/>
          </w:tcPr>
          <w:p>
            <w:r/>
            <w:r>
              <w:rPr>
                <w:b/>
              </w:rPr>
              <w:t>Description</w:t>
            </w:r>
          </w:p>
        </w:tc>
      </w:tr>
      <w:tr>
        <w:tc>
          <w:tcPr>
            <w:tcW w:type="dxa" w:w="4320"/>
          </w:tcPr>
          <w:p>
            <w:r>
              <w:t>Market</w:t>
            </w:r>
          </w:p>
        </w:tc>
        <w:tc>
          <w:tcPr>
            <w:tcW w:type="dxa" w:w="4320"/>
          </w:tcPr>
          <w:p>
            <w:r>
              <w:t>US or ASX. Determines which candidate lists are searched.</w:t>
            </w:r>
          </w:p>
        </w:tc>
      </w:tr>
      <w:tr>
        <w:tc>
          <w:tcPr>
            <w:tcW w:type="dxa" w:w="4320"/>
          </w:tcPr>
          <w:p>
            <w:r>
              <w:t>Category</w:t>
            </w:r>
          </w:p>
        </w:tc>
        <w:tc>
          <w:tcPr>
            <w:tcW w:type="dxa" w:w="4320"/>
          </w:tcPr>
          <w:p>
            <w:r>
              <w:t>curated (your own list from Settings), etf, or megacap - the built-in universes.</w:t>
            </w:r>
          </w:p>
        </w:tc>
      </w:tr>
      <w:tr>
        <w:tc>
          <w:tcPr>
            <w:tcW w:type="dxa" w:w="4320"/>
          </w:tcPr>
          <w:p>
            <w:r>
              <w:t>Sector</w:t>
            </w:r>
          </w:p>
        </w:tc>
        <w:tc>
          <w:tcPr>
            <w:tcW w:type="dxa" w:w="4320"/>
          </w:tcPr>
          <w:p>
            <w:r>
              <w:t>Restricts results to one GICS-style sector, or All.</w:t>
            </w:r>
          </w:p>
        </w:tc>
      </w:tr>
      <w:tr>
        <w:tc>
          <w:tcPr>
            <w:tcW w:type="dxa" w:w="4320"/>
          </w:tcPr>
          <w:p>
            <w:r>
              <w:t>Min EPS growth</w:t>
            </w:r>
          </w:p>
        </w:tc>
        <w:tc>
          <w:tcPr>
            <w:tcW w:type="dxa" w:w="4320"/>
          </w:tcPr>
          <w:p>
            <w:r>
              <w:t>Minimum year-on-year earnings-per-share growth.</w:t>
            </w:r>
          </w:p>
        </w:tc>
      </w:tr>
      <w:tr>
        <w:tc>
          <w:tcPr>
            <w:tcW w:type="dxa" w:w="4320"/>
          </w:tcPr>
          <w:p>
            <w:r>
              <w:t>Max PEG</w:t>
            </w:r>
          </w:p>
        </w:tc>
        <w:tc>
          <w:tcPr>
            <w:tcW w:type="dxa" w:w="4320"/>
          </w:tcPr>
          <w:p>
            <w:r>
              <w:t>Maximum price/earnings-to-growth ratio.</w:t>
            </w:r>
          </w:p>
        </w:tc>
      </w:tr>
      <w:tr>
        <w:tc>
          <w:tcPr>
            <w:tcW w:type="dxa" w:w="4320"/>
          </w:tcPr>
          <w:p>
            <w:r>
              <w:t>Min dividend yield</w:t>
            </w:r>
          </w:p>
        </w:tc>
        <w:tc>
          <w:tcPr>
            <w:tcW w:type="dxa" w:w="4320"/>
          </w:tcPr>
          <w:p>
            <w:r>
              <w:t>Minimum trailing dividend yield.</w:t>
            </w:r>
          </w:p>
        </w:tc>
      </w:tr>
      <w:tr>
        <w:tc>
          <w:tcPr>
            <w:tcW w:type="dxa" w:w="4320"/>
          </w:tcPr>
          <w:p>
            <w:r>
              <w:t>Min average volume</w:t>
            </w:r>
          </w:p>
        </w:tc>
        <w:tc>
          <w:tcPr>
            <w:tcW w:type="dxa" w:w="4320"/>
          </w:tcPr>
          <w:p>
            <w:r>
              <w:t>Minimum average daily volume - the liquidity floor, applied before anything else.</w:t>
            </w:r>
          </w:p>
        </w:tc>
      </w:tr>
    </w:tbl>
    <w:p/>
    <w:p>
      <w:pPr>
        <w:pStyle w:val="Heading2"/>
      </w:pPr>
      <w:r>
        <w:t>9.2 Result Columns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Description</w:t>
            </w:r>
          </w:p>
        </w:tc>
      </w:tr>
      <w:tr>
        <w:tc>
          <w:tcPr>
            <w:tcW w:type="dxa" w:w="4320"/>
          </w:tcPr>
          <w:p>
            <w:r>
              <w:t>Symbol</w:t>
            </w:r>
          </w:p>
        </w:tc>
        <w:tc>
          <w:tcPr>
            <w:tcW w:type="dxa" w:w="4320"/>
          </w:tcPr>
          <w:p>
            <w:r>
              <w:t>The ticker, matching the field name used by both supported brokers.</w:t>
            </w:r>
          </w:p>
        </w:tc>
      </w:tr>
      <w:tr>
        <w:tc>
          <w:tcPr>
            <w:tcW w:type="dxa" w:w="4320"/>
          </w:tcPr>
          <w:p>
            <w:r>
              <w:t>Name</w:t>
            </w:r>
          </w:p>
        </w:tc>
        <w:tc>
          <w:tcPr>
            <w:tcW w:type="dxa" w:w="4320"/>
          </w:tcPr>
          <w:p>
            <w:r>
              <w:t>The instrument's name.</w:t>
            </w:r>
          </w:p>
        </w:tc>
      </w:tr>
      <w:tr>
        <w:tc>
          <w:tcPr>
            <w:tcW w:type="dxa" w:w="4320"/>
          </w:tcPr>
          <w:p>
            <w:r>
              <w:t>Sector</w:t>
            </w:r>
          </w:p>
        </w:tc>
        <w:tc>
          <w:tcPr>
            <w:tcW w:type="dxa" w:w="4320"/>
          </w:tcPr>
          <w:p>
            <w:r>
              <w:t>Its sector, from a curated map covering US and ASX listings.</w:t>
            </w:r>
          </w:p>
        </w:tc>
      </w:tr>
      <w:tr>
        <w:tc>
          <w:tcPr>
            <w:tcW w:type="dxa" w:w="4320"/>
          </w:tcPr>
          <w:p>
            <w:r>
              <w:t>Price</w:t>
            </w:r>
          </w:p>
        </w:tc>
        <w:tc>
          <w:tcPr>
            <w:tcW w:type="dxa" w:w="4320"/>
          </w:tcPr>
          <w:p>
            <w:r>
              <w:t>The most recent close from the configured price source.</w:t>
            </w:r>
          </w:p>
        </w:tc>
      </w:tr>
      <w:tr>
        <w:tc>
          <w:tcPr>
            <w:tcW w:type="dxa" w:w="4320"/>
          </w:tcPr>
          <w:p>
            <w:r>
              <w:t>Avg Volume</w:t>
            </w:r>
          </w:p>
        </w:tc>
        <w:tc>
          <w:tcPr>
            <w:tcW w:type="dxa" w:w="4320"/>
          </w:tcPr>
          <w:p>
            <w:r>
              <w:t>Average daily volume.</w:t>
            </w:r>
          </w:p>
        </w:tc>
      </w:tr>
      <w:tr>
        <w:tc>
          <w:tcPr>
            <w:tcW w:type="dxa" w:w="4320"/>
          </w:tcPr>
          <w:p>
            <w:r>
              <w:t>EPS Growth, PEG, Div Yield, ROE</w:t>
            </w:r>
          </w:p>
        </w:tc>
        <w:tc>
          <w:tcPr>
            <w:tcW w:type="dxa" w:w="4320"/>
          </w:tcPr>
          <w:p>
            <w:r>
              <w:t>The fundamental figures the filters act on.</w:t>
            </w:r>
          </w:p>
        </w:tc>
      </w:tr>
      <w:tr>
        <w:tc>
          <w:tcPr>
            <w:tcW w:type="dxa" w:w="4320"/>
          </w:tcPr>
          <w:p>
            <w:r>
              <w:t>Trend</w:t>
            </w:r>
          </w:p>
        </w:tc>
        <w:tc>
          <w:tcPr>
            <w:tcW w:type="dxa" w:w="4320"/>
          </w:tcPr>
          <w:p>
            <w:r>
              <w:t>Up, Down or Flat, from the close against its 20-period simple moving average over a 40-bar window. A dash means there was not enough history.</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figures here are real</w:t>
            </w:r>
          </w:p>
          <w:p>
            <w:r>
              <w:t>The price and trend columns come from the configured market data source, so they are real when the application is configured for real data and simulated otherwise. The fundamental columns - EPS growth, PEG, dividend yield and ROE - are generated by a mock source in all configurations: no fundamentals vendor is wired up. Sectors are real, from a curated map. Screen on the fundamentals to exercise the workflow, not to pick stocks.</w:t>
            </w:r>
          </w:p>
        </w:tc>
      </w:tr>
    </w:tbl>
    <w:p/>
    <w:p>
      <w:r>
        <w:br w:type="page"/>
      </w:r>
    </w:p>
    <w:p>
      <w:pPr>
        <w:pStyle w:val="Heading1"/>
      </w:pPr>
      <w:r>
        <w:t>10. The Performance Screen</w:t>
      </w:r>
    </w:p>
    <w:p>
      <w:r>
        <w:t>Every other screen shows what the system is doing or intends to do. This one shows whether any of it worked. It is built entirely on realised, closed trades - never on signals or intentions - because a decision journal tells you what the system chose, never whether the choice was right.</w:t>
      </w:r>
    </w:p>
    <w:p>
      <w:pPr>
        <w:jc w:val="center"/>
      </w:pPr>
      <w:r>
        <w:drawing>
          <wp:inline xmlns:a="http://schemas.openxmlformats.org/drawingml/2006/main" xmlns:pic="http://schemas.openxmlformats.org/drawingml/2006/picture">
            <wp:extent cx="5669280" cy="3631882"/>
            <wp:docPr id="10" name="Picture 10"/>
            <wp:cNvGraphicFramePr>
              <a:graphicFrameLocks noChangeAspect="1"/>
            </wp:cNvGraphicFramePr>
            <a:graphic>
              <a:graphicData uri="http://schemas.openxmlformats.org/drawingml/2006/picture">
                <pic:pic>
                  <pic:nvPicPr>
                    <pic:cNvPr id="0" name="performance.png"/>
                    <pic:cNvPicPr/>
                  </pic:nvPicPr>
                  <pic:blipFill>
                    <a:blip r:embed="rId18"/>
                    <a:stretch>
                      <a:fillRect/>
                    </a:stretch>
                  </pic:blipFill>
                  <pic:spPr>
                    <a:xfrm>
                      <a:off x="0" y="0"/>
                      <a:ext cx="5669280" cy="3631882"/>
                    </a:xfrm>
                    <a:prstGeom prst="rect"/>
                  </pic:spPr>
                </pic:pic>
              </a:graphicData>
            </a:graphic>
          </wp:inline>
        </w:drawing>
      </w:r>
    </w:p>
    <w:p>
      <w:pPr>
        <w:jc w:val="center"/>
      </w:pPr>
      <w:r>
        <w:rPr>
          <w:i/>
          <w:color w:val="555F6D"/>
          <w:sz w:val="18"/>
        </w:rPr>
        <w:t>Figure 10.1 - The Performance screen: promotion status per strategy, the closed-trade ledger, and the generated daily and weekly reports.</w:t>
      </w:r>
    </w:p>
    <w:p>
      <w:pPr>
        <w:pStyle w:val="Heading2"/>
      </w:pPr>
      <w:r>
        <w:t>10.1 Promotion Status</w:t>
      </w:r>
    </w:p>
    <w:p>
      <w:r>
        <w:t>The promotion table leads the screen because its most important row is the easiest to miss: a strategy trading unattended on a record that no longer supports it. Each strategy is scored against a fixed bar and given one of four statuses.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promoted</w:t>
            </w:r>
          </w:p>
        </w:tc>
        <w:tc>
          <w:tcPr>
            <w:tcW w:type="dxa" w:w="4320"/>
          </w:tcPr>
          <w:p>
            <w:r>
              <w:t>Cleared to trade unattended, and its record still supports that.</w:t>
            </w:r>
          </w:p>
        </w:tc>
      </w:tr>
      <w:tr>
        <w:tc>
          <w:tcPr>
            <w:tcW w:type="dxa" w:w="4320"/>
          </w:tcPr>
          <w:p>
            <w:r>
              <w:t>promoted-below-bar</w:t>
            </w:r>
          </w:p>
        </w:tc>
        <w:tc>
          <w:tcPr>
            <w:tcW w:type="dxa" w:w="4320"/>
          </w:tcPr>
          <w:p>
            <w:r>
              <w:t>Cleared to trade unattended but no longer meeting the bar. Shown in red. This is the row to act on.</w:t>
            </w:r>
          </w:p>
        </w:tc>
      </w:tr>
      <w:tr>
        <w:tc>
          <w:tcPr>
            <w:tcW w:type="dxa" w:w="4320"/>
          </w:tcPr>
          <w:p>
            <w:r>
              <w:t>eligible</w:t>
            </w:r>
          </w:p>
        </w:tc>
        <w:tc>
          <w:tcPr>
            <w:tcW w:type="dxa" w:w="4320"/>
          </w:tcPr>
          <w:p>
            <w:r>
              <w:t>Meets the bar but has not been listed for auto-trade.</w:t>
            </w:r>
          </w:p>
        </w:tc>
      </w:tr>
      <w:tr>
        <w:tc>
          <w:tcPr>
            <w:tcW w:type="dxa" w:w="4320"/>
          </w:tcPr>
          <w:p>
            <w:r>
              <w:t>not-eligible</w:t>
            </w:r>
          </w:p>
        </w:tc>
        <w:tc>
          <w:tcPr>
            <w:tcW w:type="dxa" w:w="4320"/>
          </w:tcPr>
          <w:p>
            <w:r>
              <w:t>Does not meet the bar. The Blocking column says which test failed.</w:t>
            </w:r>
          </w:p>
        </w:tc>
      </w:tr>
    </w:tbl>
    <w:p/>
    <w:p>
      <w:r>
        <w:t>The gate advises rather than enforces by default: you may list a strategy it has not cleared, and this table then shows you having done so. Setting QAT_ENFORCE_PROMOTION_EVIDENCE makes the bar binding, so a strategy that degrades stops trading unattended without anyone having to notice. It is off by default only because a fresh install has no trade history and would otherwise block everything for a reason that looks like a bug.</w:t>
      </w:r>
    </w:p>
    <w:p>
      <w:pPr>
        <w:pStyle w:val="Heading2"/>
      </w:pPr>
      <w:r>
        <w:t>10.2 The Promotion Bar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Test</w:t>
            </w:r>
          </w:p>
        </w:tc>
        <w:tc>
          <w:tcPr>
            <w:tcW w:type="dxa" w:w="2880"/>
          </w:tcPr>
          <w:p>
            <w:r/>
            <w:r>
              <w:rPr>
                <w:b/>
              </w:rPr>
              <w:t>Default requirement</w:t>
            </w:r>
          </w:p>
        </w:tc>
        <w:tc>
          <w:tcPr>
            <w:tcW w:type="dxa" w:w="2880"/>
          </w:tcPr>
          <w:p>
            <w:r/>
            <w:r>
              <w:rPr>
                <w:b/>
              </w:rPr>
              <w:t>Why</w:t>
            </w:r>
          </w:p>
        </w:tc>
      </w:tr>
      <w:tr>
        <w:tc>
          <w:tcPr>
            <w:tcW w:type="dxa" w:w="2880"/>
          </w:tcPr>
          <w:p>
            <w:r>
              <w:t>Minimum trades</w:t>
            </w:r>
          </w:p>
        </w:tc>
        <w:tc>
          <w:tcPr>
            <w:tcW w:type="dxa" w:w="2880"/>
          </w:tcPr>
          <w:p>
            <w:r>
              <w:t>30 closed trades</w:t>
            </w:r>
          </w:p>
        </w:tc>
        <w:tc>
          <w:tcPr>
            <w:tcW w:type="dxa" w:w="2880"/>
          </w:tcPr>
          <w:p>
            <w:r>
              <w:t>Below this, the other figures are noise.</w:t>
            </w:r>
          </w:p>
        </w:tc>
      </w:tr>
      <w:tr>
        <w:tc>
          <w:tcPr>
            <w:tcW w:type="dxa" w:w="2880"/>
          </w:tcPr>
          <w:p>
            <w:r>
              <w:t>Average R</w:t>
            </w:r>
          </w:p>
        </w:tc>
        <w:tc>
          <w:tcPr>
            <w:tcW w:type="dxa" w:w="2880"/>
          </w:tcPr>
          <w:p>
            <w:r>
              <w:t>At least +0.2</w:t>
            </w:r>
          </w:p>
        </w:tc>
        <w:tc>
          <w:tcPr>
            <w:tcW w:type="dxa" w:w="2880"/>
          </w:tcPr>
          <w:p>
            <w:r>
              <w:t>Average outcome per unit of risk taken, which is the figure position sizing is built on.</w:t>
            </w:r>
          </w:p>
        </w:tc>
      </w:tr>
      <w:tr>
        <w:tc>
          <w:tcPr>
            <w:tcW w:type="dxa" w:w="2880"/>
          </w:tcPr>
          <w:p>
            <w:r>
              <w:t>Win rate</w:t>
            </w:r>
          </w:p>
        </w:tc>
        <w:tc>
          <w:tcPr>
            <w:tcW w:type="dxa" w:w="2880"/>
          </w:tcPr>
          <w:p>
            <w:r>
              <w:t>At least 40%</w:t>
            </w:r>
          </w:p>
        </w:tc>
        <w:tc>
          <w:tcPr>
            <w:tcW w:type="dxa" w:w="2880"/>
          </w:tcPr>
          <w:p>
            <w:r>
              <w:t>A sanity floor, not a target.</w:t>
            </w:r>
          </w:p>
        </w:tc>
      </w:tr>
      <w:tr>
        <w:tc>
          <w:tcPr>
            <w:tcW w:type="dxa" w:w="2880"/>
          </w:tcPr>
          <w:p>
            <w:r>
              <w:t>Worst loss vs average win</w:t>
            </w:r>
          </w:p>
        </w:tc>
        <w:tc>
          <w:tcPr>
            <w:tcW w:type="dxa" w:w="2880"/>
          </w:tcPr>
          <w:p>
            <w:r>
              <w:t>No worse than 3x</w:t>
            </w:r>
          </w:p>
        </w:tc>
        <w:tc>
          <w:tcPr>
            <w:tcW w:type="dxa" w:w="2880"/>
          </w:tcPr>
          <w:p>
            <w:r>
              <w:t>A good average hides a single catastrophic trade. This is the test that catches it.</w:t>
            </w:r>
          </w:p>
        </w:tc>
      </w:tr>
    </w:tbl>
    <w:p/>
    <w:p>
      <w:pPr>
        <w:pStyle w:val="Heading2"/>
      </w:pPr>
      <w:r>
        <w:t>10.3 Closed Trades and Reports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Headline</w:t>
            </w:r>
          </w:p>
        </w:tc>
        <w:tc>
          <w:tcPr>
            <w:tcW w:type="dxa" w:w="4320"/>
          </w:tcPr>
          <w:p>
            <w:r>
              <w:t>Trade count, net P&amp;L, win rate and average R across all strategies, plus maximum drawdown and Sharpe from the recorded equity curve.</w:t>
            </w:r>
          </w:p>
        </w:tc>
      </w:tr>
      <w:tr>
        <w:tc>
          <w:tcPr>
            <w:tcW w:type="dxa" w:w="4320"/>
          </w:tcPr>
          <w:p>
            <w:r>
              <w:t>Closed trades tab</w:t>
            </w:r>
          </w:p>
        </w:tc>
        <w:tc>
          <w:tcPr>
            <w:tcW w:type="dxa" w:w="4320"/>
          </w:tcPr>
          <w:p>
            <w:r>
              <w:t>Newest first: close time, symbol, name, strategy, quantity, entry, exit, P&amp;L and R multiple. Profits and losses are colour-coded.</w:t>
            </w:r>
          </w:p>
        </w:tc>
      </w:tr>
      <w:tr>
        <w:tc>
          <w:tcPr>
            <w:tcW w:type="dxa" w:w="4320"/>
          </w:tcPr>
          <w:p>
            <w:r>
              <w:t>Daily reports tab</w:t>
            </w:r>
          </w:p>
        </w:tc>
        <w:tc>
          <w:tcPr>
            <w:tcW w:type="dxa" w:w="4320"/>
          </w:tcPr>
          <w:p>
            <w:r>
              <w:t>The generated end-of-day report, written after each market close.</w:t>
            </w:r>
          </w:p>
        </w:tc>
      </w:tr>
      <w:tr>
        <w:tc>
          <w:tcPr>
            <w:tcW w:type="dxa" w:w="4320"/>
          </w:tcPr>
          <w:p>
            <w:r>
              <w:t>Weekly reports tab</w:t>
            </w:r>
          </w:p>
        </w:tc>
        <w:tc>
          <w:tcPr>
            <w:tcW w:type="dxa" w:w="4320"/>
          </w:tcPr>
          <w:p>
            <w:r>
              <w:t>The same for the week's last close.</w:t>
            </w:r>
          </w:p>
        </w:tc>
      </w:tr>
      <w:tr>
        <w:tc>
          <w:tcPr>
            <w:tcW w:type="dxa" w:w="4320"/>
          </w:tcPr>
          <w:p>
            <w:r>
              <w:t>Refresh button</w:t>
            </w:r>
          </w:p>
        </w:tc>
        <w:tc>
          <w:tcPr>
            <w:tcW w:type="dxa" w:w="4320"/>
          </w:tcPr>
          <w:p>
            <w:r>
              <w:t>Re-reads the ledger, the equity curve and the report files.</w:t>
            </w:r>
          </w:p>
        </w:tc>
      </w:tr>
    </w:tbl>
    <w:p/>
    <w:p>
      <w:r>
        <w:t>Trades are matched entry to exit as positions close. A sell with no matching entry - a position adopted from a previous session that this application never saw opened - is logged and skipped rather than assigned an invented P&amp;L.</w:t>
      </w:r>
    </w:p>
    <w:p>
      <w:r>
        <w:br w:type="page"/>
      </w:r>
    </w:p>
    <w:p>
      <w:pPr>
        <w:pStyle w:val="Heading1"/>
      </w:pPr>
      <w:r>
        <w:t>11. Settings</w:t>
      </w:r>
    </w:p>
    <w:p>
      <w:r>
        <w:t>Settings configures the application's five external-facing decisions: which AI provider answers, which market and symbols to follow, which broker holds the account, where prices come from, and whether orders need your confirmation.</w:t>
      </w:r>
    </w:p>
    <w:tbl>
      <w:tblPr>
        <w:tblStyle w:val="TableGrid"/>
        <w:tblW w:type="auto" w:w="0"/>
        <w:tblLook w:firstColumn="1" w:firstRow="1" w:lastColumn="0" w:lastRow="0" w:noHBand="0" w:noVBand="1" w:val="04A0"/>
      </w:tblPr>
      <w:tblGrid>
        <w:gridCol w:w="8640"/>
      </w:tblGrid>
      <w:tr>
        <w:tc>
          <w:tcPr>
            <w:tcW w:type="dxa" w:w="8640"/>
          </w:tcPr>
          <w:p>
            <w:r>
              <w:rPr>
                <w:b/>
                <w:color w:val="1B3A5F"/>
              </w:rPr>
              <w:t>Every setting here takes effect at the next restart</w:t>
            </w:r>
          </w:p>
          <w:p>
            <w:r>
              <w:t>Nothing on this screen reconfigures the running application. The entire engine graph - market data feed, regime engine, strategy engine, broker connection and every screen that references the watchlist - is built once at startup around these values. Live-rewiring that mid-session would be a far larger and riskier change than a restart. Save writes non-secret values to .env and secrets to the Windows Credential Manager, then tells you to restart.</w:t>
            </w:r>
          </w:p>
        </w:tc>
      </w:tr>
    </w:tbl>
    <w:p/>
    <w:p>
      <w:pPr>
        <w:jc w:val="center"/>
      </w:pPr>
      <w:r>
        <w:drawing>
          <wp:inline xmlns:a="http://schemas.openxmlformats.org/drawingml/2006/main" xmlns:pic="http://schemas.openxmlformats.org/drawingml/2006/picture">
            <wp:extent cx="5669280" cy="4606290"/>
            <wp:docPr id="11" name="Picture 11"/>
            <wp:cNvGraphicFramePr>
              <a:graphicFrameLocks noChangeAspect="1"/>
            </wp:cNvGraphicFramePr>
            <a:graphic>
              <a:graphicData uri="http://schemas.openxmlformats.org/drawingml/2006/picture">
                <pic:pic>
                  <pic:nvPicPr>
                    <pic:cNvPr id="0" name="settings.png"/>
                    <pic:cNvPicPr/>
                  </pic:nvPicPr>
                  <pic:blipFill>
                    <a:blip r:embed="rId19"/>
                    <a:stretch>
                      <a:fillRect/>
                    </a:stretch>
                  </pic:blipFill>
                  <pic:spPr>
                    <a:xfrm>
                      <a:off x="0" y="0"/>
                      <a:ext cx="5669280" cy="4606290"/>
                    </a:xfrm>
                    <a:prstGeom prst="rect"/>
                  </pic:spPr>
                </pic:pic>
              </a:graphicData>
            </a:graphic>
          </wp:inline>
        </w:drawing>
      </w:r>
    </w:p>
    <w:p>
      <w:pPr>
        <w:jc w:val="center"/>
      </w:pPr>
      <w:r>
        <w:rPr>
          <w:i/>
          <w:color w:val="555F6D"/>
          <w:sz w:val="18"/>
        </w:rPr>
        <w:t>Figure 11.1 - Settings: AI provider selection, market and watchlist, broker and cash reserve, market data source, and execution mode.</w:t>
      </w:r>
    </w:p>
    <w:p>
      <w:pPr>
        <w:pStyle w:val="Heading2"/>
      </w:pPr>
      <w:r>
        <w:t>11.1 AI Provider</w:t>
      </w:r>
    </w:p>
    <w:p>
      <w:r>
        <w:t>Requests land in one of two slots, each with an independently selectable provider. This is deliberately not a single application-wide toggle: the position-sensitive slot can stay local-only even when general requests use Anthropic's cloud API.</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General requests</w:t>
            </w:r>
          </w:p>
        </w:tc>
        <w:tc>
          <w:tcPr>
            <w:tcW w:type="dxa" w:w="4320"/>
          </w:tcPr>
          <w:p>
            <w:r>
              <w:t>Regime narrative and backtest commentary - nothing about your positions. Anthropic, Local (LM Studio) or Demo.</w:t>
            </w:r>
          </w:p>
        </w:tc>
      </w:tr>
      <w:tr>
        <w:tc>
          <w:tcPr>
            <w:tcW w:type="dxa" w:w="4320"/>
          </w:tcPr>
          <w:p>
            <w:r>
              <w:t>Position-sensitive requests</w:t>
            </w:r>
          </w:p>
        </w:tc>
        <w:tc>
          <w:tcPr>
            <w:tcW w:type="dxa" w:w="4320"/>
          </w:tcPr>
          <w:p>
            <w:r>
              <w:t>Anything touching your positions or portfolio. Choosing Anthropic here displays a red warning that portfolio data will be sent to a cloud API. Local is listed first.</w:t>
            </w:r>
          </w:p>
        </w:tc>
      </w:tr>
      <w:tr>
        <w:tc>
          <w:tcPr>
            <w:tcW w:type="dxa" w:w="4320"/>
          </w:tcPr>
          <w:p>
            <w:r>
              <w:t>Anthropic API key</w:t>
            </w:r>
          </w:p>
        </w:tc>
        <w:tc>
          <w:tcPr>
            <w:tcW w:type="dxa" w:w="4320"/>
          </w:tcPr>
          <w:p>
            <w:r>
              <w:t>Masked and write-only. Stored in the Windows Credential Manager, never in .env and never in logs. Blank leaves the existing key untouched.</w:t>
            </w:r>
          </w:p>
        </w:tc>
      </w:tr>
      <w:tr>
        <w:tc>
          <w:tcPr>
            <w:tcW w:type="dxa" w:w="4320"/>
          </w:tcPr>
          <w:p>
            <w:r>
              <w:t>LM Studio base URL</w:t>
            </w:r>
          </w:p>
        </w:tc>
        <w:tc>
          <w:tcPr>
            <w:tcW w:type="dxa" w:w="4320"/>
          </w:tcPr>
          <w:p>
            <w:r>
              <w:t>The OpenAI-compatible endpoint, typically http://localhost:1234/v1. The /v1 segment matters: without it the server answers some requests with an error body that looks like success.</w:t>
            </w:r>
          </w:p>
        </w:tc>
      </w:tr>
      <w:tr>
        <w:tc>
          <w:tcPr>
            <w:tcW w:type="dxa" w:w="4320"/>
          </w:tcPr>
          <w:p>
            <w:r>
              <w:t>LM Studio model name</w:t>
            </w:r>
          </w:p>
        </w:tc>
        <w:tc>
          <w:tcPr>
            <w:tcW w:type="dxa" w:w="4320"/>
          </w:tcPr>
          <w:p>
            <w:r>
              <w:t>The model identifier as LM Studio reports it.</w:t>
            </w:r>
          </w:p>
        </w:tc>
      </w:tr>
      <w:tr>
        <w:tc>
          <w:tcPr>
            <w:tcW w:type="dxa" w:w="4320"/>
          </w:tcPr>
          <w:p>
            <w:r>
              <w:t>Test Connection</w:t>
            </w:r>
          </w:p>
        </w:tc>
        <w:tc>
          <w:tcPr>
            <w:tcW w:type="dxa" w:w="4320"/>
          </w:tcPr>
          <w:p>
            <w:r>
              <w:t>Runs a real one-token completion rather than only checking that the server answers. A reachability-only check reports success for configurations that then fail on every actual request.</w:t>
            </w:r>
          </w:p>
        </w:tc>
      </w:tr>
    </w:tbl>
    <w:p/>
    <w:p>
      <w:r>
        <w:t>The same LM Studio configuration works with any OpenAI-compatible local server, including Ollama, by pointing the base URL at it instead.</w:t>
      </w:r>
    </w:p>
    <w:p>
      <w:pPr>
        <w:pStyle w:val="Heading2"/>
      </w:pPr>
      <w:r>
        <w:t>11.2 Market and Watchlist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Market</w:t>
            </w:r>
          </w:p>
        </w:tc>
        <w:tc>
          <w:tcPr>
            <w:tcW w:type="dxa" w:w="4320"/>
          </w:tcPr>
          <w:p>
            <w:r>
              <w:t>US or ASX.</w:t>
            </w:r>
          </w:p>
        </w:tc>
      </w:tr>
      <w:tr>
        <w:tc>
          <w:tcPr>
            <w:tcW w:type="dxa" w:w="4320"/>
          </w:tcPr>
          <w:p>
            <w:r>
              <w:t>Watchlist category</w:t>
            </w:r>
          </w:p>
        </w:tc>
        <w:tc>
          <w:tcPr>
            <w:tcW w:type="dxa" w:w="4320"/>
          </w:tcPr>
          <w:p>
            <w:r>
              <w:t>curated, etf or megacap.</w:t>
            </w:r>
          </w:p>
        </w:tc>
      </w:tr>
      <w:tr>
        <w:tc>
          <w:tcPr>
            <w:tcW w:type="dxa" w:w="4320"/>
          </w:tcPr>
          <w:p>
            <w:r>
              <w:t>US / ASX curated tickers</w:t>
            </w:r>
          </w:p>
        </w:tc>
        <w:tc>
          <w:tcPr>
            <w:tcW w:type="dxa" w:w="4320"/>
          </w:tcPr>
          <w:p>
            <w:r>
              <w:t>Comma-separated symbol lists. ASX symbols carry the .AX suffix.</w:t>
            </w:r>
          </w:p>
        </w:tc>
      </w:tr>
      <w:tr>
        <w:tc>
          <w:tcPr>
            <w:tcW w:type="dxa" w:w="4320"/>
          </w:tcPr>
          <w:p>
            <w:r>
              <w:t>Max symbols</w:t>
            </w:r>
          </w:p>
        </w:tc>
        <w:tc>
          <w:tcPr>
            <w:tcW w:type="dxa" w:w="4320"/>
          </w:tcPr>
          <w:p>
            <w:r>
              <w:t>Caps how many symbols the live engines follow at once.</w:t>
            </w:r>
          </w:p>
        </w:tc>
      </w:tr>
      <w:tr>
        <w:tc>
          <w:tcPr>
            <w:tcW w:type="dxa" w:w="4320"/>
          </w:tcPr>
          <w:p>
            <w:r>
              <w:t>Min average daily volume</w:t>
            </w:r>
          </w:p>
        </w:tc>
        <w:tc>
          <w:tcPr>
            <w:tcW w:type="dxa" w:w="4320"/>
          </w:tcPr>
          <w:p>
            <w:r>
              <w:t>The liquidity floor applied when building the list.</w:t>
            </w:r>
          </w:p>
        </w:tc>
      </w:tr>
    </w:tbl>
    <w:p/>
    <w:p>
      <w:pPr>
        <w:pStyle w:val="Heading2"/>
      </w:pPr>
      <w:r>
        <w:t>11.3 Broker and Cash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Broker</w:t>
            </w:r>
          </w:p>
        </w:tc>
        <w:tc>
          <w:tcPr>
            <w:tcW w:type="dxa" w:w="4320"/>
          </w:tcPr>
          <w:p>
            <w:r>
              <w:t>Simulated (built-in, no credentials), Alpaca paper account, or Interactive Brokers.</w:t>
            </w:r>
          </w:p>
        </w:tc>
      </w:tr>
      <w:tr>
        <w:tc>
          <w:tcPr>
            <w:tcW w:type="dxa" w:w="4320"/>
          </w:tcPr>
          <w:p>
            <w:r>
              <w:t>Alpaca API key / secret key</w:t>
            </w:r>
          </w:p>
        </w:tc>
        <w:tc>
          <w:tcPr>
            <w:tcW w:type="dxa" w:w="4320"/>
          </w:tcPr>
          <w:p>
            <w:r>
              <w:t>Masked and write-only, stored in the Windows Credential Manager. The same credentials serve Alpaca market data (Section 11.4).</w:t>
            </w:r>
          </w:p>
        </w:tc>
      </w:tr>
      <w:tr>
        <w:tc>
          <w:tcPr>
            <w:tcW w:type="dxa" w:w="4320"/>
          </w:tcPr>
          <w:p>
            <w:r>
              <w:t>Test Broker Connection</w:t>
            </w:r>
          </w:p>
        </w:tc>
        <w:tc>
          <w:tcPr>
            <w:tcW w:type="dxa" w:w="4320"/>
          </w:tcPr>
          <w:p>
            <w:r>
              <w:t>Fetches the account and reports its actual cash and equity, so you can confirm the application is reading the account you think it is.</w:t>
            </w:r>
          </w:p>
        </w:tc>
      </w:tr>
      <w:tr>
        <w:tc>
          <w:tcPr>
            <w:tcW w:type="dxa" w:w="4320"/>
          </w:tcPr>
          <w:p>
            <w:r>
              <w:t>Minimum cash reserve</w:t>
            </w:r>
          </w:p>
        </w:tc>
        <w:tc>
          <w:tcPr>
            <w:tcW w:type="dxa" w:w="4320"/>
          </w:tcPr>
          <w:p>
            <w:r>
              <w:t>The cash floor a buy may never spend below. Default $1.00; the minimum accepted value is $0.01, so the rule cannot be switched off. See Section 12.2.</w:t>
            </w:r>
          </w:p>
        </w:tc>
      </w:tr>
    </w:tbl>
    <w:p/>
    <w:p>
      <w:r>
        <w:t>Alpaca trades US equities only. Selecting it while Market is set to ASX shows an inline warning, because that combination cannot trade anything.</w:t>
      </w:r>
    </w:p>
    <w:p>
      <w:pPr>
        <w:pStyle w:val="Heading2"/>
      </w:pPr>
      <w:r>
        <w:t>11.4 Market Data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(random walk)</w:t>
            </w:r>
          </w:p>
        </w:tc>
        <w:tc>
          <w:tcPr>
            <w:tcW w:type="dxa" w:w="4320"/>
          </w:tcPr>
          <w:p>
            <w:r>
              <w:t>The default. A seeded random walk, so the application works offline. A standing amber warning is displayed while it is selected: nothing observed in this mode tells you how a strategy behaves on real prices.</w:t>
            </w:r>
          </w:p>
        </w:tc>
      </w:tr>
      <w:tr>
        <w:tc>
          <w:tcPr>
            <w:tcW w:type="dxa" w:w="4320"/>
          </w:tcPr>
          <w:p>
            <w:r>
              <w:t>Real market data (Yahoo)</w:t>
            </w:r>
          </w:p>
        </w:tc>
        <w:tc>
          <w:tcPr>
            <w:tcW w:type="dxa" w:w="4320"/>
          </w:tcPr>
          <w:p>
            <w:r>
              <w:t>Free, unofficial, typically delayed about 15 minutes and rate-limited. Covers US and ASX.</w:t>
            </w:r>
          </w:p>
        </w:tc>
      </w:tr>
      <w:tr>
        <w:tc>
          <w:tcPr>
            <w:tcW w:type="dxa" w:w="4320"/>
          </w:tcPr>
          <w:p>
            <w:r>
              <w:t>Real market data (Alpaca, US only)</w:t>
            </w:r>
          </w:p>
        </w:tc>
        <w:tc>
          <w:tcPr>
            <w:tcW w:type="dxa" w:w="4320"/>
          </w:tcPr>
          <w:p>
            <w:r>
              <w:t>Your own Alpaca account's feed, for live ticks and daily bars, using the broker's credentials. Choosing Alpaca for both broker and data means the prices you trade on and the account you trade into come from the same venue.</w:t>
            </w:r>
          </w:p>
        </w:tc>
      </w:tr>
    </w:tbl>
    <w:p/>
    <w:p>
      <w:r>
        <w:t>With Alpaca selected, a feed picker appears. It is hidden for the other sources, where it would mean nothing.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Alpaca feed</w:t>
            </w:r>
          </w:p>
        </w:tc>
        <w:tc>
          <w:tcPr>
            <w:tcW w:type="dxa" w:w="2160"/>
          </w:tcPr>
          <w:p>
            <w:r/>
            <w:r>
              <w:rPr>
                <w:b/>
              </w:rPr>
              <w:t>Latency</w:t>
            </w:r>
          </w:p>
        </w:tc>
        <w:tc>
          <w:tcPr>
            <w:tcW w:type="dxa" w:w="2160"/>
          </w:tcPr>
          <w:p>
            <w:r/>
            <w:r>
              <w:rPr>
                <w:b/>
              </w:rPr>
              <w:t>Coverage</w:t>
            </w:r>
          </w:p>
        </w:tc>
        <w:tc>
          <w:tcPr>
            <w:tcW w:type="dxa" w:w="2160"/>
          </w:tcPr>
          <w:p>
            <w:r/>
            <w:r>
              <w:rPr>
                <w:b/>
              </w:rPr>
              <w:t>Account required</w:t>
            </w:r>
          </w:p>
        </w:tc>
      </w:tr>
      <w:tr>
        <w:tc>
          <w:tcPr>
            <w:tcW w:type="dxa" w:w="2160"/>
          </w:tcPr>
          <w:p>
            <w:r>
              <w:t>IEX (default)</w:t>
            </w:r>
          </w:p>
        </w:tc>
        <w:tc>
          <w:tcPr>
            <w:tcW w:type="dxa" w:w="2160"/>
          </w:tcPr>
          <w:p>
            <w:r>
              <w:t>Real time</w:t>
            </w:r>
          </w:p>
        </w:tc>
        <w:tc>
          <w:tcPr>
            <w:tcW w:type="dxa" w:w="2160"/>
          </w:tcPr>
          <w:p>
            <w:r>
              <w:t>A single exchange, carrying a small share of US consolidated volume</w:t>
            </w:r>
          </w:p>
        </w:tc>
        <w:tc>
          <w:tcPr>
            <w:tcW w:type="dxa" w:w="2160"/>
          </w:tcPr>
          <w:p>
            <w:r>
              <w:t>Any, including a free paper account</w:t>
            </w:r>
          </w:p>
        </w:tc>
      </w:tr>
      <w:tr>
        <w:tc>
          <w:tcPr>
            <w:tcW w:type="dxa" w:w="2160"/>
          </w:tcPr>
          <w:p>
            <w:r>
              <w:t>SIP</w:t>
            </w:r>
          </w:p>
        </w:tc>
        <w:tc>
          <w:tcPr>
            <w:tcW w:type="dxa" w:w="2160"/>
          </w:tcPr>
          <w:p>
            <w:r>
              <w:t>Real time</w:t>
            </w:r>
          </w:p>
        </w:tc>
        <w:tc>
          <w:tcPr>
            <w:tcW w:type="dxa" w:w="2160"/>
          </w:tcPr>
          <w:p>
            <w:r>
              <w:t>The full consolidated tape</w:t>
            </w:r>
          </w:p>
        </w:tc>
        <w:tc>
          <w:tcPr>
            <w:tcW w:type="dxa" w:w="2160"/>
          </w:tcPr>
          <w:p>
            <w:r>
              <w:t>Paid Algo Trader Plus subscription</w:t>
            </w:r>
          </w:p>
        </w:tc>
      </w:tr>
      <w:tr>
        <w:tc>
          <w:tcPr>
            <w:tcW w:type="dxa" w:w="2160"/>
          </w:tcPr>
          <w:p>
            <w:r>
              <w:t>Delayed SIP</w:t>
            </w:r>
          </w:p>
        </w:tc>
        <w:tc>
          <w:tcPr>
            <w:tcW w:type="dxa" w:w="2160"/>
          </w:tcPr>
          <w:p>
            <w:r>
              <w:t>15 minutes</w:t>
            </w:r>
          </w:p>
        </w:tc>
        <w:tc>
          <w:tcPr>
            <w:tcW w:type="dxa" w:w="2160"/>
          </w:tcPr>
          <w:p>
            <w:r>
              <w:t>The full consolidated tape</w:t>
            </w:r>
          </w:p>
        </w:tc>
        <w:tc>
          <w:tcPr>
            <w:tcW w:type="dxa" w:w="2160"/>
          </w:tcPr>
          <w:p>
            <w:r>
              <w:t>Free tier</w:t>
            </w:r>
          </w:p>
        </w:tc>
      </w:tr>
    </w:tbl>
    <w:p/>
    <w:p>
      <w:r>
        <w:t>IEX is the default because it is the only real-time option a free paper account can use. It is a genuine trade print, but from one exchange, so less liquid names can look sparse compared with the consolidated tape. Requesting SIP without the subscription fails outright rather than quietly degrading - you find out immediately instead of trading on data you did not get.</w:t>
      </w:r>
    </w:p>
    <w:tbl>
      <w:tblPr>
        <w:tblStyle w:val="TableGrid"/>
        <w:tblW w:type="auto" w:w="0"/>
        <w:tblLook w:firstColumn="1" w:firstRow="1" w:lastColumn="0" w:lastRow="0" w:noHBand="0" w:noVBand="1" w:val="04A0"/>
      </w:tblPr>
      <w:tblGrid>
        <w:gridCol w:w="8640"/>
      </w:tblGrid>
      <w:tr>
        <w:tc>
          <w:tcPr>
            <w:tcW w:type="dxa" w:w="8640"/>
          </w:tcPr>
          <w:p>
            <w:r>
              <w:rPr>
                <w:b/>
                <w:color w:val="1B3A5F"/>
              </w:rPr>
              <w:t>How a dead feed behaves</w:t>
            </w:r>
          </w:p>
          <w:p>
            <w:r>
              <w:t>Any real feed can return nothing without warning. The application degrades to simulated data with a logged warning rather than stopping - but never silently. A persistently dead feed ends the price stream deliberately, which raises a staleness event and trips the kill-switch, rather than leaving the application looking alive while trading on a price that stopped updating an hour ago.</w:t>
            </w:r>
          </w:p>
        </w:tc>
      </w:tr>
    </w:tbl>
    <w:p/>
    <w:p>
      <w:pPr>
        <w:pStyle w:val="Heading2"/>
      </w:pPr>
      <w:r>
        <w:t>11.5 Execution Mode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Mode</w:t>
            </w:r>
          </w:p>
        </w:tc>
        <w:tc>
          <w:tcPr>
            <w:tcW w:type="dxa" w:w="4320"/>
          </w:tcPr>
          <w:p>
            <w:r>
              <w:t>Recommend (default): every order waits in the Order Blotter for your sign-off. Auto-trade: qualifying orders are signed off without per-order confirmation. Paper accounts only.</w:t>
            </w:r>
          </w:p>
        </w:tc>
      </w:tr>
      <w:tr>
        <w:tc>
          <w:tcPr>
            <w:tcW w:type="dxa" w:w="4320"/>
          </w:tcPr>
          <w:p>
            <w:r>
              <w:t>Strategies cleared to auto-trade</w:t>
            </w:r>
          </w:p>
        </w:tc>
        <w:tc>
          <w:tcPr>
            <w:tcW w:type="dxa" w:w="4320"/>
          </w:tcPr>
          <w:p>
            <w:r>
              <w:t>A comma-separated list. Empty means none. Autonomy is granted per strategy and never inherited by all of them because one proved out; a strategy not listed still produces recommendations for your sign-off.</w:t>
            </w:r>
          </w:p>
        </w:tc>
      </w:tr>
    </w:tbl>
    <w:p/>
    <w:p>
      <w:r>
        <w:t>Selecting Auto-trade opens a confirmation dialog that spells out what the rails do and do not do, and whose default button is No, so an accidental Enter keypress declines. While the mode is selected, a red warning panel stays on screen. Section 12.3 documents the rails in full.</w:t>
      </w:r>
    </w:p>
    <w:p>
      <w:r>
        <w:br w:type="page"/>
      </w:r>
    </w:p>
    <w:p>
      <w:pPr>
        <w:pStyle w:val="Heading1"/>
      </w:pPr>
      <w:r>
        <w:t>12. Safety Architecture Reference</w:t>
      </w:r>
    </w:p>
    <w:p>
      <w:r>
        <w:t>This section consolidates the mechanisms referenced throughout the manual, since they are the most important thing to understand about this application before using it - in Paper mode or otherwise.</w:t>
      </w:r>
    </w:p>
    <w:p>
      <w:pPr>
        <w:pStyle w:val="Heading2"/>
      </w:pPr>
      <w:r>
        <w:t>12.1 Defence in Depth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Layer</w:t>
            </w:r>
          </w:p>
        </w:tc>
        <w:tc>
          <w:tcPr>
            <w:tcW w:type="dxa" w:w="4320"/>
          </w:tcPr>
          <w:p>
            <w:r/>
            <w:r>
              <w:rPr>
                <w:b/>
              </w:rPr>
              <w:t>What it guarantees</w:t>
            </w:r>
          </w:p>
        </w:tc>
      </w:tr>
      <w:tr>
        <w:tc>
          <w:tcPr>
            <w:tcW w:type="dxa" w:w="4320"/>
          </w:tcPr>
          <w:p>
            <w:r>
              <w:t>Paper-only default</w:t>
            </w:r>
          </w:p>
        </w:tc>
        <w:tc>
          <w:tcPr>
            <w:tcW w:type="dxa" w:w="4320"/>
          </w:tcPr>
          <w:p>
            <w:r>
              <w:t>The application always starts in Paper mode. Live mode requires a deliberate configuration change and an in-application confirmation.</w:t>
            </w:r>
          </w:p>
        </w:tc>
      </w:tr>
      <w:tr>
        <w:tc>
          <w:tcPr>
            <w:tcW w:type="dxa" w:w="4320"/>
          </w:tcPr>
          <w:p>
            <w:r>
              <w:t>Submission never transmits</w:t>
            </w:r>
          </w:p>
        </w:tc>
        <w:tc>
          <w:tcPr>
            <w:tcW w:type="dxa" w:w="4320"/>
          </w:tcPr>
          <w:p>
            <w:r>
              <w:t>Submitting an order only ever creates a pending record. No signal path and no risk decision calls the broker directly.</w:t>
            </w:r>
          </w:p>
        </w:tc>
      </w:tr>
      <w:tr>
        <w:tc>
          <w:tcPr>
            <w:tcW w:type="dxa" w:w="4320"/>
          </w:tcPr>
          <w:p>
            <w:r>
              <w:t>Sign-off gate</w:t>
            </w:r>
          </w:p>
        </w:tc>
        <w:tc>
          <w:tcPr>
            <w:tcW w:type="dxa" w:w="4320"/>
          </w:tcPr>
          <w:p>
            <w:r>
              <w:t>Only an explicit, operator-attributed sign-off transmits an order, and the user interface never reaches that call except from inside a confirmed dialog branch.</w:t>
            </w:r>
          </w:p>
        </w:tc>
      </w:tr>
      <w:tr>
        <w:tc>
          <w:tcPr>
            <w:tcW w:type="dxa" w:w="4320"/>
          </w:tcPr>
          <w:p>
            <w:r>
              <w:t>Risk Engine gating</w:t>
            </w:r>
          </w:p>
        </w:tc>
        <w:tc>
          <w:tcPr>
            <w:tcW w:type="dxa" w:w="4320"/>
          </w:tcPr>
          <w:p>
            <w:r>
              <w:t>Every order candidate, whichever strategy produced it, is sized and checked against per-trade risk, portfolio Expected Shortfall, single-name and sector concentration, aggregate risk-at-stop and a maximum open-position count.</w:t>
            </w:r>
          </w:p>
        </w:tc>
      </w:tr>
      <w:tr>
        <w:tc>
          <w:tcPr>
            <w:tcW w:type="dxa" w:w="4320"/>
          </w:tcPr>
          <w:p>
            <w:r>
              <w:t>Cash and no-leverage rule</w:t>
            </w:r>
          </w:p>
        </w:tc>
        <w:tc>
          <w:tcPr>
            <w:tcW w:type="dxa" w:w="4320"/>
          </w:tcPr>
          <w:p>
            <w:r>
              <w:t>A buy can never exceed available cash and never spend below the reserve. Checked twice, and not disableable. See 12.2.</w:t>
            </w:r>
          </w:p>
        </w:tc>
      </w:tr>
      <w:tr>
        <w:tc>
          <w:tcPr>
            <w:tcW w:type="dxa" w:w="4320"/>
          </w:tcPr>
          <w:p>
            <w:r>
              <w:t>Kill-switch</w:t>
            </w:r>
          </w:p>
        </w:tc>
        <w:tc>
          <w:tcPr>
            <w:tcW w:type="dxa" w:w="4320"/>
          </w:tcPr>
          <w:p>
            <w:r>
              <w:t>One always-visible control halts new order flow; five conditions trip it automatically (Section 6.2).</w:t>
            </w:r>
          </w:p>
        </w:tc>
      </w:tr>
      <w:tr>
        <w:tc>
          <w:tcPr>
            <w:tcW w:type="dxa" w:w="4320"/>
          </w:tcPr>
          <w:p>
            <w:r>
              <w:t>Reconciliation</w:t>
            </w:r>
          </w:p>
        </w:tc>
        <w:tc>
          <w:tcPr>
            <w:tcW w:type="dxa" w:w="4320"/>
          </w:tcPr>
          <w:p>
            <w:r>
              <w:t>The broker's positions are polled and compared against the application's own record; a mismatch trips the kill-switch.</w:t>
            </w:r>
          </w:p>
        </w:tc>
      </w:tr>
      <w:tr>
        <w:tc>
          <w:tcPr>
            <w:tcW w:type="dxa" w:w="4320"/>
          </w:tcPr>
          <w:p>
            <w:r>
              <w:t>AI as analyst only</w:t>
            </w:r>
          </w:p>
        </w:tc>
        <w:tc>
          <w:tcPr>
            <w:tcW w:type="dxa" w:w="4320"/>
          </w:tcPr>
          <w:p>
            <w:r>
              <w:t>The advisory layer holds no reference to the Order Management System, and every recommendation is re-checked against the Risk Engine before display.</w:t>
            </w:r>
          </w:p>
        </w:tc>
      </w:tr>
      <w:tr>
        <w:tc>
          <w:tcPr>
            <w:tcW w:type="dxa" w:w="4320"/>
          </w:tcPr>
          <w:p>
            <w:r>
              <w:t>Prompt-injection defence</w:t>
            </w:r>
          </w:p>
        </w:tc>
        <w:tc>
          <w:tcPr>
            <w:tcW w:type="dxa" w:w="4320"/>
          </w:tcPr>
          <w:p>
            <w:r>
              <w:t>All free text and fetched data enters the model as labelled untrusted context, never as instructions.</w:t>
            </w:r>
          </w:p>
        </w:tc>
      </w:tr>
      <w:tr>
        <w:tc>
          <w:tcPr>
            <w:tcW w:type="dxa" w:w="4320"/>
          </w:tcPr>
          <w:p>
            <w:r>
              <w:t>Deploy, do not auto-run</w:t>
            </w:r>
          </w:p>
        </w:tc>
        <w:tc>
          <w:tcPr>
            <w:tcW w:type="dxa" w:w="4320"/>
          </w:tcPr>
          <w:p>
            <w:r>
              <w:t>The Strategy Engine starts with no strategies active.</w:t>
            </w:r>
          </w:p>
        </w:tc>
      </w:tr>
      <w:tr>
        <w:tc>
          <w:tcPr>
            <w:tcW w:type="dxa" w:w="4320"/>
          </w:tcPr>
          <w:p>
            <w:r>
              <w:t>Secrets never in files or logs</w:t>
            </w:r>
          </w:p>
        </w:tc>
        <w:tc>
          <w:tcPr>
            <w:tcW w:type="dxa" w:w="4320"/>
          </w:tcPr>
          <w:p>
            <w:r>
              <w:t>API keys live only in the Windows Credential Manager, and log output is scrubbed before it is written.</w:t>
            </w:r>
          </w:p>
        </w:tc>
      </w:tr>
    </w:tbl>
    <w:p/>
    <w:p>
      <w:pPr>
        <w:pStyle w:val="Heading2"/>
      </w:pPr>
      <w:r>
        <w:t>12.2 The Cash and No-Leverage Rule</w:t>
      </w:r>
    </w:p>
    <w:p>
      <w:r>
        <w:t>Two separate guarantees, both hard-coded rather than advisory: the account can never be leveraged - a buy's notional can never exceed available cash - and cash can never be fully depleted, because a buy can never spend below the reserve.</w:t>
      </w:r>
    </w:p>
    <w:p>
      <w:r>
        <w:t>They are enforced at two points, deliberately:</w:t>
      </w:r>
    </w:p>
    <w:p>
      <w:pPr>
        <w:pStyle w:val="ListBullet"/>
      </w:pPr>
      <w:r>
        <w:t>At sizing: the Risk Engine caps the quantity at what the available cash less the reserve affords, and rejects the order outright if that is less than one share. The decision is written to the risk audit trail like every other.</w:t>
      </w:r>
    </w:p>
    <w:p>
      <w:pPr>
        <w:pStyle w:val="ListBullet"/>
      </w:pPr>
      <w:r>
        <w:t>At sign-off: the order is re-checked against current cash immediately before transmission. This is load-bearing rather than belt-and-braces, because bulk sign-off means ten orders each affordable on their own can collectively overspend when approved together. Sign-off rejects rather than resizing - silently changing a quantity you just approved would defeat the point of the approval.</w:t>
      </w:r>
    </w:p>
    <w:p>
      <w:r>
        <w:t>The reserve is configurable but its minimum accepted value is one cent. That is what makes 'cash is never fully depleted' structurally true rather than a default someone can switch off. Sells are never blocked by this rule: they raise cash.</w:t>
      </w:r>
    </w:p>
    <w:p>
      <w:pPr>
        <w:pStyle w:val="Heading2"/>
      </w:pPr>
      <w:r>
        <w:t>12.3 Autonomous Trading</w:t>
      </w:r>
    </w:p>
    <w:tbl>
      <w:tblPr>
        <w:tblStyle w:val="TableGrid"/>
        <w:tblW w:type="auto" w:w="0"/>
        <w:tblLook w:firstColumn="1" w:firstRow="1" w:lastColumn="0" w:lastRow="0" w:noHBand="0" w:noVBand="1" w:val="04A0"/>
      </w:tblPr>
      <w:tblGrid>
        <w:gridCol w:w="8640"/>
      </w:tblGrid>
      <w:tr>
        <w:tc>
          <w:tcPr>
            <w:tcW w:type="dxa" w:w="8640"/>
          </w:tcPr>
          <w:p>
            <w:r>
              <w:rPr>
                <w:b/>
                <w:color w:val="B71C1C"/>
              </w:rPr>
              <w:t>AUTO-TRADE PLACES ORDERS WITH NO PER-ORDER CONFIRMATION</w:t>
            </w:r>
          </w:p>
          <w:p>
            <w:r>
              <w:t>It is off by default, applies only to strategies you list explicitly, and is confined to paper accounts. Reaching unattended live trading would require a code change, not a configuration change: there is no supported configuration in which this application trades real money with no human in the loop.</w:t>
            </w:r>
          </w:p>
        </w:tc>
      </w:tr>
    </w:tbl>
    <w:p/>
    <w:p>
      <w:r>
        <w:t>When auto-trade is enabled, an order must still pass every one of these: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Rail</w:t>
            </w:r>
          </w:p>
        </w:tc>
        <w:tc>
          <w:tcPr>
            <w:tcW w:type="dxa" w:w="4320"/>
          </w:tcPr>
          <w:p>
            <w:r/>
            <w:r>
              <w:rPr>
                <w:b/>
              </w:rPr>
              <w:t>Condition</w:t>
            </w:r>
          </w:p>
        </w:tc>
      </w:tr>
      <w:tr>
        <w:tc>
          <w:tcPr>
            <w:tcW w:type="dxa" w:w="4320"/>
          </w:tcPr>
          <w:p>
            <w:r>
              <w:t>Strategy allow-list</w:t>
            </w:r>
          </w:p>
        </w:tc>
        <w:tc>
          <w:tcPr>
            <w:tcW w:type="dxa" w:w="4320"/>
          </w:tcPr>
          <w:p>
            <w:r>
              <w:t>The originating strategy is listed as cleared.</w:t>
            </w:r>
          </w:p>
        </w:tc>
      </w:tr>
      <w:tr>
        <w:tc>
          <w:tcPr>
            <w:tcW w:type="dxa" w:w="4320"/>
          </w:tcPr>
          <w:p>
            <w:r>
              <w:t>Promotion evidence</w:t>
            </w:r>
          </w:p>
        </w:tc>
        <w:tc>
          <w:tcPr>
            <w:tcW w:type="dxa" w:w="4320"/>
          </w:tcPr>
          <w:p>
            <w:r>
              <w:t>Optionally, the strategy must still meet the promotion bar on its own realised trades (Section 10.2).</w:t>
            </w:r>
          </w:p>
        </w:tc>
      </w:tr>
      <w:tr>
        <w:tc>
          <w:tcPr>
            <w:tcW w:type="dxa" w:w="4320"/>
          </w:tcPr>
          <w:p>
            <w:r>
              <w:t>Session phase</w:t>
            </w:r>
          </w:p>
        </w:tc>
        <w:tc>
          <w:tcPr>
            <w:tcW w:type="dxa" w:w="4320"/>
          </w:tcPr>
          <w:p>
            <w:r>
              <w:t>The market is open, and outside the opening and midday windows.</w:t>
            </w:r>
          </w:p>
        </w:tc>
      </w:tr>
      <w:tr>
        <w:tc>
          <w:tcPr>
            <w:tcW w:type="dxa" w:w="4320"/>
          </w:tcPr>
          <w:p>
            <w:r>
              <w:t>Daily P&amp;L rails</w:t>
            </w:r>
          </w:p>
        </w:tc>
        <w:tc>
          <w:tcPr>
            <w:tcW w:type="dxa" w:w="4320"/>
          </w:tcPr>
          <w:p>
            <w:r>
              <w:t>Order size is halved once the day is roughly 2% under water, and new unattended buys stop entirely at roughly 4%. Protective sells are never gated - they reduce risk.</w:t>
            </w:r>
          </w:p>
        </w:tc>
      </w:tr>
      <w:tr>
        <w:tc>
          <w:tcPr>
            <w:tcW w:type="dxa" w:w="4320"/>
          </w:tcPr>
          <w:p>
            <w:r>
              <w:t>Price drift</w:t>
            </w:r>
          </w:p>
        </w:tc>
        <w:tc>
          <w:tcPr>
            <w:tcW w:type="dxa" w:w="4320"/>
          </w:tcPr>
          <w:p>
            <w:r>
              <w:t>The price has not moved more than about 3% from the price the order was sized against; beyond that the sizing, stop and target are all stale.</w:t>
            </w:r>
          </w:p>
        </w:tc>
      </w:tr>
      <w:tr>
        <w:tc>
          <w:tcPr>
            <w:tcW w:type="dxa" w:w="4320"/>
          </w:tcPr>
          <w:p>
            <w:r>
              <w:t>Risk Engine, cash rule, kill-switch</w:t>
            </w:r>
          </w:p>
        </w:tc>
        <w:tc>
          <w:tcPr>
            <w:tcW w:type="dxa" w:w="4320"/>
          </w:tcPr>
          <w:p>
            <w:r>
              <w:t>Unchanged and fully in force.</w:t>
            </w:r>
          </w:p>
        </w:tc>
      </w:tr>
    </w:tbl>
    <w:p/>
    <w:p>
      <w:r>
        <w:t>Every decision, taken or blocked, is written to the autonomy journal. These rails bound the damage; they do not make a strategy correct. Review the journal and the Performance screen regularly.</w:t>
      </w:r>
    </w:p>
    <w:p>
      <w:pPr>
        <w:pStyle w:val="Heading2"/>
      </w:pPr>
      <w:r>
        <w:t>12.4 Distribution and Code Signing</w:t>
      </w:r>
    </w:p>
    <w:p>
      <w:r>
        <w:t>The packaged Windows build is Authenticode-signed with a timestamped signature, so Windows can verify its publisher and the signature remains valid after the signing certificate expires. If the build you have was produced without a certificate available, it will be unsigned and SmartScreen will warn on first launch; the project README documents the signing step.</w:t>
      </w:r>
    </w:p>
    <w:p>
      <w:r>
        <w:br w:type="page"/>
      </w:r>
    </w:p>
    <w:p>
      <w:pPr>
        <w:pStyle w:val="Heading1"/>
      </w:pPr>
      <w:r>
        <w:t>Appendix A: Glossary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NAV</w:t>
            </w:r>
          </w:p>
        </w:tc>
        <w:tc>
          <w:tcPr>
            <w:tcW w:type="dxa" w:w="4320"/>
          </w:tcPr>
          <w:p>
            <w:r>
              <w:t>Net Asset Value - cash plus the market value of open positions.</w:t>
            </w:r>
          </w:p>
        </w:tc>
      </w:tr>
      <w:tr>
        <w:tc>
          <w:tcPr>
            <w:tcW w:type="dxa" w:w="4320"/>
          </w:tcPr>
          <w:p>
            <w:r>
              <w:t>VaR</w:t>
            </w:r>
          </w:p>
        </w:tc>
        <w:tc>
          <w:tcPr>
            <w:tcW w:type="dxa" w:w="4320"/>
          </w:tcPr>
          <w:p>
            <w:r>
              <w:t>Value-at-Risk - the loss a portfolio is not expected to exceed over one period at a stated confidence level.</w:t>
            </w:r>
          </w:p>
        </w:tc>
      </w:tr>
      <w:tr>
        <w:tc>
          <w:tcPr>
            <w:tcW w:type="dxa" w:w="4320"/>
          </w:tcPr>
          <w:p>
            <w:r>
              <w:t>Expected Shortfall (ES)</w:t>
            </w:r>
          </w:p>
        </w:tc>
        <w:tc>
          <w:tcPr>
            <w:tcW w:type="dxa" w:w="4320"/>
          </w:tcPr>
          <w:p>
            <w:r>
              <w:t>The average loss in the tail beyond the VaR threshold.</w:t>
            </w:r>
          </w:p>
        </w:tc>
      </w:tr>
      <w:tr>
        <w:tc>
          <w:tcPr>
            <w:tcW w:type="dxa" w:w="4320"/>
          </w:tcPr>
          <w:p>
            <w:r>
              <w:t>Sharpe ratio</w:t>
            </w:r>
          </w:p>
        </w:tc>
        <w:tc>
          <w:tcPr>
            <w:tcW w:type="dxa" w:w="4320"/>
          </w:tcPr>
          <w:p>
            <w:r>
              <w:t>Annualised excess return divided by annualised volatility.</w:t>
            </w:r>
          </w:p>
        </w:tc>
      </w:tr>
      <w:tr>
        <w:tc>
          <w:tcPr>
            <w:tcW w:type="dxa" w:w="4320"/>
          </w:tcPr>
          <w:p>
            <w:r>
              <w:t>Sortino ratio</w:t>
            </w:r>
          </w:p>
        </w:tc>
        <w:tc>
          <w:tcPr>
            <w:tcW w:type="dxa" w:w="4320"/>
          </w:tcPr>
          <w:p>
            <w:r>
              <w:t>As Sharpe, but penalising only downside volatility.</w:t>
            </w:r>
          </w:p>
        </w:tc>
      </w:tr>
      <w:tr>
        <w:tc>
          <w:tcPr>
            <w:tcW w:type="dxa" w:w="4320"/>
          </w:tcPr>
          <w:p>
            <w:r>
              <w:t>CAGR</w:t>
            </w:r>
          </w:p>
        </w:tc>
        <w:tc>
          <w:tcPr>
            <w:tcW w:type="dxa" w:w="4320"/>
          </w:tcPr>
          <w:p>
            <w:r>
              <w:t>Compound Annual Growth Rate.</w:t>
            </w:r>
          </w:p>
        </w:tc>
      </w:tr>
      <w:tr>
        <w:tc>
          <w:tcPr>
            <w:tcW w:type="dxa" w:w="4320"/>
          </w:tcPr>
          <w:p>
            <w:r>
              <w:t>Calmar ratio</w:t>
            </w:r>
          </w:p>
        </w:tc>
        <w:tc>
          <w:tcPr>
            <w:tcW w:type="dxa" w:w="4320"/>
          </w:tcPr>
          <w:p>
            <w:r>
              <w:t>CAGR divided by the magnitude of maximum drawdown.</w:t>
            </w:r>
          </w:p>
        </w:tc>
      </w:tr>
      <w:tr>
        <w:tc>
          <w:tcPr>
            <w:tcW w:type="dxa" w:w="4320"/>
          </w:tcPr>
          <w:p>
            <w:r>
              <w:t>Maximum drawdown</w:t>
            </w:r>
          </w:p>
        </w:tc>
        <w:tc>
          <w:tcPr>
            <w:tcW w:type="dxa" w:w="4320"/>
          </w:tcPr>
          <w:p>
            <w:r>
              <w:t>The largest peak-to-trough decline in an equity curve.</w:t>
            </w:r>
          </w:p>
        </w:tc>
      </w:tr>
      <w:tr>
        <w:tc>
          <w:tcPr>
            <w:tcW w:type="dxa" w:w="4320"/>
          </w:tcPr>
          <w:p>
            <w:r>
              <w:t>Win rate</w:t>
            </w:r>
          </w:p>
        </w:tc>
        <w:tc>
          <w:tcPr>
            <w:tcW w:type="dxa" w:w="4320"/>
          </w:tcPr>
          <w:p>
            <w:r>
              <w:t>The percentage of closed trades that were profitable.</w:t>
            </w:r>
          </w:p>
        </w:tc>
      </w:tr>
      <w:tr>
        <w:tc>
          <w:tcPr>
            <w:tcW w:type="dxa" w:w="4320"/>
          </w:tcPr>
          <w:p>
            <w:r>
              <w:t>Profit factor</w:t>
            </w:r>
          </w:p>
        </w:tc>
        <w:tc>
          <w:tcPr>
            <w:tcW w:type="dxa" w:w="4320"/>
          </w:tcPr>
          <w:p>
            <w:r>
              <w:t>Gross profit divided by gross loss across closed trades.</w:t>
            </w:r>
          </w:p>
        </w:tc>
      </w:tr>
      <w:tr>
        <w:tc>
          <w:tcPr>
            <w:tcW w:type="dxa" w:w="4320"/>
          </w:tcPr>
          <w:p>
            <w:r>
              <w:t>R multiple</w:t>
            </w:r>
          </w:p>
        </w:tc>
        <w:tc>
          <w:tcPr>
            <w:tcW w:type="dxa" w:w="4320"/>
          </w:tcPr>
          <w:p>
            <w:r>
              <w:t>A trade's result expressed in units of the risk taken on it: +2R means twice the amount that was at risk if the stop had been hit.</w:t>
            </w:r>
          </w:p>
        </w:tc>
      </w:tr>
      <w:tr>
        <w:tc>
          <w:tcPr>
            <w:tcW w:type="dxa" w:w="4320"/>
          </w:tcPr>
          <w:p>
            <w:r>
              <w:t>Average R</w:t>
            </w:r>
          </w:p>
        </w:tc>
        <w:tc>
          <w:tcPr>
            <w:tcW w:type="dxa" w:w="4320"/>
          </w:tcPr>
          <w:p>
            <w:r>
              <w:t>The mean R multiple across a strategy's closed trades.</w:t>
            </w:r>
          </w:p>
        </w:tc>
      </w:tr>
      <w:tr>
        <w:tc>
          <w:tcPr>
            <w:tcW w:type="dxa" w:w="4320"/>
          </w:tcPr>
          <w:p>
            <w:r>
              <w:t>Beta</w:t>
            </w:r>
          </w:p>
        </w:tc>
        <w:tc>
          <w:tcPr>
            <w:tcW w:type="dxa" w:w="4320"/>
          </w:tcPr>
          <w:p>
            <w:r>
              <w:t>A strategy's sensitivity to the benchmark's returns.</w:t>
            </w:r>
          </w:p>
        </w:tc>
      </w:tr>
      <w:tr>
        <w:tc>
          <w:tcPr>
            <w:tcW w:type="dxa" w:w="4320"/>
          </w:tcPr>
          <w:p>
            <w:r>
              <w:t>Alpha</w:t>
            </w:r>
          </w:p>
        </w:tc>
        <w:tc>
          <w:tcPr>
            <w:tcW w:type="dxa" w:w="4320"/>
          </w:tcPr>
          <w:p>
            <w:r>
              <w:t>Return in excess of what beta and the benchmark explain.</w:t>
            </w:r>
          </w:p>
        </w:tc>
      </w:tr>
      <w:tr>
        <w:tc>
          <w:tcPr>
            <w:tcW w:type="dxa" w:w="4320"/>
          </w:tcPr>
          <w:p>
            <w:r>
              <w:t>Monte Carlo cone</w:t>
            </w:r>
          </w:p>
        </w:tc>
        <w:tc>
          <w:tcPr>
            <w:tcW w:type="dxa" w:w="4320"/>
          </w:tcPr>
          <w:p>
            <w:r>
              <w:t>A range of simulated equity paths from resampling a backtest's own trade returns, to show how much the result depended on trade order.</w:t>
            </w:r>
          </w:p>
        </w:tc>
      </w:tr>
      <w:tr>
        <w:tc>
          <w:tcPr>
            <w:tcW w:type="dxa" w:w="4320"/>
          </w:tcPr>
          <w:p>
            <w:r>
              <w:t>Regime</w:t>
            </w:r>
          </w:p>
        </w:tc>
        <w:tc>
          <w:tcPr>
            <w:tcW w:type="dxa" w:w="4320"/>
          </w:tcPr>
          <w:p>
            <w:r>
              <w:t>One of seven classified market states: bull, bear, sideways, high_vol, low_vol, recession, recovery.</w:t>
            </w:r>
          </w:p>
        </w:tc>
      </w:tr>
      <w:tr>
        <w:tc>
          <w:tcPr>
            <w:tcW w:type="dxa" w:w="4320"/>
          </w:tcPr>
          <w:p>
            <w:r>
              <w:t>Exposure scalar</w:t>
            </w:r>
          </w:p>
        </w:tc>
        <w:tc>
          <w:tcPr>
            <w:tcW w:type="dxa" w:w="4320"/>
          </w:tcPr>
          <w:p>
            <w:r>
              <w:t>The portfolio-wide position-sizing multiplier associated with the current regime.</w:t>
            </w:r>
          </w:p>
        </w:tc>
      </w:tr>
      <w:tr>
        <w:tc>
          <w:tcPr>
            <w:tcW w:type="dxa" w:w="4320"/>
          </w:tcPr>
          <w:p>
            <w:r>
              <w:t>Hysteresis gate</w:t>
            </w:r>
          </w:p>
        </w:tc>
        <w:tc>
          <w:tcPr>
            <w:tcW w:type="dxa" w:w="4320"/>
          </w:tcPr>
          <w:p>
            <w:r>
              <w:t>A filter requiring a new regime to persist before the label changes, so it does not flicker on noisy data.</w:t>
            </w:r>
          </w:p>
        </w:tc>
      </w:tr>
      <w:tr>
        <w:tc>
          <w:tcPr>
            <w:tcW w:type="dxa" w:w="4320"/>
          </w:tcPr>
          <w:p>
            <w:r>
              <w:t>Kill-switch</w:t>
            </w:r>
          </w:p>
        </w:tc>
        <w:tc>
          <w:tcPr>
            <w:tcW w:type="dxa" w:w="4320"/>
          </w:tcPr>
          <w:p>
            <w:r>
              <w:t>A control that immediately halts all new order flow; manual or automatically tripped.</w:t>
            </w:r>
          </w:p>
        </w:tc>
      </w:tr>
      <w:tr>
        <w:tc>
          <w:tcPr>
            <w:tcW w:type="dxa" w:w="4320"/>
          </w:tcPr>
          <w:p>
            <w:r>
              <w:t>Sign-off</w:t>
            </w:r>
          </w:p>
        </w:tc>
        <w:tc>
          <w:tcPr>
            <w:tcW w:type="dxa" w:w="4320"/>
          </w:tcPr>
          <w:p>
            <w:r>
              <w:t>The explicit, human-attributed confirmation required before an order is transmitted.</w:t>
            </w:r>
          </w:p>
        </w:tc>
      </w:tr>
      <w:tr>
        <w:tc>
          <w:tcPr>
            <w:tcW w:type="dxa" w:w="4320"/>
          </w:tcPr>
          <w:p>
            <w:r>
              <w:t>Promotion</w:t>
            </w:r>
          </w:p>
        </w:tc>
        <w:tc>
          <w:tcPr>
            <w:tcW w:type="dxa" w:w="4320"/>
          </w:tcPr>
          <w:p>
            <w:r>
              <w:t>Clearing a strategy to trade unattended, judged against the bar in Section 10.2.</w:t>
            </w:r>
          </w:p>
        </w:tc>
      </w:tr>
      <w:tr>
        <w:tc>
          <w:tcPr>
            <w:tcW w:type="dxa" w:w="4320"/>
          </w:tcPr>
          <w:p>
            <w:r>
              <w:t>Paper trading</w:t>
            </w:r>
          </w:p>
        </w:tc>
        <w:tc>
          <w:tcPr>
            <w:tcW w:type="dxa" w:w="4320"/>
          </w:tcPr>
          <w:p>
            <w:r>
              <w:t>Simulated trading; no real money and no real orders.</w:t>
            </w:r>
          </w:p>
        </w:tc>
      </w:tr>
      <w:tr>
        <w:tc>
          <w:tcPr>
            <w:tcW w:type="dxa" w:w="4320"/>
          </w:tcPr>
          <w:p>
            <w:r>
              <w:t>Live trading</w:t>
            </w:r>
          </w:p>
        </w:tc>
        <w:tc>
          <w:tcPr>
            <w:tcW w:type="dxa" w:w="4320"/>
          </w:tcPr>
          <w:p>
            <w:r>
              <w:t>Trading against a real connected broker; requires an explicit configuration change and confirmation.</w:t>
            </w:r>
          </w:p>
        </w:tc>
      </w:tr>
      <w:tr>
        <w:tc>
          <w:tcPr>
            <w:tcW w:type="dxa" w:w="4320"/>
          </w:tcPr>
          <w:p>
            <w:r>
              <w:t>SIP / IEX</w:t>
            </w:r>
          </w:p>
        </w:tc>
        <w:tc>
          <w:tcPr>
            <w:tcW w:type="dxa" w:w="4320"/>
          </w:tcPr>
          <w:p>
            <w:r>
              <w:t>US market data feeds: SIP is the full consolidated tape, IEX a single exchange carrying a small share of consolidated volume.</w:t>
            </w:r>
          </w:p>
        </w:tc>
      </w:tr>
    </w:tbl>
    <w:p/>
    <w:p>
      <w:r>
        <w:br w:type="page"/>
      </w:r>
    </w:p>
    <w:p>
      <w:pPr>
        <w:pStyle w:val="Heading1"/>
      </w:pPr>
      <w:r>
        <w:t>Appendix B: Configuration Reference</w:t>
      </w:r>
    </w:p>
    <w:p>
      <w:r>
        <w:t>The Settings screen writes these for you. They are listed for reference and for the settings that have no screen of their own. Secrets are never among them: API keys live only in the Windows Credential Manager.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Meaning</w:t>
            </w:r>
          </w:p>
        </w:tc>
      </w:tr>
      <w:tr>
        <w:tc>
          <w:tcPr>
            <w:tcW w:type="dxa" w:w="2880"/>
          </w:tcPr>
          <w:p>
            <w:r>
              <w:t>QAT_TRADING_MODE</w:t>
            </w:r>
          </w:p>
        </w:tc>
        <w:tc>
          <w:tcPr>
            <w:tcW w:type="dxa" w:w="2880"/>
          </w:tcPr>
          <w:p>
            <w:r>
              <w:t>paper</w:t>
            </w:r>
          </w:p>
        </w:tc>
        <w:tc>
          <w:tcPr>
            <w:tcW w:type="dxa" w:w="2880"/>
          </w:tcPr>
          <w:p>
            <w:r>
              <w:t>paper or live.</w:t>
            </w:r>
          </w:p>
        </w:tc>
      </w:tr>
      <w:tr>
        <w:tc>
          <w:tcPr>
            <w:tcW w:type="dxa" w:w="2880"/>
          </w:tcPr>
          <w:p>
            <w:r>
              <w:t>QAT_EXECUTION_MODE</w:t>
            </w:r>
          </w:p>
        </w:tc>
        <w:tc>
          <w:tcPr>
            <w:tcW w:type="dxa" w:w="2880"/>
          </w:tcPr>
          <w:p>
            <w:r>
              <w:t>recommend</w:t>
            </w:r>
          </w:p>
        </w:tc>
        <w:tc>
          <w:tcPr>
            <w:tcW w:type="dxa" w:w="2880"/>
          </w:tcPr>
          <w:p>
            <w:r>
              <w:t>recommend or auto (Section 11.5).</w:t>
            </w:r>
          </w:p>
        </w:tc>
      </w:tr>
      <w:tr>
        <w:tc>
          <w:tcPr>
            <w:tcW w:type="dxa" w:w="2880"/>
          </w:tcPr>
          <w:p>
            <w:r>
              <w:t>QAT_AUTONOMOUS_STRATEGIES</w:t>
            </w:r>
          </w:p>
        </w:tc>
        <w:tc>
          <w:tcPr>
            <w:tcW w:type="dxa" w:w="2880"/>
          </w:tcPr>
          <w:p>
            <w:r>
              <w:t>(empty)</w:t>
            </w:r>
          </w:p>
        </w:tc>
        <w:tc>
          <w:tcPr>
            <w:tcW w:type="dxa" w:w="2880"/>
          </w:tcPr>
          <w:p>
            <w:r>
              <w:t>Strategies cleared to auto-trade.</w:t>
            </w:r>
          </w:p>
        </w:tc>
      </w:tr>
      <w:tr>
        <w:tc>
          <w:tcPr>
            <w:tcW w:type="dxa" w:w="2880"/>
          </w:tcPr>
          <w:p>
            <w:r>
              <w:t>QAT_ALLOW_AUTONOMOUS_LIVE_TRADING</w:t>
            </w:r>
          </w:p>
        </w:tc>
        <w:tc>
          <w:tcPr>
            <w:tcW w:type="dxa" w:w="2880"/>
          </w:tcPr>
          <w:p>
            <w:r>
              <w:t>false</w:t>
            </w:r>
          </w:p>
        </w:tc>
        <w:tc>
          <w:tcPr>
            <w:tcW w:type="dxa" w:w="2880"/>
          </w:tcPr>
          <w:p>
            <w:r>
              <w:t>No screen exposes this. Kept separate from the trading mode so that unattended live trading needs a code change, not a configuration edit.</w:t>
            </w:r>
          </w:p>
        </w:tc>
      </w:tr>
      <w:tr>
        <w:tc>
          <w:tcPr>
            <w:tcW w:type="dxa" w:w="2880"/>
          </w:tcPr>
          <w:p>
            <w:r>
              <w:t>QAT_BROKER</w:t>
            </w:r>
          </w:p>
        </w:tc>
        <w:tc>
          <w:tcPr>
            <w:tcW w:type="dxa" w:w="2880"/>
          </w:tcPr>
          <w:p>
            <w:r>
              <w:t>mock</w:t>
            </w:r>
          </w:p>
        </w:tc>
        <w:tc>
          <w:tcPr>
            <w:tcW w:type="dxa" w:w="2880"/>
          </w:tcPr>
          <w:p>
            <w:r>
              <w:t>mock, alpaca or ibkr.</w:t>
            </w:r>
          </w:p>
        </w:tc>
      </w:tr>
      <w:tr>
        <w:tc>
          <w:tcPr>
            <w:tcW w:type="dxa" w:w="2880"/>
          </w:tcPr>
          <w:p>
            <w:r>
              <w:t>QAT_MIN_CASH_RESERVE</w:t>
            </w:r>
          </w:p>
        </w:tc>
        <w:tc>
          <w:tcPr>
            <w:tcW w:type="dxa" w:w="2880"/>
          </w:tcPr>
          <w:p>
            <w:r>
              <w:t>1.00</w:t>
            </w:r>
          </w:p>
        </w:tc>
        <w:tc>
          <w:tcPr>
            <w:tcW w:type="dxa" w:w="2880"/>
          </w:tcPr>
          <w:p>
            <w:r>
              <w:t>The cash floor a buy may never spend below.</w:t>
            </w:r>
          </w:p>
        </w:tc>
      </w:tr>
      <w:tr>
        <w:tc>
          <w:tcPr>
            <w:tcW w:type="dxa" w:w="2880"/>
          </w:tcPr>
          <w:p>
            <w:r>
              <w:t>QAT_MARKET_DATA_SOURCE</w:t>
            </w:r>
          </w:p>
        </w:tc>
        <w:tc>
          <w:tcPr>
            <w:tcW w:type="dxa" w:w="2880"/>
          </w:tcPr>
          <w:p>
            <w:r>
              <w:t>synthetic</w:t>
            </w:r>
          </w:p>
        </w:tc>
        <w:tc>
          <w:tcPr>
            <w:tcW w:type="dxa" w:w="2880"/>
          </w:tcPr>
          <w:p>
            <w:r>
              <w:t>synthetic, yfinance or alpaca.</w:t>
            </w:r>
          </w:p>
        </w:tc>
      </w:tr>
      <w:tr>
        <w:tc>
          <w:tcPr>
            <w:tcW w:type="dxa" w:w="2880"/>
          </w:tcPr>
          <w:p>
            <w:r>
              <w:t>QAT_ALPACA_DATA_FEED</w:t>
            </w:r>
          </w:p>
        </w:tc>
        <w:tc>
          <w:tcPr>
            <w:tcW w:type="dxa" w:w="2880"/>
          </w:tcPr>
          <w:p>
            <w:r>
              <w:t>iex</w:t>
            </w:r>
          </w:p>
        </w:tc>
        <w:tc>
          <w:tcPr>
            <w:tcW w:type="dxa" w:w="2880"/>
          </w:tcPr>
          <w:p>
            <w:r>
              <w:t>iex, sip or delayed_sip.</w:t>
            </w:r>
          </w:p>
        </w:tc>
      </w:tr>
      <w:tr>
        <w:tc>
          <w:tcPr>
            <w:tcW w:type="dxa" w:w="2880"/>
          </w:tcPr>
          <w:p>
            <w:r>
              <w:t>QAT_MARKET</w:t>
            </w:r>
          </w:p>
        </w:tc>
        <w:tc>
          <w:tcPr>
            <w:tcW w:type="dxa" w:w="2880"/>
          </w:tcPr>
          <w:p>
            <w:r>
              <w:t>US</w:t>
            </w:r>
          </w:p>
        </w:tc>
        <w:tc>
          <w:tcPr>
            <w:tcW w:type="dxa" w:w="2880"/>
          </w:tcPr>
          <w:p>
            <w:r>
              <w:t>US or ASX.</w:t>
            </w:r>
          </w:p>
        </w:tc>
      </w:tr>
      <w:tr>
        <w:tc>
          <w:tcPr>
            <w:tcW w:type="dxa" w:w="2880"/>
          </w:tcPr>
          <w:p>
            <w:r>
              <w:t>QAT_WATCHLIST_CATEGORY</w:t>
            </w:r>
          </w:p>
        </w:tc>
        <w:tc>
          <w:tcPr>
            <w:tcW w:type="dxa" w:w="2880"/>
          </w:tcPr>
          <w:p>
            <w:r>
              <w:t>curated</w:t>
            </w:r>
          </w:p>
        </w:tc>
        <w:tc>
          <w:tcPr>
            <w:tcW w:type="dxa" w:w="2880"/>
          </w:tcPr>
          <w:p>
            <w:r>
              <w:t>curated, etf or megacap.</w:t>
            </w:r>
          </w:p>
        </w:tc>
      </w:tr>
      <w:tr>
        <w:tc>
          <w:tcPr>
            <w:tcW w:type="dxa" w:w="2880"/>
          </w:tcPr>
          <w:p>
            <w:r>
              <w:t>QAT_WATCHLIST_MAX_SYMBOLS</w:t>
            </w:r>
          </w:p>
        </w:tc>
        <w:tc>
          <w:tcPr>
            <w:tcW w:type="dxa" w:w="2880"/>
          </w:tcPr>
          <w:p>
            <w:r>
              <w:t>10</w:t>
            </w:r>
          </w:p>
        </w:tc>
        <w:tc>
          <w:tcPr>
            <w:tcW w:type="dxa" w:w="2880"/>
          </w:tcPr>
          <w:p>
            <w:r>
              <w:t>How many symbols the live engines follow.</w:t>
            </w:r>
          </w:p>
        </w:tc>
      </w:tr>
      <w:tr>
        <w:tc>
          <w:tcPr>
            <w:tcW w:type="dxa" w:w="2880"/>
          </w:tcPr>
          <w:p>
            <w:r>
              <w:t>QAT_GENERAL_REQUEST_PROVIDER</w:t>
            </w:r>
          </w:p>
        </w:tc>
        <w:tc>
          <w:tcPr>
            <w:tcW w:type="dxa" w:w="2880"/>
          </w:tcPr>
          <w:p>
            <w:r>
              <w:t>demo</w:t>
            </w:r>
          </w:p>
        </w:tc>
        <w:tc>
          <w:tcPr>
            <w:tcW w:type="dxa" w:w="2880"/>
          </w:tcPr>
          <w:p>
            <w:r>
              <w:t>anthropic, local or demo.</w:t>
            </w:r>
          </w:p>
        </w:tc>
      </w:tr>
      <w:tr>
        <w:tc>
          <w:tcPr>
            <w:tcW w:type="dxa" w:w="2880"/>
          </w:tcPr>
          <w:p>
            <w:r>
              <w:t>QAT_SENSITIVE_REQUEST_PROVIDER</w:t>
            </w:r>
          </w:p>
        </w:tc>
        <w:tc>
          <w:tcPr>
            <w:tcW w:type="dxa" w:w="2880"/>
          </w:tcPr>
          <w:p>
            <w:r>
              <w:t>demo</w:t>
            </w:r>
          </w:p>
        </w:tc>
        <w:tc>
          <w:tcPr>
            <w:tcW w:type="dxa" w:w="2880"/>
          </w:tcPr>
          <w:p>
            <w:r>
              <w:t>local, anthropic or demo.</w:t>
            </w:r>
          </w:p>
        </w:tc>
      </w:tr>
      <w:tr>
        <w:tc>
          <w:tcPr>
            <w:tcW w:type="dxa" w:w="2880"/>
          </w:tcPr>
          <w:p>
            <w:r>
              <w:t>QAT_DAILY_LOSS_LIMIT_PCT</w:t>
            </w:r>
          </w:p>
        </w:tc>
        <w:tc>
          <w:tcPr>
            <w:tcW w:type="dxa" w:w="2880"/>
          </w:tcPr>
          <w:p>
            <w:r>
              <w:t>0.03</w:t>
            </w:r>
          </w:p>
        </w:tc>
        <w:tc>
          <w:tcPr>
            <w:tcW w:type="dxa" w:w="2880"/>
          </w:tcPr>
          <w:p>
            <w:r>
              <w:t>Daily loss that trips the kill-switch.</w:t>
            </w:r>
          </w:p>
        </w:tc>
      </w:tr>
      <w:tr>
        <w:tc>
          <w:tcPr>
            <w:tcW w:type="dxa" w:w="2880"/>
          </w:tcPr>
          <w:p>
            <w:r>
              <w:t>QAT_MAX_DRAWDOWN_LIMIT_PCT</w:t>
            </w:r>
          </w:p>
        </w:tc>
        <w:tc>
          <w:tcPr>
            <w:tcW w:type="dxa" w:w="2880"/>
          </w:tcPr>
          <w:p>
            <w:r>
              <w:t>0.20</w:t>
            </w:r>
          </w:p>
        </w:tc>
        <w:tc>
          <w:tcPr>
            <w:tcW w:type="dxa" w:w="2880"/>
          </w:tcPr>
          <w:p>
            <w:r>
              <w:t>Drawdown that trips the kill-switch.</w:t>
            </w:r>
          </w:p>
        </w:tc>
      </w:tr>
      <w:tr>
        <w:tc>
          <w:tcPr>
            <w:tcW w:type="dxa" w:w="2880"/>
          </w:tcPr>
          <w:p>
            <w:r>
              <w:t>QAT_PER_TRADE_RISK_PCT</w:t>
            </w:r>
          </w:p>
        </w:tc>
        <w:tc>
          <w:tcPr>
            <w:tcW w:type="dxa" w:w="2880"/>
          </w:tcPr>
          <w:p>
            <w:r>
              <w:t>0.01</w:t>
            </w:r>
          </w:p>
        </w:tc>
        <w:tc>
          <w:tcPr>
            <w:tcW w:type="dxa" w:w="2880"/>
          </w:tcPr>
          <w:p>
            <w:r>
              <w:t>Risk budget per trade, as a share of equity.</w:t>
            </w:r>
          </w:p>
        </w:tc>
      </w:tr>
      <w:tr>
        <w:tc>
          <w:tcPr>
            <w:tcW w:type="dxa" w:w="2880"/>
          </w:tcPr>
          <w:p>
            <w:r>
              <w:t>QAT_MAX_AGGREGATE_RISK_AT_STOP_PCT</w:t>
            </w:r>
          </w:p>
        </w:tc>
        <w:tc>
          <w:tcPr>
            <w:tcW w:type="dxa" w:w="2880"/>
          </w:tcPr>
          <w:p>
            <w:r>
              <w:t>0.05</w:t>
            </w:r>
          </w:p>
        </w:tc>
        <w:tc>
          <w:tcPr>
            <w:tcW w:type="dxa" w:w="2880"/>
          </w:tcPr>
          <w:p>
            <w:r>
              <w:t>Total loss if every open position hit its stop at once.</w:t>
            </w:r>
          </w:p>
        </w:tc>
      </w:tr>
      <w:tr>
        <w:tc>
          <w:tcPr>
            <w:tcW w:type="dxa" w:w="2880"/>
          </w:tcPr>
          <w:p>
            <w:r>
              <w:t>QAT_MAX_CONCURRENT_POSITIONS</w:t>
            </w:r>
          </w:p>
        </w:tc>
        <w:tc>
          <w:tcPr>
            <w:tcW w:type="dxa" w:w="2880"/>
          </w:tcPr>
          <w:p>
            <w:r>
              <w:t>10</w:t>
            </w:r>
          </w:p>
        </w:tc>
        <w:tc>
          <w:tcPr>
            <w:tcW w:type="dxa" w:w="2880"/>
          </w:tcPr>
          <w:p>
            <w:r>
              <w:t>Cap on open positions plus pending orders.</w:t>
            </w:r>
          </w:p>
        </w:tc>
      </w:tr>
      <w:tr>
        <w:tc>
          <w:tcPr>
            <w:tcW w:type="dxa" w:w="2880"/>
          </w:tcPr>
          <w:p>
            <w:r>
              <w:t>QAT_ENFORCE_PROMOTION_EVIDENCE</w:t>
            </w:r>
          </w:p>
        </w:tc>
        <w:tc>
          <w:tcPr>
            <w:tcW w:type="dxa" w:w="2880"/>
          </w:tcPr>
          <w:p>
            <w:r>
              <w:t>false</w:t>
            </w:r>
          </w:p>
        </w:tc>
        <w:tc>
          <w:tcPr>
            <w:tcW w:type="dxa" w:w="2880"/>
          </w:tcPr>
          <w:p>
            <w:r>
              <w:t>Makes the promotion bar binding for auto-trade (Section 10.1).</w:t>
            </w:r>
          </w:p>
        </w:tc>
      </w:tr>
      <w:tr>
        <w:tc>
          <w:tcPr>
            <w:tcW w:type="dxa" w:w="2880"/>
          </w:tcPr>
          <w:p>
            <w:r>
              <w:t>QAT_LOG_LEVEL</w:t>
            </w:r>
          </w:p>
        </w:tc>
        <w:tc>
          <w:tcPr>
            <w:tcW w:type="dxa" w:w="2880"/>
          </w:tcPr>
          <w:p>
            <w:r>
              <w:t>INFO</w:t>
            </w:r>
          </w:p>
        </w:tc>
        <w:tc>
          <w:tcPr>
            <w:tcW w:type="dxa" w:w="2880"/>
          </w:tcPr>
          <w:p>
            <w:r>
              <w:t>Logging verbosity.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