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3.0  |  Milestone M37</w:t>
      </w:r>
    </w:p>
    <w:p>
      <w:pPr>
        <w:jc w:val="center"/>
      </w:pPr>
      <w:r>
        <w:rPr>
          <w:sz w:val="22"/>
        </w:rPr>
        <w:t>2026-08-03</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11.8)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11.9).</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11.9.</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363188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363188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363188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A position whose protection the application cannot see is treated as having none at all, and its whole value counts against the risk budget rather than the distance down to a stop. Seven inherited holdings in a hundred-thousand-dollar account were enough to put risk-at-stop at thirty percent against a five percent limit - which is to say every new trade was refused, all day, and nothing on screen said so.</w:t>
      </w:r>
    </w:p>
    <w:p>
      <w:r>
        <w:t>The panel distinguishes two situations that look identical from the outside. A holding this application opened in an EARLIER SESSION reads as 'resumed after restart': it is the normal case, since every launch re-adopts what the strategies opened before. A holding it has no record of reads as 'not opened by this app', which is the case the panel exists for. Before they were separated the panel said the second for both, and a warning that fires on every ordinary restart is one an operator learns to scroll past.</w:t>
      </w:r>
    </w:p>
    <w:p>
      <w:r>
        <w:t>Protection is checked against the broker rather than assumed, so a resumed position with its stop and target still resting is counted at the distance to its stop, not at full value. Section 8A covers what happens when that protection has gone.</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r>
        <w:t>The distribution matters more than the label, because the label is not what gates a strategy. Each strategy declares the regimes it suits, and it is permitted on the TOTAL PROBABILITY across those regimes rather than on whichever single regime happens to be most likely. A strategy suited to sideways, bull and recovery holding sixty percent of the probability between them keeps trading even when high volatility is the headline label at thirty-five percent.</w:t>
      </w:r>
    </w:p>
    <w:p>
      <w:r>
        <w:t>This is why a strategy can be active in a regime it does not list. Reading only the header will occasionally suggest the application is trading something it should have refused; reading the distribution shows why it did not.</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Since M33 this is not only a display: holdings whose returns track a candidate at or above the configured threshold are capped TOGETHER as a cluster, so the table shows the relationships the limit is actually acting on.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11.8);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What Each Closed Trade Records</w:t>
      </w:r>
    </w:p>
    <w:p>
      <w:r>
        <w:t>Every closed trade carries more than its result. The extra columns exist so that a completed trial can answer WHY an outcome happened rather than only what it was, and none of them can be reconstructed afterwards - the price path is gone by the time a trade closes, and the regime has usually moved 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it tells you</w:t>
            </w:r>
          </w:p>
        </w:tc>
      </w:tr>
      <w:tr>
        <w:tc>
          <w:tcPr>
            <w:tcW w:type="dxa" w:w="4320"/>
          </w:tcPr>
          <w:p>
            <w:r>
              <w:t>Regime at entry</w:t>
            </w:r>
          </w:p>
        </w:tc>
        <w:tc>
          <w:tcPr>
            <w:tcW w:type="dxa" w:w="4320"/>
          </w:tcPr>
          <w:p>
            <w:r>
              <w:t>Which market state the position was opened in, with that regime's probability at the time. The regime at EXIT is deliberately not recorded: a position held for weeks closes in a different state from the one it was taken in, and attributing the result to the exit would answer the wrong question.</w:t>
            </w:r>
          </w:p>
        </w:tc>
      </w:tr>
      <w:tr>
        <w:tc>
          <w:tcPr>
            <w:tcW w:type="dxa" w:w="4320"/>
          </w:tcPr>
          <w:p>
            <w:r>
              <w:t>Exposure scalar</w:t>
            </w:r>
          </w:p>
        </w:tc>
        <w:tc>
          <w:tcPr>
            <w:tcW w:type="dxa" w:w="4320"/>
          </w:tcPr>
          <w:p>
            <w:r>
              <w:t>The regime multiplier applied when the position was sized, so a small position taken in a defensive regime is not mistaken for a small signal.</w:t>
            </w:r>
          </w:p>
        </w:tc>
      </w:tr>
      <w:tr>
        <w:tc>
          <w:tcPr>
            <w:tcW w:type="dxa" w:w="4320"/>
          </w:tcPr>
          <w:p>
            <w:r>
              <w:t>Exit reason</w:t>
            </w:r>
          </w:p>
        </w:tc>
        <w:tc>
          <w:tcPr>
            <w:tcW w:type="dxa" w:w="4320"/>
          </w:tcPr>
          <w:p>
            <w:r>
              <w:t>stop, target, time_stop, signal or delever. Set by whatever caused the exit rather than inferred, because after the fact the price alone cannot separate a time stop from a strategy signal.</w:t>
            </w:r>
          </w:p>
        </w:tc>
      </w:tr>
      <w:tr>
        <w:tc>
          <w:tcPr>
            <w:tcW w:type="dxa" w:w="4320"/>
          </w:tcPr>
          <w:p>
            <w:r>
              <w:t>Holding days</w:t>
            </w:r>
          </w:p>
        </w:tc>
        <w:tc>
          <w:tcPr>
            <w:tcW w:type="dxa" w:w="4320"/>
          </w:tcPr>
          <w:p>
            <w:r>
              <w:t>Calendar days from entry to exit.</w:t>
            </w:r>
          </w:p>
        </w:tc>
      </w:tr>
      <w:tr>
        <w:tc>
          <w:tcPr>
            <w:tcW w:type="dxa" w:w="4320"/>
          </w:tcPr>
          <w:p>
            <w:r>
              <w:t>Entry slippage</w:t>
            </w:r>
          </w:p>
        </w:tc>
        <w:tc>
          <w:tcPr>
            <w:tcW w:type="dxa" w:w="4320"/>
          </w:tcPr>
          <w:p>
            <w:r>
              <w:t>What the entry actually cost against the price it was sized on. The cost model ASSUMES a slippage figure; this is the only way to find out whether that assumption holds.</w:t>
            </w:r>
          </w:p>
        </w:tc>
      </w:tr>
      <w:tr>
        <w:tc>
          <w:tcPr>
            <w:tcW w:type="dxa" w:w="4320"/>
          </w:tcPr>
          <w:p>
            <w:r>
              <w:t>MAE (R)</w:t>
            </w:r>
          </w:p>
        </w:tc>
        <w:tc>
          <w:tcPr>
            <w:tcW w:type="dxa" w:w="4320"/>
          </w:tcPr>
          <w:p>
            <w:r>
              <w:t>Maximum adverse excursion - how far the trade went against the entry before it resolved, in units of the risk taken on it. A winner that spent its life at -0.9R was very nearly a loser, and an average result hides that completely.</w:t>
            </w:r>
          </w:p>
        </w:tc>
      </w:tr>
      <w:tr>
        <w:tc>
          <w:tcPr>
            <w:tcW w:type="dxa" w:w="4320"/>
          </w:tcPr>
          <w:p>
            <w:r>
              <w:t>MFE (R)</w:t>
            </w:r>
          </w:p>
        </w:tc>
        <w:tc>
          <w:tcPr>
            <w:tcW w:type="dxa" w:w="4320"/>
          </w:tcPr>
          <w:p>
            <w:r>
              <w:t>Maximum favourable excursion. A loser that reached +2R first says something about the exit rule, not the entry.</w:t>
            </w:r>
          </w:p>
        </w:tc>
      </w:tr>
    </w:tbl>
    <w:p/>
    <w:p>
      <w:r>
        <w:t>All of it is written to trades.csv alongside the P&amp;L columns. None of it influences any decision - the application does not read these back.</w:t>
      </w:r>
    </w:p>
    <w:p>
      <w:pPr>
        <w:pStyle w:val="Heading2"/>
      </w:pPr>
      <w:r>
        <w:t>10.6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The screen scrolls: it carries more than fits a window. Save and the status line stay fixed below the scrolling area so they cannot be scrolled out of reach. Every field on this screen is restart-required - Save writes the configuration file and the change takes effect on the next launch, which is the conservative choice for numbers a running risk engine has already sized positions against.</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363188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Risk Limits</w:t>
      </w:r>
    </w:p>
    <w:p>
      <w:r>
        <w:t>The caps that decide which trades happen and how large they are. Until M36 these were editable only by hand in the configuration file and appeared on no screen, so the limits actually in force could not be read anywhere in the application.</w:t>
      </w:r>
    </w:p>
    <w:tbl>
      <w:tblPr>
        <w:tblStyle w:val="TableGrid"/>
        <w:tblW w:type="auto" w:w="0"/>
        <w:tblLook w:firstColumn="1" w:firstRow="1" w:lastColumn="0" w:lastRow="0" w:noHBand="0" w:noVBand="1" w:val="04A0"/>
      </w:tblPr>
      <w:tblGrid>
        <w:gridCol w:w="8640"/>
      </w:tblGrid>
      <w:tr>
        <w:tc>
          <w:tcPr>
            <w:tcW w:type="dxa" w:w="8640"/>
          </w:tcPr>
          <w:p>
            <w:r>
              <w:rPr>
                <w:b/>
                <w:color w:val="1B3A5F"/>
              </w:rPr>
              <w:t>Percentages on screen, fractions in the file</w:t>
            </w:r>
          </w:p>
          <w:p>
            <w:r>
              <w:t>The screen shows 15%; the configuration file stores 0.15. The conversion happens in both directions so you never handle the stored form. Every field is bounded to what the application will accept, so the screen cannot write a value the next launch would refuse to start on.</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bounds</w:t>
            </w:r>
          </w:p>
        </w:tc>
      </w:tr>
      <w:tr>
        <w:tc>
          <w:tcPr>
            <w:tcW w:type="dxa" w:w="2880"/>
          </w:tcPr>
          <w:p>
            <w:r>
              <w:t>Risk per trade</w:t>
            </w:r>
          </w:p>
        </w:tc>
        <w:tc>
          <w:tcPr>
            <w:tcW w:type="dxa" w:w="2880"/>
          </w:tcPr>
          <w:p>
            <w:r>
              <w:t>1%</w:t>
            </w:r>
          </w:p>
        </w:tc>
        <w:tc>
          <w:tcPr>
            <w:tcW w:type="dxa" w:w="2880"/>
          </w:tcPr>
          <w:p>
            <w:r>
              <w:t>Equity risked between entry and stop on one trade.</w:t>
            </w:r>
          </w:p>
        </w:tc>
      </w:tr>
      <w:tr>
        <w:tc>
          <w:tcPr>
            <w:tcW w:type="dxa" w:w="2880"/>
          </w:tcPr>
          <w:p>
            <w:r>
              <w:t>Stop distance</w:t>
            </w:r>
          </w:p>
        </w:tc>
        <w:tc>
          <w:tcPr>
            <w:tcW w:type="dxa" w:w="2880"/>
          </w:tcPr>
          <w:p>
            <w:r>
              <w:t>2.5 x ATR</w:t>
            </w:r>
          </w:p>
        </w:tc>
        <w:tc>
          <w:tcPr>
            <w:tcW w:type="dxa" w:w="2880"/>
          </w:tcPr>
          <w:p>
            <w:r>
              <w:t>How far the protective stop sits from entry.</w:t>
            </w:r>
          </w:p>
        </w:tc>
      </w:tr>
      <w:tr>
        <w:tc>
          <w:tcPr>
            <w:tcW w:type="dxa" w:w="2880"/>
          </w:tcPr>
          <w:p>
            <w:r>
              <w:t>Aggregate risk-at-stop</w:t>
            </w:r>
          </w:p>
        </w:tc>
        <w:tc>
          <w:tcPr>
            <w:tcW w:type="dxa" w:w="2880"/>
          </w:tcPr>
          <w:p>
            <w:r>
              <w:t>5%</w:t>
            </w:r>
          </w:p>
        </w:tc>
        <w:tc>
          <w:tcPr>
            <w:tcW w:type="dxa" w:w="2880"/>
          </w:tcPr>
          <w:p>
            <w:r>
              <w:t>Total loss if every open position stopped out at once.</w:t>
            </w:r>
          </w:p>
        </w:tc>
      </w:tr>
      <w:tr>
        <w:tc>
          <w:tcPr>
            <w:tcW w:type="dxa" w:w="2880"/>
          </w:tcPr>
          <w:p>
            <w:r>
              <w:t>Single-name concentration</w:t>
            </w:r>
          </w:p>
        </w:tc>
        <w:tc>
          <w:tcPr>
            <w:tcW w:type="dxa" w:w="2880"/>
          </w:tcPr>
          <w:p>
            <w:r>
              <w:t>15%</w:t>
            </w:r>
          </w:p>
        </w:tc>
        <w:tc>
          <w:tcPr>
            <w:tcW w:type="dxa" w:w="2880"/>
          </w:tcPr>
          <w:p>
            <w:r>
              <w:t>One ticker as a share of equity.</w:t>
            </w:r>
          </w:p>
        </w:tc>
      </w:tr>
      <w:tr>
        <w:tc>
          <w:tcPr>
            <w:tcW w:type="dxa" w:w="2880"/>
          </w:tcPr>
          <w:p>
            <w:r>
              <w:t>Sector concentration</w:t>
            </w:r>
          </w:p>
        </w:tc>
        <w:tc>
          <w:tcPr>
            <w:tcW w:type="dxa" w:w="2880"/>
          </w:tcPr>
          <w:p>
            <w:r>
              <w:t>30%</w:t>
            </w:r>
          </w:p>
        </w:tc>
        <w:tc>
          <w:tcPr>
            <w:tcW w:type="dxa" w:w="2880"/>
          </w:tcPr>
          <w:p>
            <w:r>
              <w:t>One sector as a share of equity.</w:t>
            </w:r>
          </w:p>
        </w:tc>
      </w:tr>
      <w:tr>
        <w:tc>
          <w:tcPr>
            <w:tcW w:type="dxa" w:w="2880"/>
          </w:tcPr>
          <w:p>
            <w:r>
              <w:t>Correlated-cluster concentration</w:t>
            </w:r>
          </w:p>
        </w:tc>
        <w:tc>
          <w:tcPr>
            <w:tcW w:type="dxa" w:w="2880"/>
          </w:tcPr>
          <w:p>
            <w:r>
              <w:t>30% at 0.70</w:t>
            </w:r>
          </w:p>
        </w:tc>
        <w:tc>
          <w:tcPr>
            <w:tcW w:type="dxa" w:w="2880"/>
          </w:tcPr>
          <w:p>
            <w:r>
              <w:t>Holdings whose returns track a candidate at or above the threshold, capped together. Sector is a label; this is measured.</w:t>
            </w:r>
          </w:p>
        </w:tc>
      </w:tr>
      <w:tr>
        <w:tc>
          <w:tcPr>
            <w:tcW w:type="dxa" w:w="2880"/>
          </w:tcPr>
          <w:p>
            <w:r>
              <w:t>Overnight-gap budget</w:t>
            </w:r>
          </w:p>
        </w:tc>
        <w:tc>
          <w:tcPr>
            <w:tcW w:type="dxa" w:w="2880"/>
          </w:tcPr>
          <w:p>
            <w:r>
              <w:t>5% at a 6% gap</w:t>
            </w:r>
          </w:p>
        </w:tc>
        <w:tc>
          <w:tcPr>
            <w:tcW w:type="dxa" w:w="2880"/>
          </w:tcPr>
          <w:p>
            <w:r>
              <w:t>Loss allowed from a gap opening THROUGH the stops rather than trading to them. Measured on position value, because that is what a gap moves.</w:t>
            </w:r>
          </w:p>
        </w:tc>
      </w:tr>
      <w:tr>
        <w:tc>
          <w:tcPr>
            <w:tcW w:type="dxa" w:w="2880"/>
          </w:tcPr>
          <w:p>
            <w:r>
              <w:t>Max concurrent positions</w:t>
            </w:r>
          </w:p>
        </w:tc>
        <w:tc>
          <w:tcPr>
            <w:tcW w:type="dxa" w:w="2880"/>
          </w:tcPr>
          <w:p>
            <w:r>
              <w:t>10</w:t>
            </w:r>
          </w:p>
        </w:tc>
        <w:tc>
          <w:tcPr>
            <w:tcW w:type="dxa" w:w="2880"/>
          </w:tcPr>
          <w:p>
            <w:r>
              <w:t>How thinly the portfolio may be spread.</w:t>
            </w:r>
          </w:p>
        </w:tc>
      </w:tr>
      <w:tr>
        <w:tc>
          <w:tcPr>
            <w:tcW w:type="dxa" w:w="2880"/>
          </w:tcPr>
          <w:p>
            <w:r>
              <w:t>Portfolio Expected Shortfall</w:t>
            </w:r>
          </w:p>
        </w:tc>
        <w:tc>
          <w:tcPr>
            <w:tcW w:type="dxa" w:w="2880"/>
          </w:tcPr>
          <w:p>
            <w:r>
              <w:t>3%</w:t>
            </w:r>
          </w:p>
        </w:tc>
        <w:tc>
          <w:tcPr>
            <w:tcW w:type="dxa" w:w="2880"/>
          </w:tcPr>
          <w:p>
            <w:r>
              <w:t>Average loss in the tail beyond VaR.</w:t>
            </w:r>
          </w:p>
        </w:tc>
      </w:tr>
      <w:tr>
        <w:tc>
          <w:tcPr>
            <w:tcW w:type="dxa" w:w="2880"/>
          </w:tcPr>
          <w:p>
            <w:r>
              <w:t>Daily loss limit</w:t>
            </w:r>
          </w:p>
        </w:tc>
        <w:tc>
          <w:tcPr>
            <w:tcW w:type="dxa" w:w="2880"/>
          </w:tcPr>
          <w:p>
            <w:r>
              <w:t>3%</w:t>
            </w:r>
          </w:p>
        </w:tc>
        <w:tc>
          <w:tcPr>
            <w:tcW w:type="dxa" w:w="2880"/>
          </w:tcPr>
          <w:p>
            <w:r>
              <w:t>Halts new autonomous buys for the day.</w:t>
            </w:r>
          </w:p>
        </w:tc>
      </w:tr>
      <w:tr>
        <w:tc>
          <w:tcPr>
            <w:tcW w:type="dxa" w:w="2880"/>
          </w:tcPr>
          <w:p>
            <w:r>
              <w:t>Max drawdown limit</w:t>
            </w:r>
          </w:p>
        </w:tc>
        <w:tc>
          <w:tcPr>
            <w:tcW w:type="dxa" w:w="2880"/>
          </w:tcPr>
          <w:p>
            <w:r>
              <w:t>20%</w:t>
            </w:r>
          </w:p>
        </w:tc>
        <w:tc>
          <w:tcPr>
            <w:tcW w:type="dxa" w:w="2880"/>
          </w:tcPr>
          <w:p>
            <w:r>
              <w:t>Peak-to-trough decline before the rails engage.</w:t>
            </w:r>
          </w:p>
        </w:tc>
      </w:tr>
      <w:tr>
        <w:tc>
          <w:tcPr>
            <w:tcW w:type="dxa" w:w="2880"/>
          </w:tcPr>
          <w:p>
            <w:r>
              <w:t>Kelly fraction</w:t>
            </w:r>
          </w:p>
        </w:tc>
        <w:tc>
          <w:tcPr>
            <w:tcW w:type="dxa" w:w="2880"/>
          </w:tcPr>
          <w:p>
            <w:r>
              <w:t>0.50</w:t>
            </w:r>
          </w:p>
        </w:tc>
        <w:tc>
          <w:tcPr>
            <w:tcW w:type="dxa" w:w="2880"/>
          </w:tcPr>
          <w:p>
            <w:r>
              <w:t>Full Kelly assumes the win rate and payoff ratio are exactly right and sizes violently when they are not.</w:t>
            </w:r>
          </w:p>
        </w:tc>
      </w:tr>
      <w:tr>
        <w:tc>
          <w:tcPr>
            <w:tcW w:type="dxa" w:w="2880"/>
          </w:tcPr>
          <w:p>
            <w:r>
              <w:t>Max cost as a share of risk</w:t>
            </w:r>
          </w:p>
        </w:tc>
        <w:tc>
          <w:tcPr>
            <w:tcW w:type="dxa" w:w="2880"/>
          </w:tcPr>
          <w:p>
            <w:r>
              <w:t>10%</w:t>
            </w:r>
          </w:p>
        </w:tc>
        <w:tc>
          <w:tcPr>
            <w:tcW w:type="dxa" w:w="2880"/>
          </w:tcPr>
          <w:p>
            <w:r>
              <w:t>Refuses a trade whose commission and slippage would eat this much of the amount being risked.</w:t>
            </w:r>
          </w:p>
        </w:tc>
      </w:tr>
    </w:tbl>
    <w:p/>
    <w:p>
      <w:r>
        <w:t>Every limit except the position count is enforced by TRIMMING an order to what fits rather than refusing it. A cap that refuses instead of resizing stops a strategy trading altogether, which is how a 15% single-name limit would behave against a sizing chain that lands near 20%.</w:t>
      </w:r>
    </w:p>
    <w:tbl>
      <w:tblPr>
        <w:tblStyle w:val="TableGrid"/>
        <w:tblW w:type="auto" w:w="0"/>
        <w:tblLook w:firstColumn="1" w:firstRow="1" w:lastColumn="0" w:lastRow="0" w:noHBand="0" w:noVBand="1" w:val="04A0"/>
      </w:tblPr>
      <w:tblGrid>
        <w:gridCol w:w="8640"/>
      </w:tblGrid>
      <w:tr>
        <w:tc>
          <w:tcPr>
            <w:tcW w:type="dxa" w:w="8640"/>
          </w:tcPr>
          <w:p>
            <w:r>
              <w:rPr>
                <w:b/>
                <w:color w:val="B71C1C"/>
              </w:rPr>
              <w:t>The de-lever sweep is the one rail that sells</w:t>
            </w:r>
          </w:p>
          <w:p>
            <w:r>
              <w:t>Every limit above blocks NEW risk, which unwinds a breach passively as positions close. The de-lever sweep instead trims every position proportionally to get back under the cap. It is off by default, because a rail that sells uninvited is a much larger delegation than one that declines to buy. Disabled, a breach is still measured, logged and blocking.</w:t>
            </w:r>
          </w:p>
        </w:tc>
      </w:tr>
    </w:tbl>
    <w:p/>
    <w:p>
      <w:r>
        <w:t>Lowering a limit does not close anything already held. It governs what may be opened from that point, and an existing breach unwinds as positions close.</w:t>
      </w:r>
    </w:p>
    <w:p>
      <w:pPr>
        <w:pStyle w:val="Heading2"/>
      </w:pPr>
      <w:r>
        <w:t>11.7 Holding, Churn and Protection</w:t>
      </w:r>
    </w:p>
    <w:p>
      <w:r>
        <w:t>Commission is charged per transaction, so how OFTEN the account trades matters as much as how much it risks. Ten positions turned over weekly costs several percent of a hundred-thousand-dollar account a year before a single losing trade.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does</w:t>
            </w:r>
          </w:p>
        </w:tc>
      </w:tr>
      <w:tr>
        <w:tc>
          <w:tcPr>
            <w:tcW w:type="dxa" w:w="2880"/>
          </w:tcPr>
          <w:p>
            <w:r>
              <w:t>Minimum hold</w:t>
            </w:r>
          </w:p>
        </w:tc>
        <w:tc>
          <w:tcPr>
            <w:tcW w:type="dxa" w:w="2880"/>
          </w:tcPr>
          <w:p>
            <w:r>
              <w:t>10 trading days</w:t>
            </w:r>
          </w:p>
        </w:tc>
        <w:tc>
          <w:tcPr>
            <w:tcW w:type="dxa" w:w="2880"/>
          </w:tcPr>
          <w:p>
            <w:r>
              <w:t>How long a position is held before a signal may close it.</w:t>
            </w:r>
          </w:p>
        </w:tc>
      </w:tr>
      <w:tr>
        <w:tc>
          <w:tcPr>
            <w:tcW w:type="dxa" w:w="2880"/>
          </w:tcPr>
          <w:p>
            <w:r>
              <w:t>Loss escape</w:t>
            </w:r>
          </w:p>
        </w:tc>
        <w:tc>
          <w:tcPr>
            <w:tcW w:type="dxa" w:w="2880"/>
          </w:tcPr>
          <w:p>
            <w:r>
              <w:t>0.5 R</w:t>
            </w:r>
          </w:p>
        </w:tc>
        <w:tc>
          <w:tcPr>
            <w:tcW w:type="dxa" w:w="2880"/>
          </w:tcPr>
          <w:p>
            <w:r>
              <w:t>The minimum hold must not trap a losing position. A trade this far against its entry may be closed regardless.</w:t>
            </w:r>
          </w:p>
        </w:tc>
      </w:tr>
      <w:tr>
        <w:tc>
          <w:tcPr>
            <w:tcW w:type="dxa" w:w="2880"/>
          </w:tcPr>
          <w:p>
            <w:r>
              <w:t>Time stop</w:t>
            </w:r>
          </w:p>
        </w:tc>
        <w:tc>
          <w:tcPr>
            <w:tcW w:type="dxa" w:w="2880"/>
          </w:tcPr>
          <w:p>
            <w:r>
              <w:t>30 trading days</w:t>
            </w:r>
          </w:p>
        </w:tc>
        <w:tc>
          <w:tcPr>
            <w:tcW w:type="dxa" w:w="2880"/>
          </w:tcPr>
          <w:p>
            <w:r>
              <w:t>Forces an exit on a thesis that never resolved. This is doing more work than it appears to: a strategy whose own exit signal rarely fires closes most of its positions this way.</w:t>
            </w:r>
          </w:p>
        </w:tc>
      </w:tr>
      <w:tr>
        <w:tc>
          <w:tcPr>
            <w:tcW w:type="dxa" w:w="2880"/>
          </w:tcPr>
          <w:p>
            <w:r>
              <w:t>Max new positions per week</w:t>
            </w:r>
          </w:p>
        </w:tc>
        <w:tc>
          <w:tcPr>
            <w:tcW w:type="dxa" w:w="2880"/>
          </w:tcPr>
          <w:p>
            <w:r>
              <w:t>10</w:t>
            </w:r>
          </w:p>
        </w:tc>
        <w:tc>
          <w:tcPr>
            <w:tcW w:type="dxa" w:w="2880"/>
          </w:tcPr>
          <w:p>
            <w:r>
              <w:t>A turnover budget, bounding commission drag directly.</w:t>
            </w:r>
          </w:p>
        </w:tc>
      </w:tr>
      <w:tr>
        <w:tc>
          <w:tcPr>
            <w:tcW w:type="dxa" w:w="2880"/>
          </w:tcPr>
          <w:p>
            <w:r>
              <w:t>Re-check protection every</w:t>
            </w:r>
          </w:p>
        </w:tc>
        <w:tc>
          <w:tcPr>
            <w:tcW w:type="dxa" w:w="2880"/>
          </w:tcPr>
          <w:p>
            <w:r>
              <w:t>300 seconds</w:t>
            </w:r>
          </w:p>
        </w:tc>
        <w:tc>
          <w:tcPr>
            <w:tcW w:type="dxa" w:w="2880"/>
          </w:tcPr>
          <w:p>
            <w:r>
              <w:t>How often held positions are checked for a missing stop or target, and a replacement proposed. See Section 8A.</w:t>
            </w:r>
          </w:p>
        </w:tc>
      </w:tr>
      <w:tr>
        <w:tc>
          <w:tcPr>
            <w:tcW w:type="dxa" w:w="2880"/>
          </w:tcPr>
          <w:p>
            <w:r>
              <w:t>Size on measured edge after</w:t>
            </w:r>
          </w:p>
        </w:tc>
        <w:tc>
          <w:tcPr>
            <w:tcW w:type="dxa" w:w="2880"/>
          </w:tcPr>
          <w:p>
            <w:r>
              <w:t>20 closed trades</w:t>
            </w:r>
          </w:p>
        </w:tc>
        <w:tc>
          <w:tcPr>
            <w:tcW w:type="dxa" w:w="2880"/>
          </w:tcPr>
          <w:p>
            <w:r>
              <w:t>Until a strategy has this many results of its own, position sizing uses documented defaults rather than its measured win rate and payoff ratio. Lowering it lets a small and possibly lucky sample set the risk.</w:t>
            </w:r>
          </w:p>
        </w:tc>
      </w:tr>
    </w:tbl>
    <w:p/>
    <w:p>
      <w:pPr>
        <w:pStyle w:val="Heading2"/>
      </w:pPr>
      <w:r>
        <w:t>11.8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11.9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 including every risk limit, which Section 11 covers. They are listed for reference and for the few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11.8).</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11.9).</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