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2.2  |  Milestone M19</w:t>
      </w:r>
    </w:p>
    <w:p>
      <w:pPr>
        <w:jc w:val="center"/>
      </w:pPr>
      <w:r>
        <w:rPr>
          <w:sz w:val="22"/>
        </w:rPr>
        <w:t>2026-07-27</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11.6)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Non-secret settings in a .env file written by the Settings screen; API keys and secrets only ever in the Windows Credential Manager, never in .env and never in logs.</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5403532"/>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5403532"/>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5403532"/>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5403532"/>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363188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3631882"/>
                    </a:xfrm>
                    <a:prstGeom prst="rect"/>
                  </pic:spPr>
                </pic:pic>
              </a:graphicData>
            </a:graphic>
          </wp:inline>
        </w:drawing>
      </w:r>
    </w:p>
    <w:p>
      <w:pPr>
        <w:jc w:val="center"/>
      </w:pPr>
      <w:r>
        <w:rPr>
          <w:i/>
          <w:color w:val="555F6D"/>
          <w:sz w:val="18"/>
        </w:rPr>
        <w:t>Figure 3.1 - The Dashboard: NAV and risk tiles, the live equity curve, open positions, and an AI regime note awaiting acknowledgement.</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NAV tile</w:t>
            </w:r>
          </w:p>
        </w:tc>
        <w:tc>
          <w:tcPr>
            <w:tcW w:type="dxa" w:w="4320"/>
          </w:tcPr>
          <w:p>
            <w:r>
              <w:t>Net Asset Value: cash plus the market value of open positions, as reported by the connected broker.</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11.6);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631882"/>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r>
        <w:br w:type="page"/>
      </w:r>
    </w:p>
    <w:p>
      <w:pPr>
        <w:pStyle w:val="Heading1"/>
      </w:pPr>
      <w:r>
        <w:t>11. Settings</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4907470"/>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4907470"/>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comma-separated list.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r>
        <w:br w:type="page"/>
      </w:r>
    </w:p>
    <w:p>
      <w:pPr>
        <w:pStyle w:val="Heading1"/>
      </w:pPr>
      <w:r>
        <w:t>Appendix B: Configuration Reference</w:t>
      </w:r>
    </w:p>
    <w:p>
      <w:r>
        <w:t>The Settings screen writes these for you. They are listed for reference and for the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11.6).</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QAT_LOG_LEVEL</w:t>
            </w:r>
          </w:p>
        </w:tc>
        <w:tc>
          <w:tcPr>
            <w:tcW w:type="dxa" w:w="2880"/>
          </w:tcPr>
          <w:p>
            <w:r>
              <w:t>INFO</w:t>
            </w:r>
          </w:p>
        </w:tc>
        <w:tc>
          <w:tcPr>
            <w:tcW w:type="dxa" w:w="2880"/>
          </w:tcPr>
          <w:p>
            <w:r>
              <w:t>Logging verbosity.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